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5"/>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购置空调</w:t>
            </w:r>
          </w:p>
        </w:tc>
      </w:tr>
      <w:tr>
        <w:tblPrEx>
          <w:tblCellMar>
            <w:top w:w="0" w:type="dxa"/>
            <w:left w:w="108" w:type="dxa"/>
            <w:bottom w:w="0" w:type="dxa"/>
            <w:right w:w="108" w:type="dxa"/>
          </w:tblCellMar>
        </w:tblPrEx>
        <w:trPr>
          <w:trHeight w:val="52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北京市丰台区水务局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北京市丰台区永定河管理所</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2.4</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2.3508</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2.3508</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2.4</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2.3508</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2.3508</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bookmarkStart w:id="0" w:name="OLE_LINK1" w:colFirst="5" w:colLast="5"/>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bookmarkEnd w:id="0"/>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392"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我单位现有25人，编制30人。现因办公设备老旧，经反复维修后仍无法正常使用，确需申请添加新办公设备：购买1.5匹挂式空调6台；申请资金为24000元。</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保障工作正常开展</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采购数量</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6台</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6台</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设备质量合格率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设备交付使用进度</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6台</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6台</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87"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经济效益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满足单位正常办公</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6台</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6台</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2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保证业务正常开展</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6台</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6台</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4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生态效益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保证业务正常开展</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6台</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6台</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7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保证业务正常开展</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6台</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6台</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3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成本指标</w:t>
            </w:r>
          </w:p>
        </w:tc>
        <w:tc>
          <w:tcPr>
            <w:tcW w:w="110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经济成本指标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空调采购成本</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4000元/台*6</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4000元/台*6</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5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满足单位正常办公</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6台</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6台</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rPr>
          <w:rFonts w:hint="eastAsia" w:ascii="仿宋_GB2312" w:eastAsia="仿宋_GB2312"/>
          <w:vanish/>
          <w:sz w:val="32"/>
          <w:szCs w:val="32"/>
          <w:highlight w:val="none"/>
        </w:rPr>
      </w:pPr>
    </w:p>
    <w:p>
      <w:pPr>
        <w:rPr>
          <w:rFonts w:hint="eastAsia" w:ascii="仿宋_GB2312" w:eastAsia="仿宋_GB2312"/>
          <w:vanish/>
          <w:sz w:val="32"/>
          <w:szCs w:val="32"/>
          <w:highlight w:val="none"/>
        </w:r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rPr>
        <w:t xml:space="preserve">     </w:t>
      </w:r>
    </w:p>
    <w:p>
      <w:pPr>
        <w:spacing w:line="480" w:lineRule="exact"/>
        <w:rPr>
          <w:rFonts w:hint="eastAsia" w:ascii="方正小标宋简体" w:eastAsia="方正小标宋简体"/>
          <w:sz w:val="36"/>
          <w:szCs w:val="36"/>
          <w:highlight w:val="none"/>
        </w:rPr>
      </w:pPr>
      <w:r>
        <w:rPr>
          <w:rFonts w:hint="eastAsia" w:ascii="方正小标宋简体" w:eastAsia="方正小标宋简体"/>
          <w:sz w:val="36"/>
          <w:szCs w:val="36"/>
          <w:highlight w:val="none"/>
        </w:rPr>
        <w:t xml:space="preserve">                </w:t>
      </w:r>
    </w:p>
    <w:p>
      <w:pPr>
        <w:spacing w:line="480" w:lineRule="exact"/>
        <w:jc w:val="center"/>
        <w:rPr>
          <w:rFonts w:hint="eastAsia" w:ascii="方正小标宋简体" w:hAnsi="黑体" w:eastAsia="方正小标宋简体"/>
          <w:sz w:val="36"/>
          <w:szCs w:val="36"/>
          <w:highlight w:val="none"/>
        </w:rPr>
      </w:pP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5"/>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val="en-US" w:eastAsia="zh-CN"/>
              </w:rPr>
              <w:t>2024年度</w:t>
            </w:r>
            <w:r>
              <w:rPr>
                <w:rFonts w:hint="eastAsia" w:ascii="仿宋_GB2312" w:hAnsi="宋体" w:eastAsia="仿宋_GB2312" w:cs="宋体"/>
                <w:kern w:val="0"/>
                <w:szCs w:val="21"/>
                <w:highlight w:val="none"/>
                <w:lang w:eastAsia="zh-CN"/>
              </w:rPr>
              <w:t>机构运转经费</w:t>
            </w:r>
          </w:p>
        </w:tc>
      </w:tr>
      <w:tr>
        <w:tblPrEx>
          <w:tblCellMar>
            <w:top w:w="0" w:type="dxa"/>
            <w:left w:w="108" w:type="dxa"/>
            <w:bottom w:w="0" w:type="dxa"/>
            <w:right w:w="108" w:type="dxa"/>
          </w:tblCellMar>
        </w:tblPrEx>
        <w:trPr>
          <w:trHeight w:val="49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北京市丰台区水务局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北京市丰台区永定河管理所</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16.2</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16.2</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16.2</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16.2</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16.2</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16.2</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bookmarkStart w:id="1" w:name="OLE_LINK2"/>
            <w:r>
              <w:rPr>
                <w:rFonts w:hint="eastAsia" w:ascii="仿宋_GB2312" w:hAnsi="宋体" w:eastAsia="仿宋_GB2312" w:cs="宋体"/>
                <w:kern w:val="0"/>
                <w:szCs w:val="21"/>
                <w:highlight w:val="none"/>
              </w:rPr>
              <w:t>—</w:t>
            </w:r>
            <w:bookmarkEnd w:id="1"/>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664"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确保2024年度单位食堂正常运转,保障单位职工工作用餐环境,饭菜质量达标。配齐食堂工作人员，日常工作符合食堂管理规定。为职工工作提供有力的食品安全保障。</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保障工作正常开展</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41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服务人员</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2人</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2人</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6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食品质量</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5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服务时间</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1年</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1年</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2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经济效益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满足单位正常办公</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1年</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1年</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8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保障业务正常开展</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1年</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1年</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8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成本指标</w:t>
            </w:r>
          </w:p>
        </w:tc>
        <w:tc>
          <w:tcPr>
            <w:tcW w:w="110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经济成本指标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人员食材相关费用</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162000元</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162000元</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7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满足单位正常办公</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00"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rPr>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5"/>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2024年电脑购置项目</w:t>
            </w:r>
          </w:p>
        </w:tc>
      </w:tr>
      <w:tr>
        <w:tblPrEx>
          <w:tblCellMar>
            <w:top w:w="0" w:type="dxa"/>
            <w:left w:w="108" w:type="dxa"/>
            <w:bottom w:w="0" w:type="dxa"/>
            <w:right w:w="108" w:type="dxa"/>
          </w:tblCellMar>
        </w:tblPrEx>
        <w:trPr>
          <w:trHeight w:val="49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北京市丰台区水务局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北京市丰台区永定河管理所</w:t>
            </w:r>
          </w:p>
        </w:tc>
      </w:tr>
      <w:tr>
        <w:tblPrEx>
          <w:tblCellMar>
            <w:top w:w="0" w:type="dxa"/>
            <w:left w:w="108" w:type="dxa"/>
            <w:bottom w:w="0" w:type="dxa"/>
            <w:right w:w="108" w:type="dxa"/>
          </w:tblCellMar>
        </w:tblPrEx>
        <w:trPr>
          <w:trHeight w:val="544"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3.25</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3.24</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3.24</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3.25</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3.24</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3.24</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1392"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我单位现有25人，编制30人。单位正常办公电脑</w:t>
            </w:r>
            <w:r>
              <w:rPr>
                <w:rFonts w:hint="eastAsia" w:ascii="仿宋_GB2312" w:hAnsi="宋体" w:eastAsia="仿宋_GB2312" w:cs="宋体"/>
                <w:kern w:val="0"/>
                <w:szCs w:val="21"/>
                <w:highlight w:val="none"/>
                <w:lang w:val="en-US" w:eastAsia="zh-CN"/>
              </w:rPr>
              <w:t>20</w:t>
            </w:r>
            <w:r>
              <w:rPr>
                <w:rFonts w:hint="eastAsia" w:ascii="仿宋_GB2312" w:hAnsi="宋体" w:eastAsia="仿宋_GB2312" w:cs="宋体"/>
                <w:kern w:val="0"/>
                <w:szCs w:val="21"/>
                <w:highlight w:val="none"/>
              </w:rPr>
              <w:t>台，无法满足单位正常办公，确需申请添加新办公设备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保障工作正常开展</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36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采购数量</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5台</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5台</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37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设备质量合格率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36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设备交付使用进度</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5台</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5台</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1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经济效益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满足单位正常办公</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5台</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5台</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保证业务正常开展</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5台</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5台</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9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生态效益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保证业务正常开展</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5台</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5台</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6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保证业务正常开展</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5台</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5台</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85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成本指标</w:t>
            </w:r>
          </w:p>
        </w:tc>
        <w:tc>
          <w:tcPr>
            <w:tcW w:w="110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经济成本指标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采购台式电脑资金</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6480元/台*5</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6480元/台*5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7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保障单位正常开展工作</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5台</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5台</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rPr>
          <w:highlight w:val="none"/>
        </w:rPr>
      </w:pPr>
    </w:p>
    <w:p>
      <w:pPr>
        <w:spacing w:line="480" w:lineRule="exact"/>
        <w:rPr>
          <w:rFonts w:hint="eastAsia" w:ascii="黑体" w:hAnsi="黑体" w:eastAsia="黑体"/>
          <w:sz w:val="32"/>
          <w:szCs w:val="32"/>
          <w:highlight w:val="none"/>
        </w:r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rPr>
        <w:t xml:space="preserve">      </w:t>
      </w:r>
    </w:p>
    <w:p>
      <w:pPr>
        <w:spacing w:line="480" w:lineRule="exact"/>
        <w:rPr>
          <w:rFonts w:hint="eastAsia" w:ascii="仿宋_GB2312" w:eastAsia="仿宋_GB2312"/>
          <w:vanish/>
          <w:sz w:val="32"/>
          <w:szCs w:val="32"/>
          <w:highlight w:val="none"/>
        </w:rPr>
      </w:pPr>
    </w:p>
    <w:p>
      <w:pPr>
        <w:rPr>
          <w:rFonts w:hint="eastAsia" w:ascii="仿宋_GB2312" w:eastAsia="仿宋_GB2312"/>
          <w:vanish/>
          <w:sz w:val="32"/>
          <w:szCs w:val="32"/>
          <w:highlight w:val="none"/>
        </w:rPr>
      </w:pPr>
    </w:p>
    <w:p>
      <w:pPr>
        <w:spacing w:line="480" w:lineRule="exact"/>
        <w:rPr>
          <w:rFonts w:hint="eastAsia" w:ascii="仿宋_GB2312" w:eastAsia="仿宋_GB2312"/>
          <w:vanish/>
          <w:sz w:val="32"/>
          <w:szCs w:val="32"/>
          <w:highlight w:val="none"/>
        </w:rPr>
      </w:pPr>
    </w:p>
    <w:p>
      <w:pPr>
        <w:rPr>
          <w:highlight w:val="none"/>
        </w:r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5"/>
        <w:tblW w:w="9038" w:type="dxa"/>
        <w:jc w:val="center"/>
        <w:tblLayout w:type="fixed"/>
        <w:tblCellMar>
          <w:top w:w="0" w:type="dxa"/>
          <w:left w:w="108" w:type="dxa"/>
          <w:bottom w:w="0" w:type="dxa"/>
          <w:right w:w="108" w:type="dxa"/>
        </w:tblCellMar>
      </w:tblPr>
      <w:tblGrid>
        <w:gridCol w:w="585"/>
        <w:gridCol w:w="975"/>
        <w:gridCol w:w="1100"/>
        <w:gridCol w:w="732"/>
        <w:gridCol w:w="1127"/>
        <w:gridCol w:w="448"/>
        <w:gridCol w:w="760"/>
        <w:gridCol w:w="772"/>
        <w:gridCol w:w="361"/>
        <w:gridCol w:w="202"/>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2024年永定河丰台段岸坡保洁费</w:t>
            </w:r>
          </w:p>
        </w:tc>
      </w:tr>
      <w:tr>
        <w:tblPrEx>
          <w:tblCellMar>
            <w:top w:w="0" w:type="dxa"/>
            <w:left w:w="108" w:type="dxa"/>
            <w:bottom w:w="0" w:type="dxa"/>
            <w:right w:w="108" w:type="dxa"/>
          </w:tblCellMar>
        </w:tblPrEx>
        <w:trPr>
          <w:trHeight w:val="523"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167"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eastAsia="zh-CN"/>
              </w:rPr>
              <w:t>北京市</w:t>
            </w:r>
            <w:r>
              <w:rPr>
                <w:rFonts w:hint="eastAsia" w:ascii="仿宋_GB2312" w:hAnsi="宋体" w:eastAsia="仿宋_GB2312" w:cs="宋体"/>
                <w:kern w:val="0"/>
                <w:szCs w:val="21"/>
              </w:rPr>
              <w:t>丰台区水务局</w:t>
            </w:r>
          </w:p>
        </w:tc>
        <w:tc>
          <w:tcPr>
            <w:tcW w:w="113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rPr>
              <w:t>实施单位</w:t>
            </w:r>
          </w:p>
        </w:tc>
        <w:tc>
          <w:tcPr>
            <w:tcW w:w="2178"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eastAsia="zh-CN"/>
              </w:rPr>
              <w:t>北京市</w:t>
            </w:r>
            <w:r>
              <w:rPr>
                <w:rFonts w:hint="eastAsia" w:ascii="仿宋_GB2312" w:hAnsi="宋体" w:eastAsia="仿宋_GB2312" w:cs="宋体"/>
                <w:kern w:val="0"/>
                <w:szCs w:val="21"/>
              </w:rPr>
              <w:t>丰台区永定河管理所</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208"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62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164.25</w:t>
            </w:r>
          </w:p>
        </w:tc>
        <w:tc>
          <w:tcPr>
            <w:tcW w:w="1208"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163.33</w:t>
            </w:r>
          </w:p>
        </w:tc>
        <w:tc>
          <w:tcPr>
            <w:tcW w:w="113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163.33</w:t>
            </w:r>
          </w:p>
        </w:tc>
        <w:tc>
          <w:tcPr>
            <w:tcW w:w="62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164.25</w:t>
            </w:r>
          </w:p>
        </w:tc>
        <w:tc>
          <w:tcPr>
            <w:tcW w:w="1208"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163.33</w:t>
            </w:r>
          </w:p>
        </w:tc>
        <w:tc>
          <w:tcPr>
            <w:tcW w:w="113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163.33</w:t>
            </w:r>
          </w:p>
        </w:tc>
        <w:tc>
          <w:tcPr>
            <w:tcW w:w="62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208"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62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208"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3"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62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142"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11"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2662"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142"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永定河丰台段河道全长14.3公里，包括园博湖、园博湿地、晓月湖、宛平湖及下游河道。园博湖岸坡131万平米，园博湿地37.5万平米，宛平湖晓月湖岸坡35.9571万平米。</w:t>
            </w:r>
          </w:p>
          <w:p>
            <w:pPr>
              <w:widowControl/>
              <w:spacing w:line="240" w:lineRule="exact"/>
              <w:jc w:val="left"/>
              <w:rPr>
                <w:rFonts w:hint="eastAsia"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依据《北京市河湖保护管理条例》规定，河湖管理单位应落实河湖环境卫生责任。总绩效目标是采用人防措施对“三湖一湿地”进行岸坡保洁工作。有效的保证上述管理范围的环境卫生，做到清理及时，确保干净整洁，防治水环境污染。</w:t>
            </w:r>
          </w:p>
        </w:tc>
        <w:tc>
          <w:tcPr>
            <w:tcW w:w="3311"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6"/>
                <w:szCs w:val="16"/>
                <w:highlight w:val="none"/>
              </w:rPr>
            </w:pPr>
            <w:r>
              <w:rPr>
                <w:rFonts w:hint="eastAsia" w:ascii="仿宋_GB2312" w:hAnsi="宋体" w:eastAsia="仿宋_GB2312" w:cs="宋体"/>
                <w:kern w:val="0"/>
                <w:sz w:val="16"/>
                <w:szCs w:val="16"/>
                <w:highlight w:val="none"/>
                <w:lang w:val="en-US" w:eastAsia="zh-CN"/>
              </w:rPr>
              <w:t>完成了</w:t>
            </w:r>
            <w:r>
              <w:rPr>
                <w:rFonts w:hint="eastAsia" w:ascii="仿宋_GB2312" w:hAnsi="宋体" w:eastAsia="仿宋_GB2312" w:cs="宋体"/>
                <w:kern w:val="0"/>
                <w:sz w:val="16"/>
                <w:szCs w:val="16"/>
                <w:highlight w:val="none"/>
              </w:rPr>
              <w:t>永定河丰台段河道全长14.3公里，包括园博湖、园博湿地、晓月湖、宛平湖及下游河道。园博湖岸坡131万平米，园博湿地37.5万平米，宛平湖晓月湖岸坡35.9571万平米</w:t>
            </w:r>
            <w:r>
              <w:rPr>
                <w:rFonts w:hint="eastAsia" w:ascii="仿宋_GB2312" w:hAnsi="宋体" w:eastAsia="仿宋_GB2312" w:cs="宋体"/>
                <w:kern w:val="0"/>
                <w:sz w:val="16"/>
                <w:szCs w:val="16"/>
                <w:highlight w:val="none"/>
                <w:lang w:val="en-US" w:eastAsia="zh-CN"/>
              </w:rPr>
              <w:t>的养护任务</w:t>
            </w:r>
            <w:r>
              <w:rPr>
                <w:rFonts w:hint="eastAsia" w:ascii="仿宋_GB2312" w:hAnsi="宋体" w:eastAsia="仿宋_GB2312" w:cs="宋体"/>
                <w:kern w:val="0"/>
                <w:sz w:val="16"/>
                <w:szCs w:val="16"/>
                <w:highlight w:val="none"/>
              </w:rPr>
              <w:t>。</w:t>
            </w:r>
          </w:p>
          <w:p>
            <w:pPr>
              <w:widowControl/>
              <w:spacing w:line="240" w:lineRule="exact"/>
              <w:jc w:val="left"/>
              <w:rPr>
                <w:rFonts w:hint="eastAsia" w:ascii="仿宋_GB2312" w:hAnsi="宋体" w:eastAsia="仿宋_GB2312" w:cs="宋体"/>
                <w:kern w:val="0"/>
                <w:sz w:val="16"/>
                <w:szCs w:val="16"/>
                <w:highlight w:val="none"/>
              </w:rPr>
            </w:pPr>
            <w:r>
              <w:rPr>
                <w:rFonts w:hint="eastAsia" w:ascii="仿宋_GB2312" w:hAnsi="宋体" w:eastAsia="仿宋_GB2312" w:cs="宋体"/>
                <w:kern w:val="0"/>
                <w:sz w:val="16"/>
                <w:szCs w:val="16"/>
                <w:highlight w:val="none"/>
              </w:rPr>
              <w:t>依据《北京市河湖保护管理条例》规定，河湖管理单位应落实河湖环境卫生责任。总绩效目标是采用人防措施对“三湖一湿地”进行岸坡保洁工作。有效的保证上述管理范围的环境卫生，做到清理及时，确保干净整洁，防治水环境污染。</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30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76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77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0"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30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6"/>
                <w:szCs w:val="16"/>
                <w:highlight w:val="none"/>
              </w:rPr>
            </w:pPr>
            <w:r>
              <w:rPr>
                <w:rFonts w:hint="eastAsia" w:ascii="仿宋_GB2312" w:hAnsi="宋体" w:eastAsia="仿宋_GB2312" w:cs="宋体"/>
                <w:color w:val="000000"/>
                <w:kern w:val="0"/>
                <w:sz w:val="16"/>
                <w:szCs w:val="16"/>
                <w:highlight w:val="none"/>
              </w:rPr>
              <w:t>卫生保洁范围覆盖率</w:t>
            </w:r>
          </w:p>
        </w:tc>
        <w:tc>
          <w:tcPr>
            <w:tcW w:w="76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90%</w:t>
            </w:r>
          </w:p>
        </w:tc>
        <w:tc>
          <w:tcPr>
            <w:tcW w:w="77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90%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8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30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6"/>
                <w:szCs w:val="16"/>
                <w:highlight w:val="none"/>
              </w:rPr>
            </w:pPr>
            <w:r>
              <w:rPr>
                <w:rFonts w:hint="eastAsia" w:ascii="仿宋_GB2312" w:hAnsi="宋体" w:eastAsia="仿宋_GB2312" w:cs="宋体"/>
                <w:color w:val="000000"/>
                <w:kern w:val="0"/>
                <w:sz w:val="16"/>
                <w:szCs w:val="16"/>
                <w:highlight w:val="none"/>
              </w:rPr>
              <w:t>“三湖一湿地”每计量单位内各类污染物面积不得</w:t>
            </w:r>
          </w:p>
        </w:tc>
        <w:tc>
          <w:tcPr>
            <w:tcW w:w="76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0.5平米</w:t>
            </w:r>
          </w:p>
        </w:tc>
        <w:tc>
          <w:tcPr>
            <w:tcW w:w="77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0.5平米</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7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30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6"/>
                <w:szCs w:val="16"/>
                <w:highlight w:val="none"/>
                <w:lang w:eastAsia="zh-CN"/>
              </w:rPr>
            </w:pPr>
            <w:r>
              <w:rPr>
                <w:rFonts w:hint="eastAsia" w:ascii="仿宋_GB2312" w:hAnsi="宋体" w:eastAsia="仿宋_GB2312" w:cs="宋体"/>
                <w:color w:val="000000"/>
                <w:kern w:val="0"/>
                <w:sz w:val="16"/>
                <w:szCs w:val="16"/>
                <w:highlight w:val="none"/>
                <w:lang w:eastAsia="zh-CN"/>
              </w:rPr>
              <w:t>下游河道范围每计量单位各类污染物累计面积不得</w:t>
            </w:r>
          </w:p>
        </w:tc>
        <w:tc>
          <w:tcPr>
            <w:tcW w:w="760" w:type="dxa"/>
            <w:tcBorders>
              <w:top w:val="single" w:color="auto" w:sz="4" w:space="0"/>
              <w:left w:val="nil"/>
              <w:bottom w:val="single" w:color="auto" w:sz="4" w:space="0"/>
              <w:right w:val="single" w:color="auto" w:sz="4" w:space="0"/>
            </w:tcBorders>
            <w:noWrap w:val="0"/>
            <w:vAlign w:val="center"/>
          </w:tcPr>
          <w:p>
            <w:pPr>
              <w:widowControl/>
              <w:spacing w:line="240" w:lineRule="exact"/>
              <w:jc w:val="both"/>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1.5平米</w:t>
            </w:r>
          </w:p>
        </w:tc>
        <w:tc>
          <w:tcPr>
            <w:tcW w:w="772" w:type="dxa"/>
            <w:tcBorders>
              <w:top w:val="single" w:color="auto" w:sz="4" w:space="0"/>
              <w:left w:val="nil"/>
              <w:bottom w:val="single" w:color="auto" w:sz="4" w:space="0"/>
              <w:right w:val="single" w:color="auto" w:sz="4" w:space="0"/>
            </w:tcBorders>
            <w:noWrap w:val="0"/>
            <w:vAlign w:val="center"/>
          </w:tcPr>
          <w:p>
            <w:pPr>
              <w:widowControl/>
              <w:spacing w:line="240" w:lineRule="exact"/>
              <w:jc w:val="both"/>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1.5平米</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36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0"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30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6"/>
                <w:szCs w:val="16"/>
                <w:highlight w:val="none"/>
              </w:rPr>
            </w:pPr>
            <w:r>
              <w:rPr>
                <w:rFonts w:hint="eastAsia" w:ascii="仿宋_GB2312" w:hAnsi="宋体" w:eastAsia="仿宋_GB2312" w:cs="宋体"/>
                <w:color w:val="000000"/>
                <w:kern w:val="0"/>
                <w:sz w:val="16"/>
                <w:szCs w:val="16"/>
                <w:highlight w:val="none"/>
              </w:rPr>
              <w:t>支出进度：截止11月30日</w:t>
            </w:r>
          </w:p>
        </w:tc>
        <w:tc>
          <w:tcPr>
            <w:tcW w:w="76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7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3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30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6"/>
                <w:szCs w:val="16"/>
                <w:highlight w:val="none"/>
              </w:rPr>
            </w:pPr>
            <w:r>
              <w:rPr>
                <w:rFonts w:hint="eastAsia" w:ascii="仿宋_GB2312" w:hAnsi="宋体" w:eastAsia="仿宋_GB2312" w:cs="宋体"/>
                <w:color w:val="000000"/>
                <w:kern w:val="0"/>
                <w:sz w:val="16"/>
                <w:szCs w:val="16"/>
                <w:highlight w:val="none"/>
              </w:rPr>
              <w:t>按规定时间完成各区域卫生保洁工作，每月进行现场考核</w:t>
            </w:r>
          </w:p>
        </w:tc>
        <w:tc>
          <w:tcPr>
            <w:tcW w:w="76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90%</w:t>
            </w:r>
          </w:p>
        </w:tc>
        <w:tc>
          <w:tcPr>
            <w:tcW w:w="77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90%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生态效益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30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6"/>
                <w:szCs w:val="16"/>
                <w:highlight w:val="none"/>
              </w:rPr>
            </w:pPr>
            <w:r>
              <w:rPr>
                <w:rFonts w:hint="eastAsia" w:ascii="仿宋_GB2312" w:hAnsi="宋体" w:eastAsia="仿宋_GB2312" w:cs="宋体"/>
                <w:color w:val="000000"/>
                <w:kern w:val="0"/>
                <w:sz w:val="16"/>
                <w:szCs w:val="16"/>
                <w:highlight w:val="none"/>
              </w:rPr>
              <w:t>管理范围内的卫生保洁工作达标率</w:t>
            </w:r>
          </w:p>
        </w:tc>
        <w:tc>
          <w:tcPr>
            <w:tcW w:w="76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90%</w:t>
            </w:r>
          </w:p>
        </w:tc>
        <w:tc>
          <w:tcPr>
            <w:tcW w:w="77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90%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4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成本指标</w:t>
            </w:r>
          </w:p>
        </w:tc>
        <w:tc>
          <w:tcPr>
            <w:tcW w:w="1100"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经济成本指标</w:t>
            </w:r>
          </w:p>
        </w:tc>
        <w:tc>
          <w:tcPr>
            <w:tcW w:w="230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6"/>
                <w:szCs w:val="16"/>
                <w:highlight w:val="none"/>
              </w:rPr>
            </w:pPr>
            <w:r>
              <w:rPr>
                <w:rFonts w:hint="eastAsia" w:ascii="仿宋_GB2312" w:hAnsi="宋体" w:eastAsia="仿宋_GB2312" w:cs="宋体"/>
                <w:color w:val="000000"/>
                <w:kern w:val="0"/>
                <w:sz w:val="16"/>
                <w:szCs w:val="16"/>
                <w:highlight w:val="none"/>
              </w:rPr>
              <w:t>《北京水利工程维修养护预算定额》一级岸坡保洁，每平米*年</w:t>
            </w:r>
          </w:p>
        </w:tc>
        <w:tc>
          <w:tcPr>
            <w:tcW w:w="76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3.88元/平方米</w:t>
            </w:r>
          </w:p>
        </w:tc>
        <w:tc>
          <w:tcPr>
            <w:tcW w:w="77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3.88元/平方米</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1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00"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服务对象满意度标</w:t>
            </w:r>
          </w:p>
        </w:tc>
        <w:tc>
          <w:tcPr>
            <w:tcW w:w="230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6"/>
                <w:szCs w:val="16"/>
                <w:highlight w:val="none"/>
              </w:rPr>
            </w:pPr>
            <w:r>
              <w:rPr>
                <w:rFonts w:hint="eastAsia" w:ascii="仿宋_GB2312" w:hAnsi="宋体" w:eastAsia="仿宋_GB2312" w:cs="宋体"/>
                <w:color w:val="000000"/>
                <w:kern w:val="0"/>
                <w:sz w:val="16"/>
                <w:szCs w:val="16"/>
                <w:highlight w:val="none"/>
              </w:rPr>
              <w:t>为游客营造良好的游览、休闲空间，游客满意率</w:t>
            </w:r>
          </w:p>
        </w:tc>
        <w:tc>
          <w:tcPr>
            <w:tcW w:w="760"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90%</w:t>
            </w:r>
          </w:p>
        </w:tc>
        <w:tc>
          <w:tcPr>
            <w:tcW w:w="772"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90%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rPr>
          <w:highlight w:val="none"/>
        </w:r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5"/>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2024年永定河丰台段安全巡视费</w:t>
            </w:r>
          </w:p>
        </w:tc>
      </w:tr>
      <w:tr>
        <w:tblPrEx>
          <w:tblCellMar>
            <w:top w:w="0" w:type="dxa"/>
            <w:left w:w="108" w:type="dxa"/>
            <w:bottom w:w="0" w:type="dxa"/>
            <w:right w:w="108" w:type="dxa"/>
          </w:tblCellMar>
        </w:tblPrEx>
        <w:trPr>
          <w:trHeight w:val="470"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eastAsia="zh-CN"/>
              </w:rPr>
              <w:t>北京市</w:t>
            </w:r>
            <w:r>
              <w:rPr>
                <w:rFonts w:hint="eastAsia" w:ascii="仿宋_GB2312" w:hAnsi="宋体" w:eastAsia="仿宋_GB2312" w:cs="宋体"/>
                <w:kern w:val="0"/>
                <w:szCs w:val="21"/>
              </w:rPr>
              <w:t>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eastAsia="zh-CN"/>
              </w:rPr>
              <w:t>北京市</w:t>
            </w:r>
            <w:r>
              <w:rPr>
                <w:rFonts w:hint="eastAsia" w:ascii="仿宋_GB2312" w:hAnsi="宋体" w:eastAsia="仿宋_GB2312" w:cs="宋体"/>
                <w:kern w:val="0"/>
                <w:szCs w:val="21"/>
              </w:rPr>
              <w:t>丰台区永定河管理所</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238</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236.4988</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236.4988</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412"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238</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236.4988</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236.4988</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6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21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1"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2774"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永定河丰台段河道全长14.3公里，包括园博湖、园博湿地、晓月湖、宛平湖及下游河道。丰台段堤防管理长度14.6公里，其中左堤路9.1公里为社会道路。</w:t>
            </w:r>
          </w:p>
          <w:p>
            <w:pPr>
              <w:widowControl/>
              <w:spacing w:line="240" w:lineRule="exact"/>
              <w:jc w:val="lef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为保障永定河丰台段我所管辖范围内的水域及人民群众生命安全，最大限度的预防溺亡事故发生，保障国有土地资源不被不法分子盗用，严厉打击盗取砂石、土料及非法倾倒垃圾行为。同时根据2022年市河长办印发的《北京市防溺水专项行动方案》通知要求，我所需委托专业公司开展安全巡视工作。</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6"/>
                <w:szCs w:val="16"/>
                <w:highlight w:val="none"/>
              </w:rPr>
            </w:pPr>
            <w:r>
              <w:rPr>
                <w:rFonts w:hint="eastAsia" w:ascii="仿宋_GB2312" w:hAnsi="宋体" w:eastAsia="仿宋_GB2312" w:cs="宋体"/>
                <w:kern w:val="0"/>
                <w:sz w:val="16"/>
                <w:szCs w:val="16"/>
                <w:highlight w:val="none"/>
              </w:rPr>
              <w:t>永定河丰台段河道全长14.3公里，包括园博湖、园博湿地、晓月湖、宛平湖及下游河道。丰台段堤防管理长度14.6公里，其中左堤路9.1公里为社会道路。</w:t>
            </w:r>
          </w:p>
          <w:p>
            <w:pPr>
              <w:widowControl/>
              <w:spacing w:line="240" w:lineRule="exact"/>
              <w:jc w:val="left"/>
              <w:rPr>
                <w:rFonts w:hint="eastAsia" w:ascii="仿宋_GB2312" w:hAnsi="宋体" w:eastAsia="仿宋_GB2312" w:cs="宋体"/>
                <w:kern w:val="0"/>
                <w:sz w:val="16"/>
                <w:szCs w:val="16"/>
                <w:highlight w:val="none"/>
              </w:rPr>
            </w:pPr>
            <w:r>
              <w:rPr>
                <w:rFonts w:hint="eastAsia" w:ascii="仿宋_GB2312" w:hAnsi="宋体" w:eastAsia="仿宋_GB2312" w:cs="宋体"/>
                <w:kern w:val="0"/>
                <w:sz w:val="16"/>
                <w:szCs w:val="16"/>
                <w:highlight w:val="none"/>
              </w:rPr>
              <w:t>为保障永定河丰台段我所管辖范围内的水域及人民群众生命安全，最大限度的预防溺亡事故发生，保障国有土地资源不被不法分子盗用，严厉打击盗取砂石、土料及非法倾倒垃圾行为。同时根据2022年市河长办印发的《北京市防溺水专项行动方案》通知要求，我所需委托专业公司开展安全巡视工作。</w:t>
            </w:r>
          </w:p>
        </w:tc>
      </w:tr>
      <w:tr>
        <w:tblPrEx>
          <w:tblCellMar>
            <w:top w:w="0" w:type="dxa"/>
            <w:left w:w="108" w:type="dxa"/>
            <w:bottom w:w="0" w:type="dxa"/>
            <w:right w:w="108" w:type="dxa"/>
          </w:tblCellMar>
        </w:tblPrEx>
        <w:trPr>
          <w:trHeight w:val="7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35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6"/>
                <w:szCs w:val="16"/>
                <w:highlight w:val="none"/>
              </w:rPr>
            </w:pPr>
            <w:r>
              <w:rPr>
                <w:rFonts w:hint="eastAsia" w:ascii="仿宋_GB2312" w:hAnsi="宋体" w:eastAsia="仿宋_GB2312" w:cs="宋体"/>
                <w:color w:val="000000"/>
                <w:kern w:val="0"/>
                <w:sz w:val="16"/>
                <w:szCs w:val="16"/>
                <w:highlight w:val="none"/>
              </w:rPr>
              <w:t>安全巡视月度考核评分指标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345"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6"/>
                <w:szCs w:val="16"/>
                <w:highlight w:val="none"/>
              </w:rPr>
            </w:pPr>
            <w:r>
              <w:rPr>
                <w:rFonts w:hint="eastAsia" w:ascii="仿宋_GB2312" w:hAnsi="宋体" w:eastAsia="仿宋_GB2312" w:cs="宋体"/>
                <w:color w:val="000000"/>
                <w:kern w:val="0"/>
                <w:sz w:val="16"/>
                <w:szCs w:val="16"/>
                <w:highlight w:val="none"/>
              </w:rPr>
              <w:t>安全巡视月度考核评分指标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27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color w:val="000000"/>
                <w:kern w:val="0"/>
                <w:sz w:val="16"/>
                <w:szCs w:val="16"/>
                <w:highlight w:val="none"/>
                <w:lang w:val="en-US" w:eastAsia="zh-CN"/>
              </w:rPr>
            </w:pPr>
            <w:r>
              <w:rPr>
                <w:rFonts w:hint="eastAsia" w:ascii="仿宋_GB2312" w:hAnsi="宋体" w:eastAsia="仿宋_GB2312" w:cs="宋体"/>
                <w:color w:val="000000"/>
                <w:kern w:val="0"/>
                <w:sz w:val="16"/>
                <w:szCs w:val="16"/>
                <w:highlight w:val="none"/>
                <w:lang w:val="en-US" w:eastAsia="zh-CN"/>
              </w:rPr>
              <w:t>左堤路每日巡查范围</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6"/>
                <w:szCs w:val="16"/>
                <w:highlight w:val="none"/>
                <w:lang w:val="en-US" w:eastAsia="zh-CN"/>
              </w:rPr>
            </w:pPr>
            <w:r>
              <w:rPr>
                <w:rFonts w:hint="eastAsia" w:ascii="仿宋_GB2312" w:hAnsi="宋体" w:eastAsia="仿宋_GB2312" w:cs="宋体"/>
                <w:kern w:val="0"/>
                <w:sz w:val="16"/>
                <w:szCs w:val="16"/>
                <w:highlight w:val="none"/>
                <w:lang w:val="en-US" w:eastAsia="zh-CN"/>
              </w:rPr>
              <w:t>9.1公里</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16"/>
                <w:szCs w:val="16"/>
                <w:highlight w:val="none"/>
                <w:lang w:val="en-US" w:eastAsia="zh-CN"/>
              </w:rPr>
            </w:pPr>
            <w:r>
              <w:rPr>
                <w:rFonts w:hint="eastAsia" w:ascii="仿宋_GB2312" w:hAnsi="宋体" w:eastAsia="仿宋_GB2312" w:cs="宋体"/>
                <w:kern w:val="0"/>
                <w:sz w:val="16"/>
                <w:szCs w:val="16"/>
                <w:highlight w:val="none"/>
                <w:lang w:val="en-US" w:eastAsia="zh-CN"/>
              </w:rPr>
              <w:t>9.1公里</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每日人员出勤率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2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6"/>
                <w:szCs w:val="16"/>
                <w:highlight w:val="none"/>
              </w:rPr>
            </w:pPr>
            <w:r>
              <w:rPr>
                <w:rFonts w:hint="eastAsia" w:ascii="仿宋_GB2312" w:hAnsi="宋体" w:eastAsia="仿宋_GB2312" w:cs="宋体"/>
                <w:color w:val="000000"/>
                <w:kern w:val="0"/>
                <w:sz w:val="16"/>
                <w:szCs w:val="16"/>
                <w:highlight w:val="none"/>
              </w:rPr>
              <w:t>资金支出进度：截止11月30日</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04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经济效益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6"/>
                <w:szCs w:val="16"/>
                <w:highlight w:val="none"/>
              </w:rPr>
            </w:pPr>
            <w:r>
              <w:rPr>
                <w:rFonts w:hint="eastAsia" w:ascii="仿宋_GB2312" w:hAnsi="宋体" w:eastAsia="仿宋_GB2312" w:cs="宋体"/>
                <w:color w:val="000000"/>
                <w:kern w:val="0"/>
                <w:sz w:val="16"/>
                <w:szCs w:val="16"/>
                <w:highlight w:val="none"/>
              </w:rPr>
              <w:t>依据现行《2022-2023年度北京保安服务行业成本参考价（含税费金）》，普通保安员 5947元/人*月</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5947元</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5947元</w:t>
            </w:r>
          </w:p>
          <w:p>
            <w:pPr>
              <w:widowControl/>
              <w:spacing w:line="240" w:lineRule="exact"/>
              <w:jc w:val="center"/>
              <w:rPr>
                <w:rFonts w:hint="eastAsia" w:ascii="仿宋_GB2312" w:hAnsi="宋体" w:eastAsia="仿宋_GB2312" w:cs="宋体"/>
                <w:kern w:val="0"/>
                <w:szCs w:val="21"/>
                <w:highlight w:val="none"/>
                <w:lang w:val="en-US" w:eastAsia="zh-CN"/>
              </w:rPr>
            </w:pPr>
          </w:p>
          <w:p>
            <w:pPr>
              <w:widowControl/>
              <w:spacing w:line="240" w:lineRule="exact"/>
              <w:jc w:val="center"/>
              <w:rPr>
                <w:rFonts w:hint="default" w:ascii="仿宋_GB2312" w:hAnsi="宋体" w:eastAsia="仿宋_GB2312" w:cs="宋体"/>
                <w:kern w:val="0"/>
                <w:szCs w:val="21"/>
                <w:highlight w:val="none"/>
                <w:lang w:val="en-US" w:eastAsia="zh-CN"/>
              </w:rPr>
            </w:pP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3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6"/>
                <w:szCs w:val="16"/>
                <w:highlight w:val="none"/>
              </w:rPr>
            </w:pPr>
            <w:r>
              <w:rPr>
                <w:rFonts w:hint="eastAsia" w:ascii="仿宋_GB2312" w:hAnsi="宋体" w:eastAsia="仿宋_GB2312" w:cs="宋体"/>
                <w:color w:val="000000"/>
                <w:kern w:val="0"/>
                <w:sz w:val="16"/>
                <w:szCs w:val="16"/>
                <w:highlight w:val="none"/>
              </w:rPr>
              <w:t>保障河道安全，重点区域巡查到位</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99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成本指标</w:t>
            </w:r>
          </w:p>
        </w:tc>
        <w:tc>
          <w:tcPr>
            <w:tcW w:w="110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经济成本指标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5"/>
                <w:szCs w:val="15"/>
                <w:highlight w:val="none"/>
              </w:rPr>
            </w:pPr>
            <w:r>
              <w:rPr>
                <w:rFonts w:hint="eastAsia" w:ascii="仿宋_GB2312" w:hAnsi="宋体" w:eastAsia="仿宋_GB2312" w:cs="宋体"/>
                <w:color w:val="000000"/>
                <w:kern w:val="0"/>
                <w:sz w:val="15"/>
                <w:szCs w:val="15"/>
                <w:highlight w:val="none"/>
              </w:rPr>
              <w:t>依据现行《2022-2023年度北京保安服务行业成本参考价（含税费金）》，普通保安员 5947元/人*月</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5947元</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5947元</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6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服务对象满意度</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370"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rPr>
          <w:highlight w:val="none"/>
        </w:r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5"/>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2024年永定河丰台段水利设施维护费</w:t>
            </w:r>
          </w:p>
        </w:tc>
      </w:tr>
      <w:tr>
        <w:tblPrEx>
          <w:tblCellMar>
            <w:top w:w="0" w:type="dxa"/>
            <w:left w:w="108" w:type="dxa"/>
            <w:bottom w:w="0" w:type="dxa"/>
            <w:right w:w="108" w:type="dxa"/>
          </w:tblCellMar>
        </w:tblPrEx>
        <w:trPr>
          <w:trHeight w:val="509"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eastAsia="zh-CN"/>
              </w:rPr>
              <w:t>北京市</w:t>
            </w:r>
            <w:r>
              <w:rPr>
                <w:rFonts w:hint="eastAsia" w:ascii="仿宋_GB2312" w:hAnsi="宋体" w:eastAsia="仿宋_GB2312" w:cs="宋体"/>
                <w:kern w:val="0"/>
                <w:szCs w:val="21"/>
              </w:rPr>
              <w:t>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lang w:val="en-US" w:eastAsia="zh-CN" w:bidi="ar-SA"/>
              </w:rPr>
            </w:pPr>
            <w:r>
              <w:rPr>
                <w:rFonts w:hint="eastAsia" w:ascii="仿宋_GB2312" w:hAnsi="宋体" w:eastAsia="仿宋_GB2312" w:cs="宋体"/>
                <w:kern w:val="0"/>
                <w:szCs w:val="21"/>
                <w:lang w:eastAsia="zh-CN"/>
              </w:rPr>
              <w:t>北京市</w:t>
            </w:r>
            <w:r>
              <w:rPr>
                <w:rFonts w:hint="eastAsia" w:ascii="仿宋_GB2312" w:hAnsi="宋体" w:eastAsia="仿宋_GB2312" w:cs="宋体"/>
                <w:kern w:val="0"/>
                <w:szCs w:val="21"/>
              </w:rPr>
              <w:t>丰台区永定河管理所</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161.25</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160.7</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160.7</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161.25</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160.7</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160.7</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2896"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永定河丰台段河道全长14.3公里，包括园博湖、园博湿地、晓月湖、宛平湖及下游河道。园博湖占地246万平米，陆地面积131万平米，园博湿地占地37.5万平米，宛平湖、晓月湖总占地145.73万平米，陆地面积33.95万平米。总绩效目标是通过日常的设施维护保养工作，保障永定河丰台段水利设施运行正常，为游客提供安全、方便的游览环境，同时保障湖区各配电箱安全运行。为游客提供安全、方便的游览环境，同时保障湖区各配电箱安全运行。</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完成永定河丰台段河道全长14.3公里，包括园博湖、园博湿地、晓月湖、宛平湖及下游河道。园博湖占地246万平米，陆地面积131万平米，园博湿地占地37.5万平米，宛平湖、晓月湖总占地145.73万平米，陆地面积33.95万平米。总绩效目标是通过日常的设施维护保养工作，保障永定河丰台段水利设施运行正常，为游客提供安全、方便的游览环境，同时保障湖区各配电箱安全运行。</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53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园博湿地水利设施维护范围</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400000平米</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400000平米</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宛平湖晓月湖水利设施维护范围</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339500平米</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339500平米</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2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园博湖水利设施维护范围</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both"/>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1310000平米</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1310000平米</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水利设施维护巡检率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90%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24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水利设施维护合格率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90%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90%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9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资金支出进度：截止11月30日</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5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生态效益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设施运行正常率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90%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90%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7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成本指标</w:t>
            </w:r>
          </w:p>
        </w:tc>
        <w:tc>
          <w:tcPr>
            <w:tcW w:w="110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经济成本指标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设施维护费为每年每平米</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4.2元</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4.2</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385"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rPr>
          <w:highlight w:val="none"/>
        </w:rPr>
      </w:pPr>
    </w:p>
    <w:p>
      <w:pPr>
        <w:spacing w:line="480" w:lineRule="exact"/>
        <w:rPr>
          <w:rFonts w:hint="eastAsia" w:ascii="黑体" w:hAnsi="黑体" w:eastAsia="黑体"/>
          <w:sz w:val="32"/>
          <w:szCs w:val="32"/>
          <w:highlight w:val="none"/>
        </w:rPr>
      </w:pPr>
      <w:r>
        <w:rPr>
          <w:rFonts w:hint="eastAsia" w:ascii="黑体" w:hAnsi="黑体" w:eastAsia="黑体"/>
          <w:sz w:val="32"/>
          <w:szCs w:val="32"/>
        </w:rPr>
        <w:t xml:space="preserve">       </w:t>
      </w: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5"/>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273"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2024年永定河丰台段监控系统维护费</w:t>
            </w:r>
          </w:p>
        </w:tc>
      </w:tr>
      <w:tr>
        <w:tblPrEx>
          <w:tblCellMar>
            <w:top w:w="0" w:type="dxa"/>
            <w:left w:w="108" w:type="dxa"/>
            <w:bottom w:w="0" w:type="dxa"/>
            <w:right w:w="108" w:type="dxa"/>
          </w:tblCellMar>
        </w:tblPrEx>
        <w:trPr>
          <w:trHeight w:val="472"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eastAsia="zh-CN"/>
              </w:rPr>
              <w:t>北京市</w:t>
            </w:r>
            <w:r>
              <w:rPr>
                <w:rFonts w:hint="eastAsia" w:ascii="仿宋_GB2312" w:hAnsi="宋体" w:eastAsia="仿宋_GB2312" w:cs="宋体"/>
                <w:kern w:val="0"/>
                <w:szCs w:val="21"/>
              </w:rPr>
              <w:t>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eastAsia="zh-CN"/>
              </w:rPr>
              <w:t>北京市</w:t>
            </w:r>
            <w:r>
              <w:rPr>
                <w:rFonts w:hint="eastAsia" w:ascii="仿宋_GB2312" w:hAnsi="宋体" w:eastAsia="仿宋_GB2312" w:cs="宋体"/>
                <w:kern w:val="0"/>
                <w:szCs w:val="21"/>
              </w:rPr>
              <w:t>丰台区永定河管理所</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12</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11.9380</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11.9380</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12</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11.9380</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11.9380</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471"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2868"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20"/>
                <w:szCs w:val="20"/>
                <w:highlight w:val="none"/>
              </w:rPr>
            </w:pPr>
            <w:r>
              <w:rPr>
                <w:rFonts w:hint="eastAsia" w:ascii="仿宋_GB2312" w:hAnsi="宋体" w:eastAsia="仿宋_GB2312" w:cs="宋体"/>
                <w:kern w:val="0"/>
                <w:sz w:val="20"/>
                <w:szCs w:val="20"/>
                <w:highlight w:val="none"/>
              </w:rPr>
              <w:t>为了提高永定河丰台段管护水平，利用技防手段及时发现非法捕鱼、违规游泳等涉水危险行为，保障湖区游客及水利设施运行安全，我所于2012年在园博湖、园博湿地、晓月湖、宛平湖及左堤下游堤顶路范围安装了120处视频监控探头，并在园博湿地和晓月湖建立了两处视频监控室。为保障监控系统正常运行，需全年对监控系统进行定期维护保养，对不可预见的故障及损坏设备进行维修。</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tabs>
                <w:tab w:val="left" w:pos="958"/>
              </w:tabs>
              <w:spacing w:line="240" w:lineRule="exact"/>
              <w:jc w:val="left"/>
              <w:rPr>
                <w:rFonts w:hint="eastAsia" w:ascii="仿宋_GB2312" w:hAnsi="宋体" w:eastAsia="仿宋_GB2312" w:cs="宋体"/>
                <w:kern w:val="0"/>
                <w:sz w:val="20"/>
                <w:szCs w:val="20"/>
                <w:highlight w:val="none"/>
                <w:lang w:eastAsia="zh-CN"/>
              </w:rPr>
            </w:pPr>
            <w:r>
              <w:rPr>
                <w:rFonts w:hint="eastAsia" w:ascii="仿宋_GB2312" w:hAnsi="宋体" w:eastAsia="仿宋_GB2312" w:cs="宋体"/>
                <w:kern w:val="0"/>
                <w:sz w:val="20"/>
                <w:szCs w:val="20"/>
                <w:highlight w:val="none"/>
                <w:lang w:eastAsia="zh-CN"/>
              </w:rPr>
              <w:t>为了提高永定河丰台段管护水平，利用技防手段及时发现非法捕鱼、违规游泳等涉水危险行为，保障湖区游客及水利设施运行安全，我所于2012年在园博湖、园博湿地、晓月湖、宛平湖及左堤下游堤顶路范围安装了120处视频监控探头，并在园博湿地和晓月湖建立了两处视频监控室。为保障监控系统正常运行，需全年对监控系统进行定期维护保养，对不可预见的故障及损坏设备进行维修。</w:t>
            </w:r>
          </w:p>
        </w:tc>
      </w:tr>
      <w:tr>
        <w:tblPrEx>
          <w:tblCellMar>
            <w:top w:w="0" w:type="dxa"/>
            <w:left w:w="108" w:type="dxa"/>
            <w:bottom w:w="0" w:type="dxa"/>
            <w:right w:w="108" w:type="dxa"/>
          </w:tblCellMar>
        </w:tblPrEx>
        <w:trPr>
          <w:trHeight w:val="74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305"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产出指标</w:t>
            </w:r>
          </w:p>
        </w:tc>
        <w:tc>
          <w:tcPr>
            <w:tcW w:w="110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21"/>
                <w:szCs w:val="21"/>
                <w:highlight w:val="none"/>
                <w:lang w:val="en-US" w:eastAsia="zh-CN" w:bidi="ar-SA"/>
              </w:rPr>
            </w:pPr>
            <w:r>
              <w:rPr>
                <w:rFonts w:hint="eastAsia" w:ascii="仿宋_GB2312" w:hAnsi="宋体" w:eastAsia="仿宋_GB2312" w:cs="宋体"/>
                <w:color w:val="000000"/>
                <w:kern w:val="0"/>
                <w:szCs w:val="21"/>
                <w:highlight w:val="none"/>
                <w:lang w:val="en-US" w:eastAsia="zh-CN"/>
              </w:rPr>
              <w:t>数据维护数量</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2条</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21"/>
                <w:szCs w:val="21"/>
                <w:highlight w:val="none"/>
                <w:lang w:val="en-US" w:eastAsia="zh-CN" w:bidi="ar-SA"/>
              </w:rPr>
            </w:pPr>
            <w:r>
              <w:rPr>
                <w:rFonts w:hint="eastAsia" w:ascii="仿宋_GB2312" w:hAnsi="宋体" w:eastAsia="仿宋_GB2312" w:cs="宋体"/>
                <w:color w:val="000000"/>
                <w:kern w:val="0"/>
                <w:szCs w:val="21"/>
                <w:highlight w:val="none"/>
              </w:rPr>
              <w:t>数据差错率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36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21"/>
                <w:szCs w:val="21"/>
                <w:highlight w:val="none"/>
                <w:lang w:val="en-US" w:eastAsia="zh-CN" w:bidi="ar-SA"/>
              </w:rPr>
            </w:pPr>
            <w:r>
              <w:rPr>
                <w:rFonts w:hint="eastAsia" w:ascii="仿宋_GB2312" w:hAnsi="宋体" w:eastAsia="仿宋_GB2312" w:cs="宋体"/>
                <w:color w:val="000000"/>
                <w:kern w:val="0"/>
                <w:szCs w:val="21"/>
                <w:highlight w:val="none"/>
              </w:rPr>
              <w:t>系统故障修复率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rPr>
            </w:pPr>
          </w:p>
        </w:tc>
      </w:tr>
      <w:tr>
        <w:tblPrEx>
          <w:tblCellMar>
            <w:top w:w="0" w:type="dxa"/>
            <w:left w:w="108" w:type="dxa"/>
            <w:bottom w:w="0" w:type="dxa"/>
            <w:right w:w="108" w:type="dxa"/>
          </w:tblCellMar>
        </w:tblPrEx>
        <w:trPr>
          <w:trHeight w:val="36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21"/>
                <w:szCs w:val="21"/>
                <w:highlight w:val="none"/>
                <w:lang w:val="en-US" w:eastAsia="zh-CN" w:bidi="ar-SA"/>
              </w:rPr>
            </w:pPr>
            <w:r>
              <w:rPr>
                <w:rFonts w:hint="eastAsia" w:ascii="仿宋_GB2312" w:hAnsi="宋体" w:eastAsia="仿宋_GB2312" w:cs="宋体"/>
                <w:color w:val="000000"/>
                <w:kern w:val="0"/>
                <w:szCs w:val="21"/>
                <w:highlight w:val="none"/>
                <w:lang w:eastAsia="zh-CN"/>
              </w:rPr>
              <w:t>系统验收合格率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90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90%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rPr>
            </w:pPr>
          </w:p>
        </w:tc>
      </w:tr>
      <w:tr>
        <w:tblPrEx>
          <w:tblCellMar>
            <w:top w:w="0" w:type="dxa"/>
            <w:left w:w="108" w:type="dxa"/>
            <w:bottom w:w="0" w:type="dxa"/>
            <w:right w:w="108" w:type="dxa"/>
          </w:tblCellMar>
        </w:tblPrEx>
        <w:trPr>
          <w:trHeight w:val="36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21"/>
                <w:szCs w:val="21"/>
                <w:highlight w:val="none"/>
                <w:lang w:val="en-US" w:eastAsia="zh-CN" w:bidi="ar-SA"/>
              </w:rPr>
            </w:pPr>
            <w:r>
              <w:rPr>
                <w:rFonts w:hint="eastAsia" w:ascii="仿宋_GB2312" w:hAnsi="宋体" w:eastAsia="仿宋_GB2312" w:cs="宋体"/>
                <w:color w:val="000000"/>
                <w:kern w:val="0"/>
                <w:szCs w:val="21"/>
                <w:highlight w:val="none"/>
                <w:lang w:eastAsia="zh-CN"/>
              </w:rPr>
              <w:t>系统正常运行率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90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90%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rPr>
            </w:pPr>
          </w:p>
        </w:tc>
      </w:tr>
      <w:tr>
        <w:tblPrEx>
          <w:tblCellMar>
            <w:top w:w="0" w:type="dxa"/>
            <w:left w:w="108" w:type="dxa"/>
            <w:bottom w:w="0" w:type="dxa"/>
            <w:right w:w="108" w:type="dxa"/>
          </w:tblCellMar>
        </w:tblPrEx>
        <w:trPr>
          <w:trHeight w:val="275"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终端无故障运行率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rPr>
            </w:pPr>
          </w:p>
        </w:tc>
      </w:tr>
      <w:tr>
        <w:tblPrEx>
          <w:tblCellMar>
            <w:top w:w="0" w:type="dxa"/>
            <w:left w:w="108" w:type="dxa"/>
            <w:bottom w:w="0" w:type="dxa"/>
            <w:right w:w="108" w:type="dxa"/>
          </w:tblCellMar>
        </w:tblPrEx>
        <w:trPr>
          <w:trHeight w:val="43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故障应急响应时间</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60分钟</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60分钟</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21"/>
                <w:szCs w:val="21"/>
                <w:highlight w:val="none"/>
                <w:lang w:val="en-US" w:eastAsia="zh-CN" w:bidi="ar-SA"/>
              </w:rPr>
            </w:pPr>
            <w:r>
              <w:rPr>
                <w:rFonts w:hint="eastAsia" w:ascii="仿宋_GB2312" w:hAnsi="宋体" w:eastAsia="仿宋_GB2312" w:cs="宋体"/>
                <w:color w:val="000000"/>
                <w:kern w:val="0"/>
                <w:szCs w:val="21"/>
                <w:highlight w:val="none"/>
              </w:rPr>
              <w:t>故障修复时间</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6小时</w:t>
            </w:r>
          </w:p>
          <w:p>
            <w:pPr>
              <w:widowControl/>
              <w:spacing w:line="240" w:lineRule="exact"/>
              <w:jc w:val="center"/>
              <w:rPr>
                <w:rFonts w:hint="eastAsia" w:ascii="仿宋_GB2312" w:hAnsi="宋体" w:eastAsia="仿宋_GB2312" w:cs="宋体"/>
                <w:kern w:val="0"/>
                <w:szCs w:val="21"/>
                <w:highlight w:val="none"/>
                <w:lang w:val="en-US" w:eastAsia="zh-CN"/>
              </w:rPr>
            </w:pP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硬件设备巡检频率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6次</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硬件使用率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90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90%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系统利用率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90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90%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6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满意度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服务对象满意度标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使用人员满意度</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34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both"/>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rPr>
          <w:highlight w:val="none"/>
        </w:r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5"/>
        <w:tblW w:w="9038" w:type="dxa"/>
        <w:jc w:val="center"/>
        <w:tblLayout w:type="fixed"/>
        <w:tblCellMar>
          <w:top w:w="0" w:type="dxa"/>
          <w:left w:w="108" w:type="dxa"/>
          <w:bottom w:w="0" w:type="dxa"/>
          <w:right w:w="108" w:type="dxa"/>
        </w:tblCellMar>
      </w:tblPr>
      <w:tblGrid>
        <w:gridCol w:w="585"/>
        <w:gridCol w:w="975"/>
        <w:gridCol w:w="1105"/>
        <w:gridCol w:w="662"/>
        <w:gridCol w:w="1192"/>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2024年园博湖、晓月湖、宛平湖及园博湿地水利设施沉降观测费</w:t>
            </w:r>
          </w:p>
        </w:tc>
      </w:tr>
      <w:tr>
        <w:tblPrEx>
          <w:tblCellMar>
            <w:top w:w="0" w:type="dxa"/>
            <w:left w:w="108" w:type="dxa"/>
            <w:bottom w:w="0" w:type="dxa"/>
            <w:right w:w="108" w:type="dxa"/>
          </w:tblCellMar>
        </w:tblPrEx>
        <w:trPr>
          <w:trHeight w:val="522"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eastAsia="zh-CN"/>
              </w:rPr>
              <w:t>北京市</w:t>
            </w:r>
            <w:r>
              <w:rPr>
                <w:rFonts w:hint="eastAsia" w:ascii="仿宋_GB2312" w:hAnsi="宋体" w:eastAsia="仿宋_GB2312" w:cs="宋体"/>
                <w:kern w:val="0"/>
                <w:szCs w:val="21"/>
              </w:rPr>
              <w:t>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eastAsia="zh-CN"/>
              </w:rPr>
              <w:t>北京市</w:t>
            </w:r>
            <w:r>
              <w:rPr>
                <w:rFonts w:hint="eastAsia" w:ascii="仿宋_GB2312" w:hAnsi="宋体" w:eastAsia="仿宋_GB2312" w:cs="宋体"/>
                <w:kern w:val="0"/>
                <w:szCs w:val="21"/>
              </w:rPr>
              <w:t>丰台区永定河管理所</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76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92"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76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92"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12</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12</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12</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76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9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12</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12</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12</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76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9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767"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92"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7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2196"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园博湖占地246万平米，水面面积115万平米；宛平湖、晓月湖占地145.73万平米，水面面积111.78万平米；园博湿地占地37.5万平米，水面面积35.5万平米。</w:t>
            </w:r>
          </w:p>
          <w:p>
            <w:pPr>
              <w:widowControl/>
              <w:spacing w:line="240" w:lineRule="exact"/>
              <w:jc w:val="left"/>
              <w:rPr>
                <w:rFonts w:hint="eastAsia"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总绩效目标是对园博湖、晓月湖、宛平湖及园博湿地的园路、水工建筑物等112个监测点位进行定期沉降观测工作，保障“三湖一湿地”水利设施运行安全、可控。</w:t>
            </w:r>
          </w:p>
          <w:p>
            <w:pPr>
              <w:widowControl/>
              <w:spacing w:line="240" w:lineRule="exact"/>
              <w:jc w:val="left"/>
              <w:rPr>
                <w:rFonts w:hint="eastAsia" w:ascii="仿宋_GB2312" w:hAnsi="宋体" w:eastAsia="仿宋_GB2312" w:cs="宋体"/>
                <w:kern w:val="0"/>
                <w:sz w:val="18"/>
                <w:szCs w:val="18"/>
                <w:highlight w:val="none"/>
              </w:rPr>
            </w:pPr>
          </w:p>
        </w:tc>
        <w:tc>
          <w:tcPr>
            <w:tcW w:w="3387" w:type="dxa"/>
            <w:gridSpan w:val="7"/>
            <w:tcBorders>
              <w:top w:val="single" w:color="auto" w:sz="4" w:space="0"/>
              <w:left w:val="nil"/>
              <w:bottom w:val="single" w:color="auto" w:sz="4" w:space="0"/>
              <w:right w:val="single" w:color="auto" w:sz="4" w:space="0"/>
            </w:tcBorders>
            <w:noWrap w:val="0"/>
            <w:vAlign w:val="center"/>
          </w:tcPr>
          <w:p>
            <w:pPr>
              <w:widowControl/>
              <w:tabs>
                <w:tab w:val="left" w:pos="253"/>
              </w:tabs>
              <w:spacing w:line="240" w:lineRule="exact"/>
              <w:jc w:val="left"/>
              <w:rPr>
                <w:rFonts w:hint="eastAsia" w:ascii="仿宋_GB2312" w:hAnsi="宋体" w:eastAsia="仿宋_GB2312" w:cs="宋体"/>
                <w:kern w:val="0"/>
                <w:sz w:val="18"/>
                <w:szCs w:val="18"/>
                <w:highlight w:val="none"/>
                <w:lang w:eastAsia="zh-CN"/>
              </w:rPr>
            </w:pPr>
            <w:r>
              <w:rPr>
                <w:rFonts w:hint="eastAsia" w:ascii="仿宋_GB2312" w:hAnsi="宋体" w:eastAsia="仿宋_GB2312" w:cs="宋体"/>
                <w:kern w:val="0"/>
                <w:sz w:val="18"/>
                <w:szCs w:val="18"/>
                <w:highlight w:val="none"/>
                <w:lang w:eastAsia="zh-CN"/>
              </w:rPr>
              <w:tab/>
            </w:r>
            <w:r>
              <w:rPr>
                <w:rFonts w:hint="eastAsia" w:ascii="仿宋_GB2312" w:hAnsi="宋体" w:eastAsia="仿宋_GB2312" w:cs="宋体"/>
                <w:kern w:val="0"/>
                <w:sz w:val="18"/>
                <w:szCs w:val="18"/>
                <w:highlight w:val="none"/>
                <w:lang w:eastAsia="zh-CN"/>
              </w:rPr>
              <w:t>园博湖占地246万平米，水面面积115万平米；宛平湖、晓月湖占地145.73万平米，水面面积111.78万平米；园博湿地占地37.5万平米，水面面积35.5万平米。</w:t>
            </w:r>
          </w:p>
          <w:p>
            <w:pPr>
              <w:widowControl/>
              <w:tabs>
                <w:tab w:val="left" w:pos="253"/>
              </w:tabs>
              <w:spacing w:line="240" w:lineRule="exact"/>
              <w:jc w:val="left"/>
              <w:rPr>
                <w:rFonts w:hint="eastAsia" w:ascii="仿宋_GB2312" w:hAnsi="宋体" w:eastAsia="仿宋_GB2312" w:cs="宋体"/>
                <w:kern w:val="0"/>
                <w:sz w:val="18"/>
                <w:szCs w:val="18"/>
                <w:highlight w:val="none"/>
                <w:lang w:eastAsia="zh-CN"/>
              </w:rPr>
            </w:pPr>
            <w:r>
              <w:rPr>
                <w:rFonts w:hint="eastAsia" w:ascii="仿宋_GB2312" w:hAnsi="宋体" w:eastAsia="仿宋_GB2312" w:cs="宋体"/>
                <w:kern w:val="0"/>
                <w:sz w:val="18"/>
                <w:szCs w:val="18"/>
                <w:highlight w:val="none"/>
                <w:lang w:eastAsia="zh-CN"/>
              </w:rPr>
              <w:t>总绩效目标是对园博湖、晓月湖、宛平湖及园博湿地的园路、水工建筑物等112个监测点位进行定期沉降观测工作，保障“三湖一湿地”水利设施运行安全、可控。</w:t>
            </w:r>
          </w:p>
          <w:p>
            <w:pPr>
              <w:widowControl/>
              <w:tabs>
                <w:tab w:val="left" w:pos="253"/>
              </w:tabs>
              <w:spacing w:line="240" w:lineRule="exact"/>
              <w:jc w:val="left"/>
              <w:rPr>
                <w:rFonts w:hint="eastAsia" w:ascii="仿宋_GB2312" w:hAnsi="宋体" w:eastAsia="仿宋_GB2312" w:cs="宋体"/>
                <w:kern w:val="0"/>
                <w:sz w:val="18"/>
                <w:szCs w:val="18"/>
                <w:highlight w:val="none"/>
                <w:lang w:eastAsia="zh-CN"/>
              </w:rPr>
            </w:pP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48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完成沉降观测点位监测数量</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112个</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112个</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65"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完成沉降观测点位监测频次</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16次</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16次</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6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点位沉降观测设备精度符合率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47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每月进行沉降观测，并在重点时期加密观测频次，每月观测1次、汛期（6-9月）每月2次，全年总次数达标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16次</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16次</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1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支出进度：截止11月30日</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5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保障水利设施运行安全、可控率达标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90%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90%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2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成本指标</w:t>
            </w:r>
          </w:p>
        </w:tc>
        <w:tc>
          <w:tcPr>
            <w:tcW w:w="110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经济成本指标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工程勘察设计收费标准》（2002版），每日每组监测</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1000元</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1000元</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322"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both"/>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rPr>
          <w:highlight w:val="none"/>
        </w:r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5"/>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2024年永定河丰台段堤顶路面垃圾、渣土清理费</w:t>
            </w:r>
          </w:p>
        </w:tc>
      </w:tr>
      <w:tr>
        <w:tblPrEx>
          <w:tblCellMar>
            <w:top w:w="0" w:type="dxa"/>
            <w:left w:w="108" w:type="dxa"/>
            <w:bottom w:w="0" w:type="dxa"/>
            <w:right w:w="108" w:type="dxa"/>
          </w:tblCellMar>
        </w:tblPrEx>
        <w:trPr>
          <w:trHeight w:val="509"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eastAsia="zh-CN"/>
              </w:rPr>
              <w:t>北京市</w:t>
            </w:r>
            <w:r>
              <w:rPr>
                <w:rFonts w:hint="eastAsia" w:ascii="仿宋_GB2312" w:hAnsi="宋体" w:eastAsia="仿宋_GB2312" w:cs="宋体"/>
                <w:kern w:val="0"/>
                <w:szCs w:val="21"/>
              </w:rPr>
              <w:t>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eastAsia="zh-CN"/>
              </w:rPr>
              <w:t>北京市</w:t>
            </w:r>
            <w:r>
              <w:rPr>
                <w:rFonts w:hint="eastAsia" w:ascii="仿宋_GB2312" w:hAnsi="宋体" w:eastAsia="仿宋_GB2312" w:cs="宋体"/>
                <w:kern w:val="0"/>
                <w:szCs w:val="21"/>
              </w:rPr>
              <w:t>丰台区永定河管理所</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18</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18</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18</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18</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18</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18</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91"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3600"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21"/>
                <w:szCs w:val="21"/>
                <w:highlight w:val="none"/>
              </w:rPr>
            </w:pPr>
            <w:r>
              <w:rPr>
                <w:rFonts w:hint="eastAsia" w:ascii="仿宋_GB2312" w:hAnsi="宋体" w:eastAsia="仿宋_GB2312" w:cs="宋体"/>
                <w:kern w:val="0"/>
                <w:sz w:val="21"/>
                <w:szCs w:val="21"/>
                <w:highlight w:val="none"/>
              </w:rPr>
              <w:t>永定河丰台段堤防长度21.94公里，其中我所管理的9.06公里左堤路为一条双向行驶的社会道路。由于堤顶路功能的特殊性，道路沿线路灯稀少，夜间路面昏暗，常有不法分子在堤顶路范围倾倒渣土行为，严重影响堤防安全和车辆正常通行。根据北京市实施《中华人民共和国防洪法》办法的相关规定，需安排专人每日对堤顶路进行巡查，发现垃圾渣土及时清理。</w:t>
            </w:r>
          </w:p>
          <w:p>
            <w:pPr>
              <w:widowControl/>
              <w:spacing w:line="240" w:lineRule="exact"/>
              <w:jc w:val="left"/>
              <w:rPr>
                <w:rFonts w:hint="eastAsia" w:ascii="仿宋_GB2312" w:hAnsi="宋体" w:eastAsia="仿宋_GB2312" w:cs="宋体"/>
                <w:kern w:val="0"/>
                <w:sz w:val="21"/>
                <w:szCs w:val="21"/>
                <w:highlight w:val="none"/>
              </w:rPr>
            </w:pPr>
            <w:r>
              <w:rPr>
                <w:rFonts w:hint="eastAsia" w:ascii="仿宋_GB2312" w:hAnsi="宋体" w:eastAsia="仿宋_GB2312" w:cs="宋体"/>
                <w:kern w:val="0"/>
                <w:sz w:val="21"/>
                <w:szCs w:val="21"/>
                <w:highlight w:val="none"/>
              </w:rPr>
              <w:t>总绩效目标是保障堤顶路范围不存在乱倒垃圾、渣土现象，发现乱倒垃圾、渣土能够及时清理，及时恢复路面交通。</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21"/>
                <w:szCs w:val="21"/>
                <w:highlight w:val="none"/>
              </w:rPr>
            </w:pPr>
            <w:r>
              <w:rPr>
                <w:rFonts w:hint="eastAsia" w:ascii="仿宋_GB2312" w:hAnsi="宋体" w:eastAsia="仿宋_GB2312" w:cs="宋体"/>
                <w:kern w:val="0"/>
                <w:sz w:val="21"/>
                <w:szCs w:val="21"/>
                <w:highlight w:val="none"/>
              </w:rPr>
              <w:t>永定河丰台段堤防长度21.94公里，其中我所管理的9.06公里左堤路为一条双向行驶的社会道路。由于堤顶路功能的特殊性，道路沿线路灯稀少，夜间路面昏暗，常有不法分子在堤顶路范围倾倒渣土行为，严重影响堤防安全和车辆正常通行。根据北京市实施《中华人民共和国防洪法》办法的相关规定，需安排专人每日对堤顶路进行巡查，发现垃圾渣土及时清理。</w:t>
            </w:r>
          </w:p>
          <w:p>
            <w:pPr>
              <w:widowControl/>
              <w:spacing w:line="240" w:lineRule="exact"/>
              <w:jc w:val="left"/>
              <w:rPr>
                <w:rFonts w:hint="eastAsia" w:ascii="仿宋_GB2312" w:hAnsi="宋体" w:eastAsia="仿宋_GB2312" w:cs="宋体"/>
                <w:kern w:val="0"/>
                <w:sz w:val="21"/>
                <w:szCs w:val="21"/>
                <w:highlight w:val="none"/>
              </w:rPr>
            </w:pPr>
            <w:r>
              <w:rPr>
                <w:rFonts w:hint="eastAsia" w:ascii="仿宋_GB2312" w:hAnsi="宋体" w:eastAsia="仿宋_GB2312" w:cs="宋体"/>
                <w:kern w:val="0"/>
                <w:sz w:val="21"/>
                <w:szCs w:val="21"/>
                <w:highlight w:val="none"/>
              </w:rPr>
              <w:t>总绩效目标是保障堤顶路范围不存在乱倒垃圾、渣土现象，发现乱倒垃圾、渣土能够及时清理，及时恢复路面交通。</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堤顶路范围整洁率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305"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每日巡查人员数量</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4人</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4人</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9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lang w:eastAsia="zh-CN"/>
              </w:rPr>
            </w:pPr>
            <w:r>
              <w:rPr>
                <w:rFonts w:hint="eastAsia" w:ascii="仿宋_GB2312" w:hAnsi="宋体" w:eastAsia="仿宋_GB2312" w:cs="宋体"/>
                <w:color w:val="000000"/>
                <w:kern w:val="0"/>
                <w:szCs w:val="21"/>
                <w:highlight w:val="none"/>
                <w:lang w:eastAsia="zh-CN"/>
              </w:rPr>
              <w:t>每日巡查堤顶路长度</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9.06公里</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9.06公里</w:t>
            </w:r>
          </w:p>
          <w:p>
            <w:pPr>
              <w:widowControl/>
              <w:spacing w:line="240" w:lineRule="exact"/>
              <w:jc w:val="center"/>
              <w:rPr>
                <w:rFonts w:hint="eastAsia" w:ascii="仿宋_GB2312" w:hAnsi="宋体" w:eastAsia="仿宋_GB2312" w:cs="宋体"/>
                <w:kern w:val="0"/>
                <w:szCs w:val="21"/>
                <w:highlight w:val="none"/>
                <w:lang w:val="en-US" w:eastAsia="zh-CN"/>
              </w:rPr>
            </w:pPr>
          </w:p>
          <w:p>
            <w:pPr>
              <w:widowControl/>
              <w:spacing w:line="240" w:lineRule="exact"/>
              <w:jc w:val="both"/>
              <w:rPr>
                <w:rFonts w:hint="default" w:ascii="仿宋_GB2312" w:hAnsi="宋体" w:eastAsia="仿宋_GB2312" w:cs="宋体"/>
                <w:kern w:val="0"/>
                <w:szCs w:val="21"/>
                <w:highlight w:val="none"/>
                <w:lang w:val="en-US" w:eastAsia="zh-CN"/>
              </w:rPr>
            </w:pP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2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清理渣土用时</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30分钟</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30分钟</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60"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资金支出进度：截止11月30日</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4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社会效益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指标1：全年因渣土导致交通拥堵次数</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5次</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5次</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30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30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rPr>
          <w:highlight w:val="none"/>
        </w:r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rPr>
        <w:t xml:space="preserve">       </w:t>
      </w:r>
    </w:p>
    <w:p>
      <w:pPr>
        <w:spacing w:line="480" w:lineRule="exact"/>
        <w:rPr>
          <w:rFonts w:hint="eastAsia" w:ascii="方正小标宋简体" w:eastAsia="方正小标宋简体"/>
          <w:sz w:val="36"/>
          <w:szCs w:val="36"/>
          <w:highlight w:val="none"/>
        </w:rPr>
      </w:pPr>
      <w:r>
        <w:rPr>
          <w:rFonts w:hint="eastAsia" w:ascii="方正小标宋简体" w:eastAsia="方正小标宋简体"/>
          <w:sz w:val="36"/>
          <w:szCs w:val="36"/>
          <w:highlight w:val="none"/>
        </w:rPr>
        <w:t xml:space="preserve">                </w:t>
      </w:r>
    </w:p>
    <w:p>
      <w:pPr>
        <w:spacing w:line="480" w:lineRule="exact"/>
        <w:jc w:val="center"/>
        <w:rPr>
          <w:rFonts w:hint="eastAsia" w:ascii="方正小标宋简体" w:hAnsi="黑体" w:eastAsia="方正小标宋简体"/>
          <w:sz w:val="36"/>
          <w:szCs w:val="36"/>
          <w:highlight w:val="none"/>
        </w:rPr>
      </w:pP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5"/>
        <w:tblW w:w="9038" w:type="dxa"/>
        <w:jc w:val="center"/>
        <w:tblLayout w:type="fixed"/>
        <w:tblCellMar>
          <w:top w:w="0" w:type="dxa"/>
          <w:left w:w="108" w:type="dxa"/>
          <w:bottom w:w="0" w:type="dxa"/>
          <w:right w:w="108" w:type="dxa"/>
        </w:tblCellMar>
      </w:tblPr>
      <w:tblGrid>
        <w:gridCol w:w="585"/>
        <w:gridCol w:w="875"/>
        <w:gridCol w:w="854"/>
        <w:gridCol w:w="1078"/>
        <w:gridCol w:w="935"/>
        <w:gridCol w:w="1107"/>
        <w:gridCol w:w="1065"/>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4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578" w:type="dxa"/>
            <w:gridSpan w:val="11"/>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2024年永定河丰台段创建国家卫生区病媒生物防制工作经费</w:t>
            </w:r>
          </w:p>
        </w:tc>
      </w:tr>
      <w:tr>
        <w:tblPrEx>
          <w:tblCellMar>
            <w:top w:w="0" w:type="dxa"/>
            <w:left w:w="108" w:type="dxa"/>
            <w:bottom w:w="0" w:type="dxa"/>
            <w:right w:w="108" w:type="dxa"/>
          </w:tblCellMar>
        </w:tblPrEx>
        <w:trPr>
          <w:trHeight w:val="482" w:hRule="exact"/>
          <w:jc w:val="center"/>
        </w:trPr>
        <w:tc>
          <w:tcPr>
            <w:tcW w:w="14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3974" w:type="dxa"/>
            <w:gridSpan w:val="4"/>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eastAsia="zh-CN"/>
              </w:rPr>
              <w:t>北京市</w:t>
            </w:r>
            <w:r>
              <w:rPr>
                <w:rFonts w:hint="eastAsia" w:ascii="仿宋_GB2312" w:hAnsi="宋体" w:eastAsia="仿宋_GB2312" w:cs="宋体"/>
                <w:kern w:val="0"/>
                <w:szCs w:val="21"/>
              </w:rPr>
              <w:t>丰台区水务局</w:t>
            </w:r>
          </w:p>
        </w:tc>
        <w:tc>
          <w:tcPr>
            <w:tcW w:w="134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eastAsia="zh-CN"/>
              </w:rPr>
              <w:t>北京市</w:t>
            </w:r>
            <w:r>
              <w:rPr>
                <w:rFonts w:hint="eastAsia" w:ascii="仿宋_GB2312" w:hAnsi="宋体" w:eastAsia="仿宋_GB2312" w:cs="宋体"/>
                <w:kern w:val="0"/>
                <w:szCs w:val="21"/>
              </w:rPr>
              <w:t>丰台区永定河管理所</w:t>
            </w:r>
          </w:p>
        </w:tc>
      </w:tr>
      <w:tr>
        <w:tblPrEx>
          <w:tblCellMar>
            <w:top w:w="0" w:type="dxa"/>
            <w:left w:w="108" w:type="dxa"/>
            <w:bottom w:w="0" w:type="dxa"/>
            <w:right w:w="108" w:type="dxa"/>
          </w:tblCellMar>
        </w:tblPrEx>
        <w:trPr>
          <w:trHeight w:val="567" w:hRule="exact"/>
          <w:jc w:val="center"/>
        </w:trPr>
        <w:tc>
          <w:tcPr>
            <w:tcW w:w="14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9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3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0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34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4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9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935"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45</w:t>
            </w:r>
          </w:p>
        </w:tc>
        <w:tc>
          <w:tcPr>
            <w:tcW w:w="110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42</w:t>
            </w:r>
          </w:p>
        </w:tc>
        <w:tc>
          <w:tcPr>
            <w:tcW w:w="134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42</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445" w:hRule="exact"/>
          <w:jc w:val="center"/>
        </w:trPr>
        <w:tc>
          <w:tcPr>
            <w:tcW w:w="14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9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93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45</w:t>
            </w:r>
          </w:p>
        </w:tc>
        <w:tc>
          <w:tcPr>
            <w:tcW w:w="110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42</w:t>
            </w:r>
          </w:p>
        </w:tc>
        <w:tc>
          <w:tcPr>
            <w:tcW w:w="134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42</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423" w:hRule="exact"/>
          <w:jc w:val="center"/>
        </w:trPr>
        <w:tc>
          <w:tcPr>
            <w:tcW w:w="14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9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93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34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256" w:hRule="exact"/>
          <w:jc w:val="center"/>
        </w:trPr>
        <w:tc>
          <w:tcPr>
            <w:tcW w:w="14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9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935"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34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261"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4849"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604"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350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4849"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6"/>
                <w:szCs w:val="16"/>
                <w:highlight w:val="none"/>
              </w:rPr>
            </w:pPr>
            <w:r>
              <w:rPr>
                <w:rFonts w:hint="eastAsia" w:ascii="仿宋_GB2312" w:hAnsi="宋体" w:eastAsia="仿宋_GB2312" w:cs="宋体"/>
                <w:kern w:val="0"/>
                <w:sz w:val="16"/>
                <w:szCs w:val="16"/>
                <w:highlight w:val="none"/>
              </w:rPr>
              <w:t>按照《北京市丰台区水务局创建国家卫生区实施方案》要求，为落实好永定河丰台段创卫工作，根据区创卫办工作部署，我所需委托第三方专业公司对永定河丰台段进行病媒生物防制工作，主要对园博湖、园博湿地、晓月湖、宛平湖及下游河道重点区域进行蚊蝇、鼠蟑的消杀及监测工作。</w:t>
            </w:r>
          </w:p>
          <w:p>
            <w:pPr>
              <w:widowControl/>
              <w:spacing w:line="240" w:lineRule="exact"/>
              <w:jc w:val="left"/>
              <w:rPr>
                <w:rFonts w:hint="eastAsia" w:ascii="仿宋_GB2312" w:hAnsi="宋体" w:eastAsia="仿宋_GB2312" w:cs="宋体"/>
                <w:kern w:val="0"/>
                <w:sz w:val="16"/>
                <w:szCs w:val="16"/>
                <w:highlight w:val="none"/>
              </w:rPr>
            </w:pPr>
            <w:r>
              <w:rPr>
                <w:rFonts w:hint="eastAsia" w:ascii="仿宋_GB2312" w:hAnsi="宋体" w:eastAsia="仿宋_GB2312" w:cs="宋体"/>
                <w:kern w:val="0"/>
                <w:sz w:val="16"/>
                <w:szCs w:val="16"/>
                <w:highlight w:val="none"/>
              </w:rPr>
              <w:t>依据区创卫办下发的经费预算申报规定，蚊蝇防制每平米费用不超过0.4元，鼠蟑防制每平米费用不超过0.2元，并规定了蚊蝇防制监测为6轮次，鼠、蟑防制监测为4轮次的标准进行预算编制工作。</w:t>
            </w:r>
          </w:p>
          <w:p>
            <w:pPr>
              <w:widowControl/>
              <w:spacing w:line="240" w:lineRule="exact"/>
              <w:jc w:val="left"/>
              <w:rPr>
                <w:rFonts w:hint="eastAsia" w:ascii="仿宋_GB2312" w:hAnsi="宋体" w:eastAsia="仿宋_GB2312" w:cs="宋体"/>
                <w:kern w:val="0"/>
                <w:sz w:val="16"/>
                <w:szCs w:val="16"/>
                <w:highlight w:val="none"/>
              </w:rPr>
            </w:pPr>
            <w:r>
              <w:rPr>
                <w:rFonts w:hint="eastAsia" w:ascii="仿宋_GB2312" w:hAnsi="宋体" w:eastAsia="仿宋_GB2312" w:cs="宋体"/>
                <w:kern w:val="0"/>
                <w:sz w:val="16"/>
                <w:szCs w:val="16"/>
                <w:highlight w:val="none"/>
              </w:rPr>
              <w:t>总绩效目标是对永定河丰台段进行蚊蝇、鼠蟑的消杀，通过对监测结果数据分析来检验防治措施，已达到病媒生物防制效果，满足规范要求。</w:t>
            </w:r>
          </w:p>
        </w:tc>
        <w:tc>
          <w:tcPr>
            <w:tcW w:w="3604"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6"/>
                <w:szCs w:val="16"/>
                <w:highlight w:val="none"/>
              </w:rPr>
            </w:pPr>
            <w:r>
              <w:rPr>
                <w:rFonts w:hint="eastAsia" w:ascii="仿宋_GB2312" w:hAnsi="宋体" w:eastAsia="仿宋_GB2312" w:cs="宋体"/>
                <w:kern w:val="0"/>
                <w:sz w:val="16"/>
                <w:szCs w:val="16"/>
                <w:highlight w:val="none"/>
              </w:rPr>
              <w:t>按照《北京市丰台区水务局创建国家卫生区实施方案》要求，为落实好永定河丰台段创卫工作，根据区创卫办工作部署，我所需委托第三方专业公司对永定河丰台段进行病媒生物防制工作，主要对园博湖、园博湿地、晓月湖、宛平湖及下游河道重点区域进行蚊蝇、鼠蟑的消杀及监测工作。</w:t>
            </w:r>
          </w:p>
          <w:p>
            <w:pPr>
              <w:widowControl/>
              <w:spacing w:line="240" w:lineRule="exact"/>
              <w:jc w:val="left"/>
              <w:rPr>
                <w:rFonts w:hint="eastAsia" w:ascii="仿宋_GB2312" w:hAnsi="宋体" w:eastAsia="仿宋_GB2312" w:cs="宋体"/>
                <w:kern w:val="0"/>
                <w:sz w:val="16"/>
                <w:szCs w:val="16"/>
                <w:highlight w:val="none"/>
              </w:rPr>
            </w:pPr>
            <w:r>
              <w:rPr>
                <w:rFonts w:hint="eastAsia" w:ascii="仿宋_GB2312" w:hAnsi="宋体" w:eastAsia="仿宋_GB2312" w:cs="宋体"/>
                <w:kern w:val="0"/>
                <w:sz w:val="16"/>
                <w:szCs w:val="16"/>
                <w:highlight w:val="none"/>
              </w:rPr>
              <w:t>依据区创卫办下发的经费预算申报规定，蚊蝇防制每平米费用不超过0.4元，鼠蟑防制每平米费用不超过0.2元，并规定了蚊蝇防制监测为6轮次，鼠、蟑防制监测为4轮次的标准进行预算编制工作。</w:t>
            </w:r>
          </w:p>
          <w:p>
            <w:pPr>
              <w:widowControl/>
              <w:spacing w:line="240" w:lineRule="exact"/>
              <w:jc w:val="left"/>
              <w:rPr>
                <w:rFonts w:hint="eastAsia" w:ascii="仿宋_GB2312" w:hAnsi="宋体" w:eastAsia="仿宋_GB2312" w:cs="宋体"/>
                <w:kern w:val="0"/>
                <w:sz w:val="16"/>
                <w:szCs w:val="16"/>
                <w:highlight w:val="none"/>
              </w:rPr>
            </w:pPr>
            <w:r>
              <w:rPr>
                <w:rFonts w:hint="eastAsia" w:ascii="仿宋_GB2312" w:hAnsi="宋体" w:eastAsia="仿宋_GB2312" w:cs="宋体"/>
                <w:kern w:val="0"/>
                <w:sz w:val="16"/>
                <w:szCs w:val="16"/>
                <w:highlight w:val="none"/>
              </w:rPr>
              <w:t>总绩效目标是对永定河丰台段进行蚊蝇、鼠蟑的消杀，通过对监测结果数据分析来检验防治措施，已达到病媒生物防制效果，满足规范要求。</w:t>
            </w:r>
          </w:p>
        </w:tc>
      </w:tr>
      <w:tr>
        <w:tblPrEx>
          <w:tblCellMar>
            <w:top w:w="0" w:type="dxa"/>
            <w:left w:w="108" w:type="dxa"/>
            <w:bottom w:w="0" w:type="dxa"/>
            <w:right w:w="108" w:type="dxa"/>
          </w:tblCellMar>
        </w:tblPrEx>
        <w:trPr>
          <w:trHeight w:val="65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8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854"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0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110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106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25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8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854"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0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6"/>
                <w:szCs w:val="16"/>
                <w:highlight w:val="none"/>
              </w:rPr>
            </w:pPr>
            <w:r>
              <w:rPr>
                <w:rFonts w:hint="eastAsia" w:ascii="仿宋_GB2312" w:hAnsi="宋体" w:eastAsia="仿宋_GB2312" w:cs="宋体"/>
                <w:color w:val="000000"/>
                <w:kern w:val="0"/>
                <w:sz w:val="16"/>
                <w:szCs w:val="16"/>
                <w:highlight w:val="none"/>
              </w:rPr>
              <w:t>蚊、蝇防制工作监测次数</w:t>
            </w:r>
          </w:p>
        </w:tc>
        <w:tc>
          <w:tcPr>
            <w:tcW w:w="110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6次</w:t>
            </w:r>
          </w:p>
        </w:tc>
        <w:tc>
          <w:tcPr>
            <w:tcW w:w="106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6次</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24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8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85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0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6"/>
                <w:szCs w:val="16"/>
                <w:highlight w:val="none"/>
              </w:rPr>
            </w:pPr>
            <w:r>
              <w:rPr>
                <w:rFonts w:hint="eastAsia" w:ascii="仿宋_GB2312" w:hAnsi="宋体" w:eastAsia="仿宋_GB2312" w:cs="宋体"/>
                <w:color w:val="000000"/>
                <w:kern w:val="0"/>
                <w:sz w:val="16"/>
                <w:szCs w:val="16"/>
                <w:highlight w:val="none"/>
              </w:rPr>
              <w:t>鼠、蟑防制工作监测次数</w:t>
            </w:r>
          </w:p>
        </w:tc>
        <w:tc>
          <w:tcPr>
            <w:tcW w:w="110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4次</w:t>
            </w:r>
          </w:p>
        </w:tc>
        <w:tc>
          <w:tcPr>
            <w:tcW w:w="106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4次</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 w:val="21"/>
                <w:szCs w:val="21"/>
                <w:highlight w:val="none"/>
                <w:lang w:val="en-US" w:eastAsia="zh-CN" w:bidi="ar-SA"/>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 w:val="21"/>
                <w:szCs w:val="21"/>
                <w:highlight w:val="none"/>
                <w:lang w:val="en-US" w:eastAsia="zh-CN" w:bidi="ar-SA"/>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265"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8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85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0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6"/>
                <w:szCs w:val="16"/>
                <w:highlight w:val="none"/>
                <w:lang w:eastAsia="zh-CN"/>
              </w:rPr>
            </w:pPr>
            <w:r>
              <w:rPr>
                <w:rFonts w:hint="eastAsia" w:ascii="仿宋_GB2312" w:hAnsi="宋体" w:eastAsia="仿宋_GB2312" w:cs="宋体"/>
                <w:color w:val="000000"/>
                <w:kern w:val="0"/>
                <w:sz w:val="16"/>
                <w:szCs w:val="16"/>
                <w:highlight w:val="none"/>
                <w:lang w:val="en-US" w:eastAsia="zh-CN"/>
              </w:rPr>
              <w:t>永定河丰台段防制面积</w:t>
            </w:r>
          </w:p>
        </w:tc>
        <w:tc>
          <w:tcPr>
            <w:tcW w:w="110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6"/>
                <w:szCs w:val="16"/>
                <w:highlight w:val="none"/>
                <w:lang w:eastAsia="zh-CN"/>
              </w:rPr>
            </w:pPr>
            <w:r>
              <w:rPr>
                <w:rFonts w:hint="eastAsia" w:ascii="仿宋_GB2312" w:hAnsi="宋体" w:eastAsia="仿宋_GB2312" w:cs="宋体"/>
                <w:kern w:val="0"/>
                <w:sz w:val="16"/>
                <w:szCs w:val="16"/>
                <w:highlight w:val="none"/>
              </w:rPr>
              <w:t>190</w:t>
            </w:r>
            <w:r>
              <w:rPr>
                <w:rFonts w:hint="eastAsia" w:ascii="仿宋_GB2312" w:hAnsi="宋体" w:eastAsia="仿宋_GB2312" w:cs="宋体"/>
                <w:kern w:val="0"/>
                <w:sz w:val="16"/>
                <w:szCs w:val="16"/>
                <w:highlight w:val="none"/>
                <w:lang w:eastAsia="zh-CN"/>
              </w:rPr>
              <w:t>万平米</w:t>
            </w:r>
          </w:p>
        </w:tc>
        <w:tc>
          <w:tcPr>
            <w:tcW w:w="106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6"/>
                <w:szCs w:val="16"/>
                <w:highlight w:val="none"/>
                <w:lang w:eastAsia="zh-CN"/>
              </w:rPr>
            </w:pPr>
            <w:r>
              <w:rPr>
                <w:rFonts w:hint="eastAsia" w:ascii="仿宋_GB2312" w:hAnsi="宋体" w:eastAsia="仿宋_GB2312" w:cs="宋体"/>
                <w:kern w:val="0"/>
                <w:sz w:val="16"/>
                <w:szCs w:val="16"/>
                <w:highlight w:val="none"/>
              </w:rPr>
              <w:t>190</w:t>
            </w:r>
            <w:r>
              <w:rPr>
                <w:rFonts w:hint="eastAsia" w:ascii="仿宋_GB2312" w:hAnsi="宋体" w:eastAsia="仿宋_GB2312" w:cs="宋体"/>
                <w:kern w:val="0"/>
                <w:sz w:val="16"/>
                <w:szCs w:val="16"/>
                <w:highlight w:val="none"/>
                <w:lang w:eastAsia="zh-CN"/>
              </w:rPr>
              <w:t>万平米</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8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854"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20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6"/>
                <w:szCs w:val="16"/>
                <w:highlight w:val="none"/>
              </w:rPr>
            </w:pPr>
            <w:r>
              <w:rPr>
                <w:rFonts w:hint="eastAsia" w:ascii="仿宋_GB2312" w:hAnsi="宋体" w:eastAsia="仿宋_GB2312" w:cs="宋体"/>
                <w:color w:val="000000"/>
                <w:kern w:val="0"/>
                <w:sz w:val="16"/>
                <w:szCs w:val="16"/>
                <w:highlight w:val="none"/>
              </w:rPr>
              <w:t>《病媒生物密度监测方法》，蚊、蝇防制达标率</w:t>
            </w:r>
          </w:p>
        </w:tc>
        <w:tc>
          <w:tcPr>
            <w:tcW w:w="110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95%</w:t>
            </w:r>
          </w:p>
        </w:tc>
        <w:tc>
          <w:tcPr>
            <w:tcW w:w="106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3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8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85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0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6"/>
                <w:szCs w:val="16"/>
                <w:highlight w:val="none"/>
              </w:rPr>
            </w:pPr>
            <w:r>
              <w:rPr>
                <w:rFonts w:hint="eastAsia" w:ascii="仿宋_GB2312" w:hAnsi="宋体" w:eastAsia="仿宋_GB2312" w:cs="宋体"/>
                <w:color w:val="000000"/>
                <w:kern w:val="0"/>
                <w:sz w:val="16"/>
                <w:szCs w:val="16"/>
                <w:highlight w:val="none"/>
              </w:rPr>
              <w:t>《病媒生物密度监测方法》，鼠、蟑防制达标率</w:t>
            </w:r>
          </w:p>
        </w:tc>
        <w:tc>
          <w:tcPr>
            <w:tcW w:w="110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95%</w:t>
            </w:r>
          </w:p>
        </w:tc>
        <w:tc>
          <w:tcPr>
            <w:tcW w:w="106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95%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83"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8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854"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0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6"/>
                <w:szCs w:val="16"/>
                <w:highlight w:val="none"/>
              </w:rPr>
            </w:pPr>
            <w:r>
              <w:rPr>
                <w:rFonts w:hint="eastAsia" w:ascii="仿宋_GB2312" w:hAnsi="宋体" w:eastAsia="仿宋_GB2312" w:cs="宋体"/>
                <w:color w:val="000000"/>
                <w:kern w:val="0"/>
                <w:sz w:val="16"/>
                <w:szCs w:val="16"/>
                <w:highlight w:val="none"/>
              </w:rPr>
              <w:t>夏秋季节蚊蝇密集性高发，8-9月每月集中消杀轮数</w:t>
            </w:r>
          </w:p>
        </w:tc>
        <w:tc>
          <w:tcPr>
            <w:tcW w:w="110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2次</w:t>
            </w:r>
          </w:p>
        </w:tc>
        <w:tc>
          <w:tcPr>
            <w:tcW w:w="106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2次</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8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85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0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6"/>
                <w:szCs w:val="16"/>
                <w:highlight w:val="none"/>
              </w:rPr>
            </w:pPr>
            <w:r>
              <w:rPr>
                <w:rFonts w:hint="eastAsia" w:ascii="仿宋_GB2312" w:hAnsi="宋体" w:eastAsia="仿宋_GB2312" w:cs="宋体"/>
                <w:color w:val="000000"/>
                <w:kern w:val="0"/>
                <w:sz w:val="16"/>
                <w:szCs w:val="16"/>
                <w:highlight w:val="none"/>
              </w:rPr>
              <w:t>10月-12月冬季灭鼠轮数</w:t>
            </w:r>
          </w:p>
        </w:tc>
        <w:tc>
          <w:tcPr>
            <w:tcW w:w="110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2次</w:t>
            </w:r>
          </w:p>
        </w:tc>
        <w:tc>
          <w:tcPr>
            <w:tcW w:w="106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2次</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2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8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85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0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6"/>
                <w:szCs w:val="16"/>
                <w:highlight w:val="none"/>
              </w:rPr>
            </w:pPr>
            <w:r>
              <w:rPr>
                <w:rFonts w:hint="eastAsia" w:ascii="仿宋_GB2312" w:hAnsi="宋体" w:eastAsia="仿宋_GB2312" w:cs="宋体"/>
                <w:color w:val="000000"/>
                <w:kern w:val="0"/>
                <w:sz w:val="16"/>
                <w:szCs w:val="16"/>
                <w:highlight w:val="none"/>
              </w:rPr>
              <w:t>资金支出进度：截止11月30日</w:t>
            </w:r>
          </w:p>
        </w:tc>
        <w:tc>
          <w:tcPr>
            <w:tcW w:w="110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106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67"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8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854"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生态效益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0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6"/>
                <w:szCs w:val="16"/>
                <w:highlight w:val="none"/>
              </w:rPr>
            </w:pPr>
            <w:r>
              <w:rPr>
                <w:rFonts w:hint="eastAsia" w:ascii="仿宋_GB2312" w:hAnsi="宋体" w:eastAsia="仿宋_GB2312" w:cs="宋体"/>
                <w:color w:val="000000"/>
                <w:kern w:val="0"/>
                <w:sz w:val="16"/>
                <w:szCs w:val="16"/>
                <w:highlight w:val="none"/>
              </w:rPr>
              <w:t>创卫范围内病媒生物密度降低率</w:t>
            </w:r>
          </w:p>
        </w:tc>
        <w:tc>
          <w:tcPr>
            <w:tcW w:w="110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90%</w:t>
            </w:r>
          </w:p>
        </w:tc>
        <w:tc>
          <w:tcPr>
            <w:tcW w:w="106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90%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502"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87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成本指标</w:t>
            </w:r>
          </w:p>
        </w:tc>
        <w:tc>
          <w:tcPr>
            <w:tcW w:w="854"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经济成本指标</w:t>
            </w:r>
          </w:p>
        </w:tc>
        <w:tc>
          <w:tcPr>
            <w:tcW w:w="20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6"/>
                <w:szCs w:val="16"/>
                <w:highlight w:val="none"/>
              </w:rPr>
            </w:pPr>
            <w:r>
              <w:rPr>
                <w:rFonts w:hint="eastAsia" w:ascii="仿宋_GB2312" w:hAnsi="宋体" w:eastAsia="仿宋_GB2312" w:cs="宋体"/>
                <w:color w:val="000000"/>
                <w:kern w:val="0"/>
                <w:sz w:val="16"/>
                <w:szCs w:val="16"/>
                <w:highlight w:val="none"/>
              </w:rPr>
              <w:t>监测单位：每轮次</w:t>
            </w:r>
          </w:p>
        </w:tc>
        <w:tc>
          <w:tcPr>
            <w:tcW w:w="1107"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5000元</w:t>
            </w:r>
          </w:p>
        </w:tc>
        <w:tc>
          <w:tcPr>
            <w:tcW w:w="106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5000元</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299" w:hRule="exact"/>
          <w:jc w:val="center"/>
        </w:trPr>
        <w:tc>
          <w:tcPr>
            <w:tcW w:w="6499" w:type="dxa"/>
            <w:gridSpan w:val="7"/>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rPr>
          <w:highlight w:val="none"/>
        </w:r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5"/>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2024年永定河丰台段下游河道可燃物清理费</w:t>
            </w:r>
          </w:p>
        </w:tc>
      </w:tr>
      <w:tr>
        <w:tblPrEx>
          <w:tblCellMar>
            <w:top w:w="0" w:type="dxa"/>
            <w:left w:w="108" w:type="dxa"/>
            <w:bottom w:w="0" w:type="dxa"/>
            <w:right w:w="108" w:type="dxa"/>
          </w:tblCellMar>
        </w:tblPrEx>
        <w:trPr>
          <w:trHeight w:val="527"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eastAsia="zh-CN"/>
              </w:rPr>
              <w:t>北京市</w:t>
            </w:r>
            <w:r>
              <w:rPr>
                <w:rFonts w:hint="eastAsia" w:ascii="仿宋_GB2312" w:hAnsi="宋体" w:eastAsia="仿宋_GB2312" w:cs="宋体"/>
                <w:kern w:val="0"/>
                <w:szCs w:val="21"/>
              </w:rPr>
              <w:t>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eastAsia="zh-CN"/>
              </w:rPr>
              <w:t>北京市</w:t>
            </w:r>
            <w:r>
              <w:rPr>
                <w:rFonts w:hint="eastAsia" w:ascii="仿宋_GB2312" w:hAnsi="宋体" w:eastAsia="仿宋_GB2312" w:cs="宋体"/>
                <w:kern w:val="0"/>
                <w:szCs w:val="21"/>
              </w:rPr>
              <w:t>丰台区永定河管理所</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29.95953</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29.95953</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30</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29.95953</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29.95953</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405"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3256"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永定河丰台段下游河道范围为宛平湖末端燕化管架桥～区界（地铁房山线南侧与大兴、房山交界处），河道长约7公里，丰台段河道占地面积341万平米，其中区内平原造林面积54万平米，其他林地面积约占136万平米。由于其他林地未纳入平原造林管护范围，杂草丛生，存在较大安全隐患。对该范围内局部存在严重安全隐患范围进行杂草清理和外运。项目实施后，可减少下游河道内的绿化可燃物数量，降低局部火灾风险隐患。</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永定河丰台段下游河道范围为宛平湖末端燕化管架桥～区界（地铁房山线南侧与大兴、房山交界处），河道长约7公里，丰台段河道占地面积341万平米，其中区内平原造林面积54万平米，其他林地面积约占136万平米。由于其他林地未纳入平原造林管护范围，杂草丛生，存在较大安全隐患。对该范围内局部存在严重安全隐患范围进行杂草清理和外运。项目实施后，可减少下游河道内的绿化可燃物数量，降低局部火灾风险隐患。</w:t>
            </w:r>
          </w:p>
        </w:tc>
      </w:tr>
      <w:tr>
        <w:tblPrEx>
          <w:tblCellMar>
            <w:top w:w="0" w:type="dxa"/>
            <w:left w:w="108" w:type="dxa"/>
            <w:bottom w:w="0" w:type="dxa"/>
            <w:right w:w="108" w:type="dxa"/>
          </w:tblCellMar>
        </w:tblPrEx>
        <w:trPr>
          <w:trHeight w:val="675"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43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林木可燃物清理面积</w:t>
            </w:r>
          </w:p>
          <w:p>
            <w:pPr>
              <w:widowControl/>
              <w:spacing w:line="240" w:lineRule="exact"/>
              <w:jc w:val="left"/>
              <w:rPr>
                <w:rFonts w:hint="eastAsia" w:ascii="仿宋_GB2312" w:hAnsi="宋体" w:eastAsia="仿宋_GB2312" w:cs="宋体"/>
                <w:color w:val="000000"/>
                <w:kern w:val="0"/>
                <w:szCs w:val="21"/>
                <w:highlight w:val="none"/>
              </w:rPr>
            </w:pP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85000平米</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85000平米</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林木可燃物清理次数</w:t>
            </w:r>
          </w:p>
          <w:p>
            <w:pPr>
              <w:widowControl/>
              <w:spacing w:line="240" w:lineRule="exact"/>
              <w:jc w:val="left"/>
              <w:rPr>
                <w:rFonts w:hint="eastAsia" w:ascii="仿宋_GB2312" w:hAnsi="宋体" w:eastAsia="仿宋_GB2312" w:cs="宋体"/>
                <w:color w:val="000000"/>
                <w:kern w:val="0"/>
                <w:szCs w:val="21"/>
                <w:highlight w:val="none"/>
              </w:rPr>
            </w:pP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1次</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1次</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8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采取砍伐残枝、防火带清理等措施，绿化清理质量的达标率</w:t>
            </w:r>
          </w:p>
        </w:tc>
        <w:tc>
          <w:tcPr>
            <w:tcW w:w="849" w:type="dxa"/>
            <w:tcBorders>
              <w:top w:val="single" w:color="auto" w:sz="4" w:space="0"/>
              <w:left w:val="nil"/>
              <w:bottom w:val="single" w:color="auto" w:sz="4" w:space="0"/>
              <w:right w:val="single" w:color="auto" w:sz="4" w:space="0"/>
            </w:tcBorders>
            <w:noWrap w:val="0"/>
            <w:vAlign w:val="center"/>
          </w:tcPr>
          <w:p>
            <w:pPr>
              <w:widowControl/>
              <w:tabs>
                <w:tab w:val="left" w:pos="202"/>
              </w:tabs>
              <w:spacing w:line="240" w:lineRule="exact"/>
              <w:jc w:val="left"/>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eastAsia="zh-CN"/>
              </w:rPr>
              <w:tab/>
            </w:r>
            <w:r>
              <w:rPr>
                <w:rFonts w:hint="eastAsia" w:ascii="仿宋_GB2312" w:hAnsi="宋体" w:eastAsia="仿宋_GB2312" w:cs="宋体"/>
                <w:kern w:val="0"/>
                <w:szCs w:val="21"/>
                <w:highlight w:val="none"/>
                <w:lang w:val="en-US" w:eastAsia="zh-CN"/>
              </w:rPr>
              <w:t>90%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90%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77"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支出进度：截止11月30日</w:t>
            </w:r>
            <w:bookmarkStart w:id="2" w:name="_GoBack"/>
            <w:bookmarkEnd w:id="2"/>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95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生态效益</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指标1：通过减少下游河道内的绿化可燃物数量，降低火灾风险隐患率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90%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90%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1068"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成本指标</w:t>
            </w:r>
          </w:p>
        </w:tc>
        <w:tc>
          <w:tcPr>
            <w:tcW w:w="110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经济成本指标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指标1：依据《北京市水利工程维修养护预算定额》，每平米年清理费用</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7.2元</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7.2元</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362"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rPr>
          <w:highlight w:val="none"/>
        </w:rPr>
      </w:pPr>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rPr>
        <w:t xml:space="preserve">       </w:t>
      </w:r>
    </w:p>
    <w:p>
      <w:pPr>
        <w:spacing w:line="480" w:lineRule="exact"/>
        <w:rPr>
          <w:rFonts w:hint="eastAsia" w:ascii="方正小标宋简体" w:hAnsi="黑体" w:eastAsia="方正小标宋简体"/>
          <w:sz w:val="36"/>
          <w:szCs w:val="36"/>
          <w:highlight w:val="none"/>
        </w:rPr>
      </w:pPr>
      <w:r>
        <w:rPr>
          <w:rFonts w:hint="eastAsia" w:ascii="方正小标宋简体" w:eastAsia="方正小标宋简体"/>
          <w:sz w:val="36"/>
          <w:szCs w:val="36"/>
          <w:highlight w:val="none"/>
        </w:rPr>
        <w:t xml:space="preserve">                </w:t>
      </w:r>
      <w:r>
        <w:rPr>
          <w:rFonts w:hint="eastAsia" w:ascii="方正小标宋简体" w:hAnsi="黑体" w:eastAsia="方正小标宋简体"/>
          <w:sz w:val="36"/>
          <w:szCs w:val="36"/>
          <w:highlight w:val="none"/>
        </w:rPr>
        <w:t>项目支出绩效自评表</w:t>
      </w:r>
    </w:p>
    <w:p>
      <w:pPr>
        <w:spacing w:line="480" w:lineRule="exact"/>
        <w:rPr>
          <w:rFonts w:ascii="仿宋_GB2312" w:hAnsi="宋体" w:eastAsia="仿宋_GB2312"/>
          <w:sz w:val="28"/>
          <w:szCs w:val="28"/>
          <w:highlight w:val="none"/>
        </w:rPr>
      </w:pPr>
      <w:r>
        <w:rPr>
          <w:rFonts w:hint="eastAsia" w:ascii="仿宋_GB2312" w:eastAsia="仿宋_GB2312"/>
          <w:sz w:val="28"/>
          <w:szCs w:val="28"/>
          <w:highlight w:val="none"/>
        </w:rPr>
        <w:t xml:space="preserve">                   </w:t>
      </w:r>
      <w:r>
        <w:rPr>
          <w:rFonts w:ascii="仿宋_GB2312" w:eastAsia="仿宋_GB2312"/>
          <w:sz w:val="28"/>
          <w:szCs w:val="28"/>
          <w:highlight w:val="none"/>
        </w:rPr>
        <w:t xml:space="preserve">  </w:t>
      </w:r>
      <w:r>
        <w:rPr>
          <w:rFonts w:hint="eastAsia" w:ascii="仿宋_GB2312" w:hAnsi="宋体" w:eastAsia="仿宋_GB2312"/>
          <w:sz w:val="28"/>
          <w:szCs w:val="28"/>
          <w:highlight w:val="none"/>
        </w:rPr>
        <w:t xml:space="preserve"> </w:t>
      </w:r>
      <w:r>
        <w:rPr>
          <w:rFonts w:ascii="仿宋_GB2312" w:hAnsi="宋体" w:eastAsia="仿宋_GB2312"/>
          <w:sz w:val="28"/>
          <w:szCs w:val="28"/>
          <w:highlight w:val="none"/>
        </w:rPr>
        <w:t xml:space="preserve"> </w:t>
      </w:r>
      <w:r>
        <w:rPr>
          <w:rFonts w:hint="eastAsia" w:ascii="仿宋_GB2312" w:hAnsi="宋体" w:eastAsia="仿宋_GB2312"/>
          <w:sz w:val="28"/>
          <w:szCs w:val="28"/>
          <w:highlight w:val="none"/>
        </w:rPr>
        <w:t xml:space="preserve">  （</w:t>
      </w:r>
      <w:r>
        <w:rPr>
          <w:rFonts w:hint="eastAsia" w:ascii="仿宋_GB2312" w:hAnsi="宋体" w:eastAsia="仿宋_GB2312"/>
          <w:b/>
          <w:bCs/>
          <w:sz w:val="28"/>
          <w:szCs w:val="28"/>
          <w:highlight w:val="none"/>
          <w:lang w:val="en-US" w:eastAsia="zh-CN"/>
        </w:rPr>
        <w:t>2024</w:t>
      </w:r>
      <w:r>
        <w:rPr>
          <w:rFonts w:hint="eastAsia" w:ascii="仿宋_GB2312" w:hAnsi="宋体" w:eastAsia="仿宋_GB2312"/>
          <w:sz w:val="28"/>
          <w:szCs w:val="28"/>
          <w:highlight w:val="none"/>
        </w:rPr>
        <w:t>年度）</w:t>
      </w:r>
    </w:p>
    <w:p>
      <w:pPr>
        <w:spacing w:line="240" w:lineRule="exact"/>
        <w:rPr>
          <w:rFonts w:hint="eastAsia" w:ascii="仿宋_GB2312" w:hAnsi="宋体" w:eastAsia="仿宋_GB2312"/>
          <w:sz w:val="30"/>
          <w:szCs w:val="30"/>
          <w:highlight w:val="none"/>
        </w:rPr>
      </w:pPr>
    </w:p>
    <w:tbl>
      <w:tblPr>
        <w:tblStyle w:val="5"/>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2024年丰台区永定河管理所防汛库房修缮费</w:t>
            </w:r>
          </w:p>
        </w:tc>
      </w:tr>
      <w:tr>
        <w:tblPrEx>
          <w:tblCellMar>
            <w:top w:w="0" w:type="dxa"/>
            <w:left w:w="108" w:type="dxa"/>
            <w:bottom w:w="0" w:type="dxa"/>
            <w:right w:w="108" w:type="dxa"/>
          </w:tblCellMar>
        </w:tblPrEx>
        <w:trPr>
          <w:trHeight w:val="529"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eastAsia="zh-CN"/>
              </w:rPr>
              <w:t>北京市</w:t>
            </w:r>
            <w:r>
              <w:rPr>
                <w:rFonts w:hint="eastAsia" w:ascii="仿宋_GB2312" w:hAnsi="宋体" w:eastAsia="仿宋_GB2312" w:cs="宋体"/>
                <w:kern w:val="0"/>
                <w:szCs w:val="21"/>
              </w:rPr>
              <w:t>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lang w:eastAsia="zh-CN"/>
              </w:rPr>
              <w:t>北京市</w:t>
            </w:r>
            <w:r>
              <w:rPr>
                <w:rFonts w:hint="eastAsia" w:ascii="仿宋_GB2312" w:hAnsi="宋体" w:eastAsia="仿宋_GB2312" w:cs="宋体"/>
                <w:kern w:val="0"/>
                <w:szCs w:val="21"/>
              </w:rPr>
              <w:t>丰台区永定河管理所</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项目资金</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年初预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全年预</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全年</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28.0457</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rPr>
            </w:pPr>
            <w:r>
              <w:rPr>
                <w:rFonts w:hint="eastAsia" w:ascii="仿宋_GB2312" w:hAnsi="宋体" w:eastAsia="仿宋_GB2312" w:cs="宋体"/>
                <w:kern w:val="0"/>
                <w:szCs w:val="21"/>
                <w:highlight w:val="none"/>
                <w:lang w:val="en-US" w:eastAsia="zh-CN"/>
              </w:rPr>
              <w:t>26</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26</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其中：当年财政</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28.0457</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26</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lang w:val="en-US" w:eastAsia="zh-CN"/>
              </w:rPr>
              <w:t>26</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实际完成情况</w:t>
            </w:r>
          </w:p>
        </w:tc>
      </w:tr>
      <w:tr>
        <w:tblPrEx>
          <w:tblCellMar>
            <w:top w:w="0" w:type="dxa"/>
            <w:left w:w="108" w:type="dxa"/>
            <w:bottom w:w="0" w:type="dxa"/>
            <w:right w:w="108" w:type="dxa"/>
          </w:tblCellMar>
        </w:tblPrEx>
        <w:trPr>
          <w:trHeight w:val="2927"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 w:val="16"/>
                <w:szCs w:val="16"/>
                <w:highlight w:val="none"/>
              </w:rPr>
            </w:pPr>
            <w:r>
              <w:rPr>
                <w:rFonts w:hint="eastAsia" w:ascii="仿宋_GB2312" w:hAnsi="宋体" w:eastAsia="仿宋_GB2312" w:cs="宋体"/>
                <w:kern w:val="0"/>
                <w:sz w:val="16"/>
                <w:szCs w:val="16"/>
                <w:highlight w:val="none"/>
                <w:lang w:val="en-US" w:eastAsia="zh-CN"/>
              </w:rPr>
              <w:t>丰台区永定河管理所防汛库房坐落于管理所院内南侧，库房建筑面积620平米（长31米、宽20米）。由于库房顶面经日晒雨淋，年久老化，局部漏雨严重，今年汛期的强降雨，导致库房内部分物资受雨水浸泡，威胁抢险物资安全，存在较大隐患。</w:t>
            </w:r>
            <w:r>
              <w:rPr>
                <w:rFonts w:hint="eastAsia" w:ascii="仿宋_GB2312" w:hAnsi="宋体" w:eastAsia="仿宋_GB2312" w:cs="宋体"/>
                <w:kern w:val="0"/>
                <w:sz w:val="16"/>
                <w:szCs w:val="16"/>
                <w:highlight w:val="none"/>
                <w:lang w:val="en-US" w:eastAsia="zh-CN"/>
              </w:rPr>
              <w:br w:type="textWrapping"/>
            </w:r>
            <w:r>
              <w:rPr>
                <w:rFonts w:hint="eastAsia" w:ascii="仿宋_GB2312" w:hAnsi="宋体" w:eastAsia="仿宋_GB2312" w:cs="宋体"/>
                <w:kern w:val="0"/>
                <w:sz w:val="16"/>
                <w:szCs w:val="16"/>
                <w:highlight w:val="none"/>
                <w:lang w:val="en-US" w:eastAsia="zh-CN"/>
              </w:rPr>
              <w:t>计划今年下汛后对院内防汛库房屋顶进行修缮，在原屋顶上部结构位置，采用10cm厚防火挤塑聚酯板材质施做防火保温层；再用方管进行骨架支撑和主副梁施作，最后在方钢骨架上铺设树脂瓦屋顶，并用发泡胶进行填缝处理。</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 w:val="16"/>
                <w:szCs w:val="16"/>
                <w:highlight w:val="none"/>
                <w:lang w:val="en-US" w:eastAsia="zh-CN"/>
              </w:rPr>
            </w:pPr>
            <w:r>
              <w:rPr>
                <w:rFonts w:hint="eastAsia" w:ascii="仿宋_GB2312" w:hAnsi="宋体" w:eastAsia="仿宋_GB2312" w:cs="宋体"/>
                <w:kern w:val="0"/>
                <w:sz w:val="16"/>
                <w:szCs w:val="16"/>
                <w:highlight w:val="none"/>
                <w:lang w:val="en-US" w:eastAsia="zh-CN"/>
              </w:rPr>
              <w:t>丰台区永定河管理所防汛库房坐落于管理所院内南侧，库房建筑面积620平米（长31米、宽20米）。由于库房顶面经日晒雨淋，年久老化，局部漏雨严重，今年汛期的强降雨，导致库房内部分物资受雨水浸泡，威胁抢险物资安全，存在较大隐患。</w:t>
            </w:r>
            <w:r>
              <w:rPr>
                <w:rFonts w:hint="eastAsia" w:ascii="仿宋_GB2312" w:hAnsi="宋体" w:eastAsia="仿宋_GB2312" w:cs="宋体"/>
                <w:kern w:val="0"/>
                <w:sz w:val="16"/>
                <w:szCs w:val="16"/>
                <w:highlight w:val="none"/>
                <w:lang w:val="en-US" w:eastAsia="zh-CN"/>
              </w:rPr>
              <w:br w:type="textWrapping"/>
            </w:r>
            <w:r>
              <w:rPr>
                <w:rFonts w:hint="eastAsia" w:ascii="仿宋_GB2312" w:hAnsi="宋体" w:eastAsia="仿宋_GB2312" w:cs="宋体"/>
                <w:kern w:val="0"/>
                <w:sz w:val="16"/>
                <w:szCs w:val="16"/>
                <w:highlight w:val="none"/>
                <w:lang w:val="en-US" w:eastAsia="zh-CN"/>
              </w:rPr>
              <w:t>计划今年下汛后对院内防汛库房屋顶进行修缮，在原屋顶上部结构位置，采用10cm厚防火挤塑聚酯板材质施做防火保温层；再用方管进行骨架支撑和主副梁施作，最后在方钢骨架上铺设树脂瓦屋顶，并用发泡胶进行填缝处理。</w:t>
            </w: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绩</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效</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指</w:t>
            </w:r>
            <w:r>
              <w:rPr>
                <w:rFonts w:hint="eastAsia" w:ascii="仿宋_GB2312" w:hAnsi="宋体" w:eastAsia="仿宋_GB2312" w:cs="宋体"/>
                <w:kern w:val="0"/>
                <w:szCs w:val="21"/>
                <w:highlight w:val="none"/>
              </w:rPr>
              <w:br w:type="textWrapping"/>
            </w:r>
            <w:r>
              <w:rPr>
                <w:rFonts w:hint="eastAsia" w:ascii="仿宋_GB2312" w:hAnsi="宋体" w:eastAsia="仿宋_GB2312" w:cs="宋体"/>
                <w:kern w:val="0"/>
                <w:szCs w:val="21"/>
                <w:highlight w:val="none"/>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年度</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实际</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highlight w:val="none"/>
              </w:rPr>
            </w:pPr>
            <w:r>
              <w:rPr>
                <w:rFonts w:hint="eastAsia" w:ascii="仿宋_GB2312" w:hAnsi="宋体" w:eastAsia="仿宋_GB2312" w:cs="宋体"/>
                <w:kern w:val="0"/>
                <w:szCs w:val="21"/>
                <w:highlight w:val="none"/>
              </w:rPr>
              <w:t>偏差原因分析及改进</w:t>
            </w:r>
          </w:p>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措施</w:t>
            </w:r>
          </w:p>
        </w:tc>
      </w:tr>
      <w:tr>
        <w:tblPrEx>
          <w:tblCellMar>
            <w:top w:w="0" w:type="dxa"/>
            <w:left w:w="108" w:type="dxa"/>
            <w:bottom w:w="0" w:type="dxa"/>
            <w:right w:w="108" w:type="dxa"/>
          </w:tblCellMar>
        </w:tblPrEx>
        <w:trPr>
          <w:trHeight w:val="306"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产出指标</w:t>
            </w:r>
          </w:p>
        </w:tc>
        <w:tc>
          <w:tcPr>
            <w:tcW w:w="110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数量指标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防火挤塑聚酯板厚度</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rPr>
              <w:t>0.1</w:t>
            </w:r>
            <w:r>
              <w:rPr>
                <w:rFonts w:hint="eastAsia" w:ascii="仿宋_GB2312" w:hAnsi="宋体" w:eastAsia="仿宋_GB2312" w:cs="宋体"/>
                <w:kern w:val="0"/>
                <w:szCs w:val="21"/>
                <w:highlight w:val="none"/>
                <w:lang w:eastAsia="zh-CN"/>
              </w:rPr>
              <w:t>米</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0.1</w:t>
            </w:r>
            <w:r>
              <w:rPr>
                <w:rFonts w:hint="eastAsia" w:ascii="仿宋_GB2312" w:hAnsi="宋体" w:eastAsia="仿宋_GB2312" w:cs="宋体"/>
                <w:kern w:val="0"/>
                <w:szCs w:val="21"/>
                <w:highlight w:val="none"/>
                <w:lang w:eastAsia="zh-CN"/>
              </w:rPr>
              <w:t>米</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45"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屋顶修缮面积</w:t>
            </w:r>
            <w:r>
              <w:rPr>
                <w:rFonts w:hint="eastAsia" w:ascii="仿宋_GB2312" w:hAnsi="宋体" w:eastAsia="仿宋_GB2312" w:cs="宋体"/>
                <w:color w:val="000000"/>
                <w:kern w:val="0"/>
                <w:szCs w:val="21"/>
                <w:highlight w:val="none"/>
                <w:lang w:val="en-US" w:eastAsia="zh-CN"/>
              </w:rPr>
              <w:t>屋顶修缮面积</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620平米</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620平米</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96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质量指标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采取龙骨支撑和铺设树脂瓦屋顶等措施，满足屋顶防雨质量的达标率</w:t>
            </w:r>
          </w:p>
          <w:p>
            <w:pPr>
              <w:widowControl/>
              <w:spacing w:line="240" w:lineRule="exact"/>
              <w:jc w:val="left"/>
              <w:rPr>
                <w:rFonts w:hint="eastAsia" w:ascii="仿宋_GB2312" w:hAnsi="宋体" w:eastAsia="仿宋_GB2312" w:cs="宋体"/>
                <w:color w:val="000000"/>
                <w:kern w:val="0"/>
                <w:szCs w:val="21"/>
                <w:highlight w:val="none"/>
              </w:rPr>
            </w:pP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90</w:t>
            </w:r>
            <w:r>
              <w:rPr>
                <w:rFonts w:hint="eastAsia" w:ascii="仿宋_GB2312" w:hAnsi="宋体" w:eastAsia="仿宋_GB2312" w:cs="宋体"/>
                <w:kern w:val="0"/>
                <w:szCs w:val="21"/>
                <w:highlight w:val="none"/>
                <w:lang w:val="en-US" w:eastAsia="zh-CN"/>
              </w:rPr>
              <w:t>%</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90</w:t>
            </w:r>
            <w:r>
              <w:rPr>
                <w:rFonts w:hint="eastAsia" w:ascii="仿宋_GB2312" w:hAnsi="宋体" w:eastAsia="仿宋_GB2312" w:cs="宋体"/>
                <w:kern w:val="0"/>
                <w:szCs w:val="21"/>
                <w:highlight w:val="none"/>
                <w:lang w:val="en-US" w:eastAsia="zh-CN"/>
              </w:rPr>
              <w:t>%</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10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60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时效指标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支出进度：截止11月30日</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rPr>
              <w:t>100</w:t>
            </w:r>
            <w:r>
              <w:rPr>
                <w:rFonts w:hint="eastAsia" w:ascii="仿宋_GB2312" w:hAnsi="宋体" w:eastAsia="仿宋_GB2312" w:cs="宋体"/>
                <w:kern w:val="0"/>
                <w:szCs w:val="21"/>
                <w:highlight w:val="none"/>
                <w:lang w:val="en-US" w:eastAsia="zh-CN"/>
              </w:rPr>
              <w:t>%</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rPr>
              <w:t>100</w:t>
            </w:r>
            <w:r>
              <w:rPr>
                <w:rFonts w:hint="eastAsia" w:ascii="仿宋_GB2312" w:hAnsi="宋体" w:eastAsia="仿宋_GB2312" w:cs="宋体"/>
                <w:kern w:val="0"/>
                <w:szCs w:val="21"/>
                <w:highlight w:val="none"/>
                <w:lang w:val="en-US" w:eastAsia="zh-CN"/>
              </w:rPr>
              <w:t>%</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459"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效益指标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可持续影响指标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消除屋顶漏雨隐患率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100%</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1"/>
                <w:szCs w:val="21"/>
                <w:highlight w:val="none"/>
                <w:lang w:val="en-US" w:eastAsia="zh-CN" w:bidi="ar-SA"/>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731" w:hRule="exac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c>
          <w:tcPr>
            <w:tcW w:w="97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成本指标</w:t>
            </w:r>
          </w:p>
        </w:tc>
        <w:tc>
          <w:tcPr>
            <w:tcW w:w="110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lang w:eastAsia="zh-CN"/>
              </w:rPr>
            </w:pPr>
            <w:r>
              <w:rPr>
                <w:rFonts w:hint="eastAsia" w:ascii="仿宋_GB2312" w:hAnsi="宋体" w:eastAsia="仿宋_GB2312" w:cs="宋体"/>
                <w:kern w:val="0"/>
                <w:szCs w:val="21"/>
                <w:highlight w:val="none"/>
                <w:lang w:eastAsia="zh-CN"/>
              </w:rPr>
              <w:t>经济成本指标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依据《建设工程工程量清单计价规范》，每平米年费用</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rPr>
              <w:t>452.35</w:t>
            </w:r>
            <w:r>
              <w:rPr>
                <w:rFonts w:hint="eastAsia" w:ascii="仿宋_GB2312" w:hAnsi="宋体" w:eastAsia="仿宋_GB2312" w:cs="宋体"/>
                <w:kern w:val="0"/>
                <w:szCs w:val="21"/>
                <w:highlight w:val="none"/>
                <w:lang w:eastAsia="zh-CN"/>
              </w:rPr>
              <w:t>元</w:t>
            </w:r>
            <w:r>
              <w:rPr>
                <w:rFonts w:hint="eastAsia" w:ascii="仿宋_GB2312" w:hAnsi="宋体" w:eastAsia="仿宋_GB2312" w:cs="宋体"/>
                <w:kern w:val="0"/>
                <w:szCs w:val="21"/>
                <w:highlight w:val="none"/>
                <w:lang w:val="en-US" w:eastAsia="zh-CN"/>
              </w:rPr>
              <w:t>/平米</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r>
              <w:rPr>
                <w:rFonts w:hint="eastAsia" w:ascii="仿宋_GB2312" w:hAnsi="宋体" w:eastAsia="仿宋_GB2312" w:cs="宋体"/>
                <w:kern w:val="0"/>
                <w:szCs w:val="21"/>
                <w:highlight w:val="none"/>
              </w:rPr>
              <w:t>452.35</w:t>
            </w:r>
            <w:r>
              <w:rPr>
                <w:rFonts w:hint="eastAsia" w:ascii="仿宋_GB2312" w:hAnsi="宋体" w:eastAsia="仿宋_GB2312" w:cs="宋体"/>
                <w:kern w:val="0"/>
                <w:szCs w:val="21"/>
                <w:highlight w:val="none"/>
                <w:lang w:eastAsia="zh-CN"/>
              </w:rPr>
              <w:t>元</w:t>
            </w:r>
            <w:r>
              <w:rPr>
                <w:rFonts w:hint="eastAsia" w:ascii="仿宋_GB2312" w:hAnsi="宋体" w:eastAsia="仿宋_GB2312" w:cs="宋体"/>
                <w:kern w:val="0"/>
                <w:szCs w:val="21"/>
                <w:highlight w:val="none"/>
                <w:lang w:val="en-US" w:eastAsia="zh-CN"/>
              </w:rPr>
              <w:t>/平米</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kern w:val="0"/>
                <w:szCs w:val="21"/>
                <w:highlight w:val="none"/>
                <w:lang w:val="en-US" w:eastAsia="zh-CN"/>
              </w:rPr>
            </w:pPr>
            <w:r>
              <w:rPr>
                <w:rFonts w:hint="eastAsia" w:ascii="仿宋_GB2312" w:hAnsi="宋体" w:eastAsia="仿宋_GB2312" w:cs="宋体"/>
                <w:kern w:val="0"/>
                <w:szCs w:val="21"/>
                <w:highlight w:val="none"/>
                <w:lang w:val="en-US" w:eastAsia="zh-CN"/>
              </w:rPr>
              <w:t>20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r>
        <w:tblPrEx>
          <w:tblCellMar>
            <w:top w:w="0" w:type="dxa"/>
            <w:left w:w="108" w:type="dxa"/>
            <w:bottom w:w="0" w:type="dxa"/>
            <w:right w:w="108" w:type="dxa"/>
          </w:tblCellMar>
        </w:tblPrEx>
        <w:trPr>
          <w:trHeight w:val="340"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highlight w:val="none"/>
              </w:rPr>
            </w:pPr>
            <w:r>
              <w:rPr>
                <w:rFonts w:hint="eastAsia" w:ascii="仿宋_GB2312" w:hAnsi="宋体" w:eastAsia="仿宋_GB2312" w:cs="宋体"/>
                <w:color w:val="000000"/>
                <w:kern w:val="0"/>
                <w:szCs w:val="21"/>
                <w:highlight w:val="none"/>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Cs w:val="21"/>
                <w:highlight w:val="none"/>
                <w:lang w:val="en-US" w:eastAsia="zh-CN"/>
              </w:rPr>
            </w:pPr>
            <w:r>
              <w:rPr>
                <w:rFonts w:hint="eastAsia" w:ascii="仿宋_GB2312" w:hAnsi="宋体" w:eastAsia="仿宋_GB2312" w:cs="宋体"/>
                <w:color w:val="000000"/>
                <w:kern w:val="0"/>
                <w:szCs w:val="21"/>
                <w:highlight w:val="none"/>
                <w:lang w:val="en-US" w:eastAsia="zh-CN"/>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highlight w:val="none"/>
              </w:rPr>
            </w:pPr>
          </w:p>
        </w:tc>
      </w:tr>
    </w:tbl>
    <w:p>
      <w:pPr>
        <w:rPr>
          <w:rFonts w:hint="eastAsia" w:ascii="仿宋_GB2312" w:eastAsia="仿宋_GB2312"/>
          <w:vanish/>
          <w:sz w:val="32"/>
          <w:szCs w:val="32"/>
          <w:highlight w:val="none"/>
        </w:rPr>
      </w:pPr>
    </w:p>
    <w:p>
      <w:pPr>
        <w:rPr>
          <w:highlight w:val="none"/>
        </w:rPr>
      </w:pPr>
    </w:p>
    <w:p>
      <w:pPr>
        <w:spacing w:line="480" w:lineRule="exact"/>
        <w:rPr>
          <w:rFonts w:hint="eastAsia" w:ascii="黑体" w:hAnsi="黑体" w:eastAsia="黑体"/>
          <w:sz w:val="32"/>
          <w:szCs w:val="32"/>
        </w:rPr>
      </w:pPr>
      <w:r>
        <w:rPr>
          <w:rFonts w:hint="eastAsia" w:ascii="黑体" w:hAnsi="黑体" w:eastAsia="黑体"/>
          <w:sz w:val="32"/>
          <w:szCs w:val="32"/>
        </w:rPr>
        <w:t xml:space="preserve">       </w:t>
      </w:r>
    </w:p>
    <w:p>
      <w:pPr>
        <w:spacing w:line="480" w:lineRule="exact"/>
        <w:rPr>
          <w:rFonts w:hint="eastAsia" w:ascii="方正小标宋简体" w:eastAsia="方正小标宋简体"/>
          <w:sz w:val="36"/>
          <w:szCs w:val="36"/>
        </w:rPr>
      </w:pPr>
      <w:r>
        <w:rPr>
          <w:rFonts w:hint="eastAsia" w:ascii="方正小标宋简体" w:eastAsia="方正小标宋简体"/>
          <w:sz w:val="36"/>
          <w:szCs w:val="36"/>
        </w:rPr>
        <w:t xml:space="preserve">               </w:t>
      </w:r>
    </w:p>
    <w:p>
      <w:pPr>
        <w:spacing w:line="480" w:lineRule="exact"/>
        <w:jc w:val="center"/>
        <w:rPr>
          <w:rFonts w:hint="eastAsia" w:ascii="方正小标宋简体" w:hAnsi="黑体" w:eastAsia="方正小标宋简体"/>
          <w:sz w:val="36"/>
          <w:szCs w:val="36"/>
        </w:rPr>
      </w:pPr>
      <w:r>
        <w:rPr>
          <w:rFonts w:hint="eastAsia" w:ascii="方正小标宋简体" w:hAnsi="黑体" w:eastAsia="方正小标宋简体"/>
          <w:sz w:val="36"/>
          <w:szCs w:val="36"/>
        </w:rPr>
        <w:t>项目支出绩效自评表</w:t>
      </w:r>
    </w:p>
    <w:p>
      <w:pPr>
        <w:spacing w:line="480" w:lineRule="exact"/>
        <w:rPr>
          <w:rFonts w:ascii="仿宋_GB2312" w:hAnsi="宋体" w:eastAsia="仿宋_GB2312"/>
          <w:sz w:val="28"/>
          <w:szCs w:val="28"/>
        </w:rPr>
      </w:pPr>
      <w:r>
        <w:rPr>
          <w:rFonts w:hint="eastAsia" w:ascii="仿宋_GB2312" w:eastAsia="仿宋_GB2312"/>
          <w:sz w:val="28"/>
          <w:szCs w:val="28"/>
        </w:rPr>
        <w:t xml:space="preserve">                   </w:t>
      </w:r>
      <w:r>
        <w:rPr>
          <w:rFonts w:ascii="仿宋_GB2312" w:eastAsia="仿宋_GB2312"/>
          <w:sz w:val="28"/>
          <w:szCs w:val="28"/>
        </w:rPr>
        <w:t xml:space="preserve">  </w:t>
      </w:r>
      <w:r>
        <w:rPr>
          <w:rFonts w:hint="eastAsia" w:ascii="仿宋_GB2312" w:hAnsi="宋体" w:eastAsia="仿宋_GB2312"/>
          <w:sz w:val="28"/>
          <w:szCs w:val="28"/>
        </w:rPr>
        <w:t xml:space="preserve"> </w:t>
      </w:r>
      <w:r>
        <w:rPr>
          <w:rFonts w:ascii="仿宋_GB2312" w:hAnsi="宋体" w:eastAsia="仿宋_GB2312"/>
          <w:sz w:val="28"/>
          <w:szCs w:val="28"/>
        </w:rPr>
        <w:t xml:space="preserve"> </w:t>
      </w:r>
      <w:r>
        <w:rPr>
          <w:rFonts w:hint="eastAsia" w:ascii="仿宋_GB2312" w:hAnsi="宋体" w:eastAsia="仿宋_GB2312"/>
          <w:sz w:val="28"/>
          <w:szCs w:val="28"/>
        </w:rPr>
        <w:t xml:space="preserve">  （</w:t>
      </w:r>
      <w:r>
        <w:rPr>
          <w:rFonts w:hint="eastAsia" w:ascii="仿宋_GB2312" w:hAnsi="宋体" w:eastAsia="仿宋_GB2312"/>
          <w:b/>
          <w:bCs/>
          <w:sz w:val="28"/>
          <w:szCs w:val="28"/>
        </w:rPr>
        <w:t>2024</w:t>
      </w:r>
      <w:r>
        <w:rPr>
          <w:rFonts w:hint="eastAsia" w:ascii="仿宋_GB2312" w:hAnsi="宋体" w:eastAsia="仿宋_GB2312"/>
          <w:sz w:val="28"/>
          <w:szCs w:val="28"/>
        </w:rPr>
        <w:t>年度）</w:t>
      </w:r>
    </w:p>
    <w:p>
      <w:pPr>
        <w:spacing w:line="240" w:lineRule="exact"/>
        <w:rPr>
          <w:rFonts w:hint="eastAsia" w:ascii="仿宋_GB2312" w:hAnsi="宋体" w:eastAsia="仿宋_GB2312"/>
          <w:sz w:val="30"/>
          <w:szCs w:val="30"/>
        </w:rPr>
      </w:pPr>
    </w:p>
    <w:tbl>
      <w:tblPr>
        <w:tblStyle w:val="5"/>
        <w:tblW w:w="9038" w:type="dxa"/>
        <w:jc w:val="center"/>
        <w:tblLayout w:type="fixed"/>
        <w:tblCellMar>
          <w:top w:w="0" w:type="dxa"/>
          <w:left w:w="108" w:type="dxa"/>
          <w:bottom w:w="0" w:type="dxa"/>
          <w:right w:w="108" w:type="dxa"/>
        </w:tblCellMar>
      </w:tblPr>
      <w:tblGrid>
        <w:gridCol w:w="585"/>
        <w:gridCol w:w="975"/>
        <w:gridCol w:w="1105"/>
        <w:gridCol w:w="727"/>
        <w:gridCol w:w="1127"/>
        <w:gridCol w:w="283"/>
        <w:gridCol w:w="849"/>
        <w:gridCol w:w="848"/>
        <w:gridCol w:w="279"/>
        <w:gridCol w:w="284"/>
        <w:gridCol w:w="420"/>
        <w:gridCol w:w="143"/>
        <w:gridCol w:w="703"/>
        <w:gridCol w:w="710"/>
      </w:tblGrid>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项目名称</w:t>
            </w:r>
          </w:p>
        </w:tc>
        <w:tc>
          <w:tcPr>
            <w:tcW w:w="7478" w:type="dxa"/>
            <w:gridSpan w:val="1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宋体" w:cs="宋体"/>
                <w:color w:val="000000"/>
                <w:kern w:val="0"/>
                <w:sz w:val="20"/>
              </w:rPr>
              <w:t>2024年永定河管理所部门运转聘用人员经费</w:t>
            </w:r>
          </w:p>
        </w:tc>
      </w:tr>
      <w:tr>
        <w:tblPrEx>
          <w:tblCellMar>
            <w:top w:w="0" w:type="dxa"/>
            <w:left w:w="108" w:type="dxa"/>
            <w:bottom w:w="0" w:type="dxa"/>
            <w:right w:w="108" w:type="dxa"/>
          </w:tblCellMar>
        </w:tblPrEx>
        <w:trPr>
          <w:trHeight w:val="306" w:hRule="exact"/>
          <w:jc w:val="center"/>
        </w:trPr>
        <w:tc>
          <w:tcPr>
            <w:tcW w:w="1560"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主管部门</w:t>
            </w:r>
          </w:p>
        </w:tc>
        <w:tc>
          <w:tcPr>
            <w:tcW w:w="4091"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北京市</w:t>
            </w:r>
            <w:r>
              <w:rPr>
                <w:rFonts w:ascii="仿宋_GB2312" w:hAnsi="宋体" w:eastAsia="仿宋_GB2312" w:cs="宋体"/>
                <w:kern w:val="0"/>
                <w:szCs w:val="21"/>
              </w:rPr>
              <w:t>丰台区水务局</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实施单位</w:t>
            </w:r>
          </w:p>
        </w:tc>
        <w:tc>
          <w:tcPr>
            <w:tcW w:w="2260" w:type="dxa"/>
            <w:gridSpan w:val="5"/>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丰台区</w:t>
            </w:r>
            <w:r>
              <w:rPr>
                <w:rFonts w:ascii="仿宋_GB2312" w:hAnsi="宋体" w:eastAsia="仿宋_GB2312" w:cs="宋体"/>
                <w:kern w:val="0"/>
                <w:szCs w:val="21"/>
              </w:rPr>
              <w:t>永定河管理所</w:t>
            </w:r>
          </w:p>
        </w:tc>
      </w:tr>
      <w:tr>
        <w:tblPrEx>
          <w:tblCellMar>
            <w:top w:w="0" w:type="dxa"/>
            <w:left w:w="108" w:type="dxa"/>
            <w:bottom w:w="0" w:type="dxa"/>
            <w:right w:w="108" w:type="dxa"/>
          </w:tblCellMar>
        </w:tblPrEx>
        <w:trPr>
          <w:trHeight w:val="567" w:hRule="exact"/>
          <w:jc w:val="center"/>
        </w:trPr>
        <w:tc>
          <w:tcPr>
            <w:tcW w:w="1560" w:type="dxa"/>
            <w:gridSpan w:val="2"/>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项目资金</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（万元）</w:t>
            </w: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年初预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全年预</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算数</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全年</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执行数</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执行率</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r>
              <w:rPr>
                <w:rFonts w:hint="eastAsia" w:ascii="仿宋_GB2312" w:hAnsi="宋体" w:eastAsia="仿宋_GB2312" w:cs="宋体"/>
                <w:kern w:val="0"/>
                <w:szCs w:val="21"/>
              </w:rPr>
              <w:t>年度资金总额</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10.2024</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10.2024</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10.2024</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100%</w:t>
            </w: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r>
      <w:tr>
        <w:tblPrEx>
          <w:tblCellMar>
            <w:top w:w="0" w:type="dxa"/>
            <w:left w:w="108" w:type="dxa"/>
            <w:bottom w:w="0" w:type="dxa"/>
            <w:right w:w="108" w:type="dxa"/>
          </w:tblCellMar>
        </w:tblPrEx>
        <w:trPr>
          <w:trHeight w:val="601"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其中：当年财政</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拨款</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10.2024</w:t>
            </w: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10.2024</w:t>
            </w: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10.2024</w:t>
            </w: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67"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上年结转资金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306" w:hRule="exact"/>
          <w:jc w:val="center"/>
        </w:trPr>
        <w:tc>
          <w:tcPr>
            <w:tcW w:w="1560" w:type="dxa"/>
            <w:gridSpan w:val="2"/>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832"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 xml:space="preserve">  其他资金</w:t>
            </w:r>
          </w:p>
        </w:tc>
        <w:tc>
          <w:tcPr>
            <w:tcW w:w="1127"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32"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27"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04" w:type="dxa"/>
            <w:gridSpan w:val="2"/>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c>
          <w:tcPr>
            <w:tcW w:w="846"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71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w:t>
            </w:r>
          </w:p>
        </w:tc>
      </w:tr>
      <w:tr>
        <w:tblPrEx>
          <w:tblCellMar>
            <w:top w:w="0" w:type="dxa"/>
            <w:left w:w="108" w:type="dxa"/>
            <w:bottom w:w="0" w:type="dxa"/>
            <w:right w:w="108" w:type="dxa"/>
          </w:tblCellMar>
        </w:tblPrEx>
        <w:trPr>
          <w:trHeight w:val="548" w:hRule="exact"/>
          <w:jc w:val="center"/>
        </w:trPr>
        <w:tc>
          <w:tcPr>
            <w:tcW w:w="585"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年度总体目标</w:t>
            </w:r>
          </w:p>
        </w:tc>
        <w:tc>
          <w:tcPr>
            <w:tcW w:w="5066" w:type="dxa"/>
            <w:gridSpan w:val="6"/>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预期目标</w:t>
            </w:r>
          </w:p>
        </w:tc>
        <w:tc>
          <w:tcPr>
            <w:tcW w:w="3387" w:type="dxa"/>
            <w:gridSpan w:val="7"/>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实际完成情况</w:t>
            </w:r>
          </w:p>
        </w:tc>
      </w:tr>
      <w:tr>
        <w:tblPrEx>
          <w:tblCellMar>
            <w:top w:w="0" w:type="dxa"/>
            <w:left w:w="108" w:type="dxa"/>
            <w:bottom w:w="0" w:type="dxa"/>
            <w:right w:w="108" w:type="dxa"/>
          </w:tblCellMar>
        </w:tblPrEx>
        <w:trPr>
          <w:trHeight w:val="2314" w:hRule="exact"/>
          <w:jc w:val="center"/>
        </w:trPr>
        <w:tc>
          <w:tcPr>
            <w:tcW w:w="585"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5066" w:type="dxa"/>
            <w:gridSpan w:val="6"/>
            <w:tcBorders>
              <w:top w:val="single" w:color="auto" w:sz="4" w:space="0"/>
              <w:left w:val="nil"/>
              <w:bottom w:val="single" w:color="auto" w:sz="4" w:space="0"/>
              <w:right w:val="single" w:color="auto" w:sz="4" w:space="0"/>
            </w:tcBorders>
            <w:noWrap w:val="0"/>
            <w:vAlign w:val="center"/>
          </w:tcPr>
          <w:p>
            <w:pPr>
              <w:spacing w:line="360" w:lineRule="auto"/>
              <w:ind w:firstLine="645"/>
              <w:rPr>
                <w:rFonts w:ascii="宋体" w:hAnsi="宋体" w:cs="宋体"/>
                <w:color w:val="000000"/>
                <w:kern w:val="0"/>
                <w:sz w:val="18"/>
                <w:szCs w:val="18"/>
              </w:rPr>
            </w:pPr>
            <w:r>
              <w:rPr>
                <w:rFonts w:hint="eastAsia" w:ascii="宋体" w:hAnsi="宋体" w:cs="宋体"/>
                <w:color w:val="000000"/>
                <w:kern w:val="0"/>
                <w:sz w:val="18"/>
                <w:szCs w:val="18"/>
              </w:rPr>
              <w:t>为了保障202</w:t>
            </w:r>
            <w:r>
              <w:rPr>
                <w:rFonts w:ascii="宋体" w:hAnsi="宋体" w:cs="宋体"/>
                <w:color w:val="000000"/>
                <w:kern w:val="0"/>
                <w:sz w:val="18"/>
                <w:szCs w:val="18"/>
              </w:rPr>
              <w:t>4</w:t>
            </w:r>
            <w:r>
              <w:rPr>
                <w:rFonts w:hint="eastAsia" w:ascii="宋体" w:hAnsi="宋体" w:cs="宋体"/>
                <w:color w:val="000000"/>
                <w:kern w:val="0"/>
                <w:sz w:val="18"/>
                <w:szCs w:val="18"/>
              </w:rPr>
              <w:t>年度单位日常安全及环境卫生工作共聘用临时工两名：分别负责传达室的安全值守及办公区域内的安全巡查工作和办公区域内的环境清洁及垃圾清倒工作。</w:t>
            </w:r>
          </w:p>
          <w:p>
            <w:pPr>
              <w:widowControl/>
              <w:spacing w:line="240" w:lineRule="exact"/>
              <w:jc w:val="center"/>
              <w:rPr>
                <w:rFonts w:hint="eastAsia" w:ascii="仿宋_GB2312" w:hAnsi="宋体" w:eastAsia="仿宋_GB2312" w:cs="宋体"/>
                <w:kern w:val="0"/>
                <w:szCs w:val="21"/>
              </w:rPr>
            </w:pPr>
          </w:p>
        </w:tc>
        <w:tc>
          <w:tcPr>
            <w:tcW w:w="3387" w:type="dxa"/>
            <w:gridSpan w:val="7"/>
            <w:tcBorders>
              <w:top w:val="single" w:color="auto" w:sz="4" w:space="0"/>
              <w:left w:val="nil"/>
              <w:bottom w:val="single" w:color="auto" w:sz="4" w:space="0"/>
              <w:right w:val="single" w:color="auto" w:sz="4" w:space="0"/>
            </w:tcBorders>
            <w:noWrap w:val="0"/>
            <w:vAlign w:val="center"/>
          </w:tcPr>
          <w:p>
            <w:pPr>
              <w:spacing w:line="360" w:lineRule="auto"/>
              <w:ind w:firstLine="645"/>
              <w:rPr>
                <w:rFonts w:ascii="宋体" w:hAnsi="宋体" w:cs="宋体"/>
                <w:color w:val="000000"/>
                <w:kern w:val="0"/>
                <w:sz w:val="18"/>
                <w:szCs w:val="18"/>
              </w:rPr>
            </w:pPr>
            <w:r>
              <w:rPr>
                <w:rFonts w:hint="eastAsia" w:ascii="宋体" w:hAnsi="宋体" w:cs="宋体"/>
                <w:color w:val="000000"/>
                <w:kern w:val="0"/>
                <w:sz w:val="18"/>
                <w:szCs w:val="18"/>
              </w:rPr>
              <w:t>为了保障202</w:t>
            </w:r>
            <w:r>
              <w:rPr>
                <w:rFonts w:ascii="宋体" w:hAnsi="宋体" w:cs="宋体"/>
                <w:color w:val="000000"/>
                <w:kern w:val="0"/>
                <w:sz w:val="18"/>
                <w:szCs w:val="18"/>
              </w:rPr>
              <w:t>4</w:t>
            </w:r>
            <w:r>
              <w:rPr>
                <w:rFonts w:hint="eastAsia" w:ascii="宋体" w:hAnsi="宋体" w:cs="宋体"/>
                <w:color w:val="000000"/>
                <w:kern w:val="0"/>
                <w:sz w:val="18"/>
                <w:szCs w:val="18"/>
              </w:rPr>
              <w:t>年度单位日常安全及环境卫生工作共聘用临时工两名：分别负责传达室的安全值守及办公区域内的安全巡查工作和办公区域内的环境清洁及垃圾清倒工作。</w:t>
            </w:r>
          </w:p>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830" w:hRule="exact"/>
          <w:jc w:val="center"/>
        </w:trPr>
        <w:tc>
          <w:tcPr>
            <w:tcW w:w="58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绩</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效</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指</w:t>
            </w:r>
            <w:r>
              <w:rPr>
                <w:rFonts w:hint="eastAsia" w:ascii="仿宋_GB2312" w:hAnsi="宋体" w:eastAsia="仿宋_GB2312" w:cs="宋体"/>
                <w:kern w:val="0"/>
                <w:szCs w:val="21"/>
              </w:rPr>
              <w:br w:type="textWrapping"/>
            </w:r>
            <w:r>
              <w:rPr>
                <w:rFonts w:hint="eastAsia" w:ascii="仿宋_GB2312" w:hAnsi="宋体" w:eastAsia="仿宋_GB2312" w:cs="宋体"/>
                <w:kern w:val="0"/>
                <w:szCs w:val="21"/>
              </w:rPr>
              <w:t>标</w:t>
            </w:r>
          </w:p>
        </w:tc>
        <w:tc>
          <w:tcPr>
            <w:tcW w:w="97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一级指标</w:t>
            </w:r>
          </w:p>
        </w:tc>
        <w:tc>
          <w:tcPr>
            <w:tcW w:w="1105"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二级指标</w:t>
            </w:r>
          </w:p>
        </w:tc>
        <w:tc>
          <w:tcPr>
            <w:tcW w:w="2137" w:type="dxa"/>
            <w:gridSpan w:val="3"/>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三级指标</w:t>
            </w:r>
          </w:p>
        </w:tc>
        <w:tc>
          <w:tcPr>
            <w:tcW w:w="849"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年度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指标值</w:t>
            </w:r>
          </w:p>
        </w:tc>
        <w:tc>
          <w:tcPr>
            <w:tcW w:w="848" w:type="dxa"/>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实际</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完成值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分值</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得分</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偏差原因分析及改进</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措施</w:t>
            </w:r>
          </w:p>
        </w:tc>
      </w:tr>
      <w:tr>
        <w:tblPrEx>
          <w:tblCellMar>
            <w:top w:w="0" w:type="dxa"/>
            <w:left w:w="108" w:type="dxa"/>
            <w:bottom w:w="0" w:type="dxa"/>
            <w:right w:w="108" w:type="dxa"/>
          </w:tblCellMar>
        </w:tblPrEx>
        <w:trPr>
          <w:trHeight w:val="427" w:hRule="atLeas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产出指标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数量指标</w:t>
            </w:r>
          </w:p>
        </w:tc>
        <w:tc>
          <w:tcPr>
            <w:tcW w:w="2137" w:type="dxa"/>
            <w:gridSpan w:val="3"/>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聘用人员数量</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141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600" w:hRule="atLeas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质量指标</w:t>
            </w:r>
          </w:p>
        </w:tc>
        <w:tc>
          <w:tcPr>
            <w:tcW w:w="2137" w:type="dxa"/>
            <w:gridSpan w:val="3"/>
            <w:tcBorders>
              <w:top w:val="single" w:color="auto" w:sz="4" w:space="0"/>
              <w:left w:val="nil"/>
              <w:right w:val="single" w:color="auto" w:sz="4" w:space="0"/>
            </w:tcBorders>
            <w:noWrap w:val="0"/>
            <w:vAlign w:val="center"/>
          </w:tcPr>
          <w:p>
            <w:pPr>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环境整洁、安全保障到位率</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141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465" w:hRule="atLeas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时效指标</w:t>
            </w:r>
          </w:p>
        </w:tc>
        <w:tc>
          <w:tcPr>
            <w:tcW w:w="2137" w:type="dxa"/>
            <w:gridSpan w:val="3"/>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聘用人员的服务周期</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1年</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1年</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141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735" w:hRule="atLeas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社会效益</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2137" w:type="dxa"/>
            <w:gridSpan w:val="3"/>
            <w:tcBorders>
              <w:top w:val="single" w:color="auto" w:sz="4" w:space="0"/>
              <w:left w:val="nil"/>
              <w:right w:val="single" w:color="auto" w:sz="4" w:space="0"/>
            </w:tcBorders>
            <w:noWrap w:val="0"/>
            <w:vAlign w:val="center"/>
          </w:tcPr>
          <w:p>
            <w:pPr>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对部门业务或整体事业发展的正面影响</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20</w:t>
            </w:r>
          </w:p>
        </w:tc>
        <w:tc>
          <w:tcPr>
            <w:tcW w:w="141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1148" w:hRule="atLeas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成本指标</w:t>
            </w:r>
          </w:p>
        </w:tc>
        <w:tc>
          <w:tcPr>
            <w:tcW w:w="1105" w:type="dxa"/>
            <w:tcBorders>
              <w:top w:val="single" w:color="auto" w:sz="4" w:space="0"/>
              <w:left w:val="single" w:color="auto" w:sz="4" w:space="0"/>
              <w:right w:val="single" w:color="auto" w:sz="4" w:space="0"/>
            </w:tcBorders>
            <w:noWrap w:val="0"/>
            <w:vAlign w:val="center"/>
          </w:tcPr>
          <w:p>
            <w:pPr>
              <w:widowControl/>
              <w:spacing w:line="240" w:lineRule="exact"/>
              <w:rPr>
                <w:rFonts w:hint="eastAsia" w:ascii="仿宋_GB2312" w:hAnsi="宋体" w:eastAsia="仿宋_GB2312" w:cs="宋体"/>
                <w:kern w:val="0"/>
                <w:szCs w:val="21"/>
              </w:rPr>
            </w:pPr>
          </w:p>
          <w:p>
            <w:pPr>
              <w:widowControl/>
              <w:spacing w:line="240" w:lineRule="exact"/>
              <w:jc w:val="center"/>
              <w:rPr>
                <w:rFonts w:ascii="仿宋_GB2312" w:hAnsi="宋体" w:eastAsia="仿宋_GB2312" w:cs="宋体"/>
                <w:kern w:val="0"/>
                <w:szCs w:val="21"/>
              </w:rPr>
            </w:pPr>
          </w:p>
          <w:p>
            <w:pPr>
              <w:widowControl/>
              <w:spacing w:line="240" w:lineRule="exact"/>
              <w:jc w:val="center"/>
              <w:rPr>
                <w:rFonts w:ascii="仿宋_GB2312" w:hAnsi="宋体" w:eastAsia="仿宋_GB2312" w:cs="宋体"/>
                <w:kern w:val="0"/>
                <w:szCs w:val="21"/>
              </w:rPr>
            </w:pPr>
            <w:r>
              <w:rPr>
                <w:rFonts w:hint="eastAsia" w:ascii="仿宋_GB2312" w:hAnsi="宋体" w:eastAsia="仿宋_GB2312" w:cs="宋体"/>
                <w:kern w:val="0"/>
                <w:szCs w:val="21"/>
              </w:rPr>
              <w:t>经济成本指标</w:t>
            </w:r>
          </w:p>
          <w:p>
            <w:pPr>
              <w:widowControl/>
              <w:spacing w:line="240" w:lineRule="exact"/>
              <w:jc w:val="center"/>
              <w:rPr>
                <w:rFonts w:hint="eastAsia" w:ascii="仿宋_GB2312" w:hAnsi="宋体" w:eastAsia="仿宋_GB2312" w:cs="宋体"/>
                <w:kern w:val="0"/>
                <w:szCs w:val="21"/>
              </w:rPr>
            </w:pPr>
          </w:p>
        </w:tc>
        <w:tc>
          <w:tcPr>
            <w:tcW w:w="2137" w:type="dxa"/>
            <w:gridSpan w:val="3"/>
            <w:tcBorders>
              <w:top w:val="single" w:color="auto" w:sz="4" w:space="0"/>
              <w:left w:val="nil"/>
              <w:right w:val="single" w:color="auto" w:sz="4" w:space="0"/>
            </w:tcBorders>
            <w:noWrap w:val="0"/>
            <w:vAlign w:val="center"/>
          </w:tcPr>
          <w:p>
            <w:pPr>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单位</w:t>
            </w:r>
            <w:r>
              <w:rPr>
                <w:rFonts w:ascii="仿宋_GB2312" w:hAnsi="宋体" w:eastAsia="仿宋_GB2312" w:cs="宋体"/>
                <w:color w:val="000000"/>
                <w:kern w:val="0"/>
                <w:szCs w:val="21"/>
              </w:rPr>
              <w:t>聘用成本，每人每天</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ascii="仿宋_GB2312" w:hAnsi="宋体" w:eastAsia="仿宋_GB2312" w:cs="宋体"/>
                <w:kern w:val="0"/>
                <w:szCs w:val="21"/>
              </w:rPr>
              <w:t>140</w:t>
            </w:r>
            <w:r>
              <w:rPr>
                <w:rFonts w:hint="eastAsia" w:ascii="仿宋_GB2312" w:hAnsi="宋体" w:eastAsia="仿宋_GB2312" w:cs="宋体"/>
                <w:kern w:val="0"/>
                <w:szCs w:val="21"/>
              </w:rPr>
              <w:t>元/天</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140元/天</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15</w:t>
            </w:r>
          </w:p>
        </w:tc>
        <w:tc>
          <w:tcPr>
            <w:tcW w:w="141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908" w:hRule="atLeast"/>
          <w:jc w:val="center"/>
        </w:trPr>
        <w:tc>
          <w:tcPr>
            <w:tcW w:w="58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c>
          <w:tcPr>
            <w:tcW w:w="97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满意度</w:t>
            </w:r>
          </w:p>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指标</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服务对象满意度标</w:t>
            </w:r>
          </w:p>
        </w:tc>
        <w:tc>
          <w:tcPr>
            <w:tcW w:w="2137" w:type="dxa"/>
            <w:gridSpan w:val="3"/>
            <w:tcBorders>
              <w:top w:val="single" w:color="auto" w:sz="4" w:space="0"/>
              <w:left w:val="nil"/>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收益对象满意度</w:t>
            </w:r>
          </w:p>
        </w:tc>
        <w:tc>
          <w:tcPr>
            <w:tcW w:w="849"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w:t>
            </w:r>
          </w:p>
        </w:tc>
        <w:tc>
          <w:tcPr>
            <w:tcW w:w="848" w:type="dxa"/>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90%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56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r>
              <w:rPr>
                <w:rFonts w:hint="eastAsia" w:ascii="仿宋_GB2312" w:hAnsi="宋体" w:eastAsia="仿宋_GB2312" w:cs="宋体"/>
                <w:kern w:val="0"/>
                <w:szCs w:val="21"/>
              </w:rPr>
              <w:t>10</w:t>
            </w:r>
          </w:p>
        </w:tc>
        <w:tc>
          <w:tcPr>
            <w:tcW w:w="1413" w:type="dxa"/>
            <w:gridSpan w:val="2"/>
            <w:tcBorders>
              <w:top w:val="single" w:color="auto" w:sz="4" w:space="0"/>
              <w:left w:val="nil"/>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r>
        <w:tblPrEx>
          <w:tblCellMar>
            <w:top w:w="0" w:type="dxa"/>
            <w:left w:w="108" w:type="dxa"/>
            <w:bottom w:w="0" w:type="dxa"/>
            <w:right w:w="108" w:type="dxa"/>
          </w:tblCellMar>
        </w:tblPrEx>
        <w:trPr>
          <w:trHeight w:val="477" w:hRule="exact"/>
          <w:jc w:val="center"/>
        </w:trPr>
        <w:tc>
          <w:tcPr>
            <w:tcW w:w="6499" w:type="dxa"/>
            <w:gridSpan w:val="8"/>
            <w:tcBorders>
              <w:top w:val="single" w:color="auto" w:sz="4" w:space="0"/>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总分</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56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Cs w:val="21"/>
              </w:rPr>
            </w:pPr>
            <w:r>
              <w:rPr>
                <w:rFonts w:hint="eastAsia" w:ascii="仿宋_GB2312" w:hAnsi="宋体" w:eastAsia="仿宋_GB2312" w:cs="宋体"/>
                <w:color w:val="000000"/>
                <w:kern w:val="0"/>
                <w:szCs w:val="21"/>
              </w:rPr>
              <w:t>100</w:t>
            </w:r>
          </w:p>
        </w:tc>
        <w:tc>
          <w:tcPr>
            <w:tcW w:w="1413" w:type="dxa"/>
            <w:gridSpan w:val="2"/>
            <w:tcBorders>
              <w:top w:val="single" w:color="auto" w:sz="4" w:space="0"/>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Cs w:val="21"/>
              </w:rPr>
            </w:pPr>
          </w:p>
        </w:tc>
      </w:tr>
    </w:tbl>
    <w:p>
      <w:pPr>
        <w:rPr>
          <w:rFonts w:hint="eastAsia" w:ascii="仿宋_GB2312" w:eastAsia="仿宋_GB2312"/>
          <w:vanish/>
          <w:sz w:val="32"/>
          <w:szCs w:val="32"/>
        </w:rPr>
      </w:pPr>
    </w:p>
    <w:p/>
    <w:p>
      <w:pPr>
        <w:spacing w:line="480" w:lineRule="exact"/>
        <w:rPr>
          <w:rFonts w:hint="eastAsia" w:ascii="黑体" w:hAnsi="黑体" w:eastAsia="黑体"/>
          <w:sz w:val="32"/>
          <w:szCs w:val="32"/>
          <w:highlight w:val="none"/>
        </w:rPr>
      </w:pPr>
      <w:r>
        <w:rPr>
          <w:rFonts w:hint="eastAsia" w:ascii="黑体" w:hAnsi="黑体" w:eastAsia="黑体"/>
          <w:sz w:val="32"/>
          <w:szCs w:val="32"/>
          <w:highlight w:val="none"/>
        </w:rPr>
        <w:t xml:space="preserve">       </w:t>
      </w:r>
    </w:p>
    <w:p>
      <w:r>
        <w:rPr>
          <w:rFonts w:hint="eastAsia" w:ascii="方正小标宋简体" w:eastAsia="方正小标宋简体"/>
          <w:sz w:val="36"/>
          <w:szCs w:val="36"/>
          <w:highlight w:val="none"/>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2C82"/>
    <w:rsid w:val="000D1DFB"/>
    <w:rsid w:val="00167885"/>
    <w:rsid w:val="00257126"/>
    <w:rsid w:val="002C18DA"/>
    <w:rsid w:val="003435ED"/>
    <w:rsid w:val="0045622B"/>
    <w:rsid w:val="00512C82"/>
    <w:rsid w:val="00843937"/>
    <w:rsid w:val="009D58D3"/>
    <w:rsid w:val="00A1570F"/>
    <w:rsid w:val="00AD2227"/>
    <w:rsid w:val="00CC5B44"/>
    <w:rsid w:val="00CC6BA7"/>
    <w:rsid w:val="00CE3760"/>
    <w:rsid w:val="00CE49C2"/>
    <w:rsid w:val="00DC42CD"/>
    <w:rsid w:val="00DF4CEA"/>
    <w:rsid w:val="00EE08AF"/>
    <w:rsid w:val="00FF0699"/>
    <w:rsid w:val="01E46E79"/>
    <w:rsid w:val="02151C65"/>
    <w:rsid w:val="063B36C5"/>
    <w:rsid w:val="09D10D0C"/>
    <w:rsid w:val="0A873AA4"/>
    <w:rsid w:val="0AB2355F"/>
    <w:rsid w:val="0D283E20"/>
    <w:rsid w:val="0EE73ADE"/>
    <w:rsid w:val="0EED5C97"/>
    <w:rsid w:val="0F090D77"/>
    <w:rsid w:val="0F510E84"/>
    <w:rsid w:val="10A0610E"/>
    <w:rsid w:val="110657E2"/>
    <w:rsid w:val="129B5030"/>
    <w:rsid w:val="156F30C1"/>
    <w:rsid w:val="15BE6D04"/>
    <w:rsid w:val="177A4762"/>
    <w:rsid w:val="17B664D0"/>
    <w:rsid w:val="1BAE524B"/>
    <w:rsid w:val="1D1A54D8"/>
    <w:rsid w:val="1DFE19D4"/>
    <w:rsid w:val="1E5633A0"/>
    <w:rsid w:val="1F944D1C"/>
    <w:rsid w:val="1FF34C1C"/>
    <w:rsid w:val="21302101"/>
    <w:rsid w:val="23722EFB"/>
    <w:rsid w:val="23DA4D78"/>
    <w:rsid w:val="249B69A3"/>
    <w:rsid w:val="24ED0114"/>
    <w:rsid w:val="25ED3450"/>
    <w:rsid w:val="271850DE"/>
    <w:rsid w:val="2A037B5C"/>
    <w:rsid w:val="2A860F1A"/>
    <w:rsid w:val="2AEC60E0"/>
    <w:rsid w:val="2D1D7C1B"/>
    <w:rsid w:val="2DA52FC1"/>
    <w:rsid w:val="2E985887"/>
    <w:rsid w:val="2F98454E"/>
    <w:rsid w:val="30A732D3"/>
    <w:rsid w:val="314709B3"/>
    <w:rsid w:val="31A418B3"/>
    <w:rsid w:val="31A92452"/>
    <w:rsid w:val="327700AB"/>
    <w:rsid w:val="32E85583"/>
    <w:rsid w:val="34170ED4"/>
    <w:rsid w:val="357C0E5A"/>
    <w:rsid w:val="35987478"/>
    <w:rsid w:val="36F602EC"/>
    <w:rsid w:val="37550E2C"/>
    <w:rsid w:val="39015693"/>
    <w:rsid w:val="395A1E04"/>
    <w:rsid w:val="3BFF2647"/>
    <w:rsid w:val="3C637435"/>
    <w:rsid w:val="3EB45E12"/>
    <w:rsid w:val="408A17C8"/>
    <w:rsid w:val="414E0586"/>
    <w:rsid w:val="456F6AB2"/>
    <w:rsid w:val="45A937DA"/>
    <w:rsid w:val="45FD15B8"/>
    <w:rsid w:val="469F632D"/>
    <w:rsid w:val="47E20AA5"/>
    <w:rsid w:val="4812057A"/>
    <w:rsid w:val="4A6E077F"/>
    <w:rsid w:val="4C3520B5"/>
    <w:rsid w:val="4C4B499E"/>
    <w:rsid w:val="4E271EFD"/>
    <w:rsid w:val="4E617732"/>
    <w:rsid w:val="5228027C"/>
    <w:rsid w:val="529F18D7"/>
    <w:rsid w:val="539719B0"/>
    <w:rsid w:val="56725F1B"/>
    <w:rsid w:val="57296967"/>
    <w:rsid w:val="5D143CB0"/>
    <w:rsid w:val="5D1A254C"/>
    <w:rsid w:val="5E53366D"/>
    <w:rsid w:val="5F572A70"/>
    <w:rsid w:val="600D3287"/>
    <w:rsid w:val="60235A85"/>
    <w:rsid w:val="60BD26C3"/>
    <w:rsid w:val="61BC64F7"/>
    <w:rsid w:val="645B3F66"/>
    <w:rsid w:val="65CF333A"/>
    <w:rsid w:val="662C1A27"/>
    <w:rsid w:val="665435C4"/>
    <w:rsid w:val="6665550D"/>
    <w:rsid w:val="66B5280F"/>
    <w:rsid w:val="686A1321"/>
    <w:rsid w:val="69B51C86"/>
    <w:rsid w:val="6D173DA1"/>
    <w:rsid w:val="6D544977"/>
    <w:rsid w:val="6F56365B"/>
    <w:rsid w:val="6F5D4086"/>
    <w:rsid w:val="6FFD8E87"/>
    <w:rsid w:val="719806FD"/>
    <w:rsid w:val="71EA7F65"/>
    <w:rsid w:val="73132043"/>
    <w:rsid w:val="746133BA"/>
    <w:rsid w:val="758F7D16"/>
    <w:rsid w:val="78570483"/>
    <w:rsid w:val="78610262"/>
    <w:rsid w:val="79B44116"/>
    <w:rsid w:val="79C943F0"/>
    <w:rsid w:val="7A243082"/>
    <w:rsid w:val="7C855F26"/>
    <w:rsid w:val="7C917EEC"/>
    <w:rsid w:val="7D4B53CB"/>
    <w:rsid w:val="7D6C75A0"/>
    <w:rsid w:val="7D7D6564"/>
    <w:rsid w:val="7DFDEB09"/>
    <w:rsid w:val="7FEBA0FD"/>
    <w:rsid w:val="7FFE9ECB"/>
    <w:rsid w:val="AB7EC7C0"/>
    <w:rsid w:val="CEDF7F49"/>
    <w:rsid w:val="D8FE4FBF"/>
    <w:rsid w:val="DFFD4B51"/>
    <w:rsid w:val="E3F679B1"/>
    <w:rsid w:val="F7F578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iPriority="99"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alloon Text"/>
    <w:basedOn w:val="1"/>
    <w:link w:val="9"/>
    <w:unhideWhenUsed/>
    <w:uiPriority w:val="99"/>
    <w:rPr>
      <w:rFonts w:eastAsia="宋体"/>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脚 Char"/>
    <w:basedOn w:val="6"/>
    <w:link w:val="3"/>
    <w:semiHidden/>
    <w:qFormat/>
    <w:uiPriority w:val="99"/>
    <w:rPr>
      <w:rFonts w:ascii="Calibri" w:hAnsi="Calibri" w:eastAsia="宋体" w:cs="Times New Roman"/>
      <w:sz w:val="18"/>
      <w:szCs w:val="18"/>
    </w:rPr>
  </w:style>
  <w:style w:type="character" w:customStyle="1" w:styleId="8">
    <w:name w:val="页眉 Char"/>
    <w:basedOn w:val="6"/>
    <w:link w:val="4"/>
    <w:semiHidden/>
    <w:qFormat/>
    <w:uiPriority w:val="99"/>
    <w:rPr>
      <w:rFonts w:ascii="Calibri" w:hAnsi="Calibri" w:eastAsia="宋体" w:cs="Times New Roman"/>
      <w:sz w:val="18"/>
      <w:szCs w:val="18"/>
    </w:rPr>
  </w:style>
  <w:style w:type="character" w:customStyle="1" w:styleId="9">
    <w:name w:val="批注框文本 字符"/>
    <w:link w:val="2"/>
    <w:semiHidden/>
    <w:uiPriority w:val="99"/>
    <w:rPr>
      <w:rFonts w:ascii="Times New Roman" w:hAnsi="Times New Roman" w:eastAsia="宋体" w:cs="Times New Roman"/>
      <w:kern w:val="2"/>
      <w:sz w:val="18"/>
      <w:szCs w:val="18"/>
    </w:rPr>
  </w:style>
  <w:style w:type="character" w:customStyle="1" w:styleId="10">
    <w:name w:val="页脚 字符"/>
    <w:link w:val="3"/>
    <w:semiHidden/>
    <w:uiPriority w:val="99"/>
    <w:rPr>
      <w:rFonts w:ascii="Calibri" w:hAnsi="Calibri" w:eastAsia="宋体" w:cs="Times New Roman"/>
      <w:sz w:val="18"/>
      <w:szCs w:val="18"/>
    </w:rPr>
  </w:style>
  <w:style w:type="character" w:customStyle="1" w:styleId="11">
    <w:name w:val="页眉 字符"/>
    <w:link w:val="4"/>
    <w:semiHidden/>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14085</Words>
  <Characters>16467</Characters>
  <Lines>0</Lines>
  <Paragraphs>0</Paragraphs>
  <TotalTime>17</TotalTime>
  <ScaleCrop>false</ScaleCrop>
  <LinksUpToDate>false</LinksUpToDate>
  <CharactersWithSpaces>17725</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2025-06-24T06:03:00Z</dcterms:created>
  <dc:creator>Administrator</dc:creator>
  <cp:lastModifiedBy>Administrator</cp:lastModifiedBy>
  <dcterms:modified xsi:type="dcterms:W3CDTF">2025-12-11T07:22:35Z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ies>
</file>