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N/>
        <w:bidi w:val="0"/>
        <w:snapToGrid/>
        <w:spacing w:line="560" w:lineRule="exact"/>
        <w:textAlignment w:val="auto"/>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第一部分</w:t>
      </w:r>
    </w:p>
    <w:p>
      <w:pPr>
        <w:keepNext w:val="0"/>
        <w:keepLines w:val="0"/>
        <w:pageBreakBefore w:val="0"/>
        <w:widowControl/>
        <w:kinsoku/>
        <w:wordWrap/>
        <w:overflowPunct/>
        <w:topLinePunct w:val="0"/>
        <w:autoSpaceDN/>
        <w:bidi w:val="0"/>
        <w:snapToGrid/>
        <w:spacing w:line="560" w:lineRule="exact"/>
        <w:jc w:val="center"/>
        <w:textAlignment w:val="auto"/>
        <w:rPr>
          <w:rFonts w:hint="eastAsia" w:ascii="方正小标宋简体" w:hAnsi="方正小标宋简体" w:eastAsia="方正小标宋简体" w:cs="方正小标宋简体"/>
          <w:sz w:val="44"/>
          <w:szCs w:val="44"/>
        </w:rPr>
      </w:pPr>
    </w:p>
    <w:p>
      <w:pPr>
        <w:keepNext w:val="0"/>
        <w:keepLines w:val="0"/>
        <w:pageBreakBefore w:val="0"/>
        <w:widowControl/>
        <w:kinsoku/>
        <w:wordWrap/>
        <w:overflowPunct/>
        <w:topLinePunct w:val="0"/>
        <w:autoSpaceDN/>
        <w:bidi w:val="0"/>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3</w:t>
      </w:r>
      <w:r>
        <w:rPr>
          <w:rFonts w:hint="eastAsia" w:ascii="方正小标宋简体" w:hAnsi="方正小标宋简体" w:eastAsia="方正小标宋简体" w:cs="方正小标宋简体"/>
          <w:sz w:val="44"/>
          <w:szCs w:val="44"/>
        </w:rPr>
        <w:t>年部门预算情况说明</w:t>
      </w:r>
    </w:p>
    <w:p>
      <w:pPr>
        <w:keepNext w:val="0"/>
        <w:keepLines w:val="0"/>
        <w:pageBreakBefore w:val="0"/>
        <w:kinsoku/>
        <w:wordWrap/>
        <w:overflowPunct/>
        <w:topLinePunct w:val="0"/>
        <w:autoSpaceDN/>
        <w:bidi w:val="0"/>
        <w:snapToGrid/>
        <w:spacing w:line="560" w:lineRule="exact"/>
        <w:jc w:val="center"/>
        <w:textAlignment w:val="auto"/>
        <w:rPr>
          <w:rFonts w:hint="eastAsia" w:ascii="宋体" w:hAnsi="宋体" w:cs="宋体"/>
          <w:sz w:val="32"/>
          <w:szCs w:val="32"/>
        </w:rPr>
      </w:pPr>
    </w:p>
    <w:p>
      <w:pPr>
        <w:keepNext w:val="0"/>
        <w:keepLines w:val="0"/>
        <w:pageBreakBefore w:val="0"/>
        <w:kinsoku/>
        <w:wordWrap/>
        <w:overflowPunct/>
        <w:topLinePunct w:val="0"/>
        <w:autoSpaceDN/>
        <w:bidi w:val="0"/>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一、部门情况</w:t>
      </w:r>
    </w:p>
    <w:p>
      <w:pPr>
        <w:keepNext w:val="0"/>
        <w:keepLines w:val="0"/>
        <w:pageBreakBefore w:val="0"/>
        <w:kinsoku/>
        <w:wordWrap/>
        <w:overflowPunct/>
        <w:topLinePunct w:val="0"/>
        <w:autoSpaceDN/>
        <w:bidi w:val="0"/>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（一）部门机构设置、职责</w:t>
      </w:r>
    </w:p>
    <w:p>
      <w:pPr>
        <w:keepNext w:val="0"/>
        <w:keepLines w:val="0"/>
        <w:pageBreakBefore w:val="0"/>
        <w:kinsoku/>
        <w:wordWrap/>
        <w:overflowPunct/>
        <w:topLinePunct w:val="0"/>
        <w:autoSpaceDN/>
        <w:bidi w:val="0"/>
        <w:snapToGrid/>
        <w:spacing w:line="560" w:lineRule="exact"/>
        <w:ind w:firstLine="700" w:firstLineChars="200"/>
        <w:textAlignment w:val="auto"/>
        <w:rPr>
          <w:rFonts w:hint="eastAsia" w:ascii="仿宋_GB2312" w:hAnsi="楷体_GB2312" w:eastAsia="仿宋_GB2312" w:cs="楷体_GB2312"/>
          <w:sz w:val="32"/>
          <w:szCs w:val="32"/>
        </w:rPr>
      </w:pPr>
      <w:r>
        <w:rPr>
          <w:rFonts w:hint="eastAsia" w:ascii="仿宋_GB2312" w:hAnsi="仿宋" w:eastAsia="仿宋_GB2312" w:cs="仿宋"/>
          <w:color w:val="000000"/>
          <w:spacing w:val="15"/>
          <w:kern w:val="0"/>
          <w:sz w:val="32"/>
          <w:szCs w:val="32"/>
        </w:rPr>
        <w:t>北京市丰台区人民政府外事办公室（以下简称区外办）是负责丰台区外事工作的政府组成部门，属于行政单位（不含行政执法机构）。</w:t>
      </w:r>
      <w:r>
        <w:rPr>
          <w:rFonts w:hint="eastAsia" w:ascii="仿宋_GB2312" w:hAnsi="仿宋" w:eastAsia="仿宋_GB2312"/>
          <w:sz w:val="32"/>
          <w:szCs w:val="32"/>
        </w:rPr>
        <w:t>区外办不设内设机构。</w:t>
      </w:r>
    </w:p>
    <w:p>
      <w:pPr>
        <w:keepNext w:val="0"/>
        <w:keepLines w:val="0"/>
        <w:pageBreakBefore w:val="0"/>
        <w:widowControl/>
        <w:kinsoku/>
        <w:wordWrap/>
        <w:overflowPunct/>
        <w:topLinePunct w:val="0"/>
        <w:autoSpaceDN/>
        <w:bidi w:val="0"/>
        <w:adjustRightInd w:val="0"/>
        <w:snapToGrid/>
        <w:spacing w:line="560" w:lineRule="exact"/>
        <w:ind w:firstLine="703" w:firstLineChars="201"/>
        <w:textAlignment w:val="auto"/>
        <w:rPr>
          <w:rFonts w:hint="eastAsia" w:ascii="仿宋_GB2312" w:hAnsi="仿宋" w:eastAsia="仿宋_GB2312" w:cs="仿宋"/>
          <w:color w:val="000000"/>
          <w:spacing w:val="15"/>
          <w:kern w:val="0"/>
          <w:sz w:val="32"/>
          <w:szCs w:val="32"/>
        </w:rPr>
      </w:pPr>
      <w:r>
        <w:rPr>
          <w:rFonts w:hint="eastAsia" w:ascii="仿宋_GB2312" w:hAnsi="仿宋" w:eastAsia="仿宋_GB2312" w:cs="仿宋"/>
          <w:color w:val="000000"/>
          <w:spacing w:val="15"/>
          <w:kern w:val="0"/>
          <w:sz w:val="32"/>
          <w:szCs w:val="32"/>
        </w:rPr>
        <w:t>主要职责：</w:t>
      </w:r>
    </w:p>
    <w:p>
      <w:pPr>
        <w:keepNext w:val="0"/>
        <w:keepLines w:val="0"/>
        <w:pageBreakBefore w:val="0"/>
        <w:widowControl/>
        <w:kinsoku/>
        <w:wordWrap/>
        <w:overflowPunct/>
        <w:topLinePunct w:val="0"/>
        <w:autoSpaceDN/>
        <w:bidi w:val="0"/>
        <w:adjustRightInd w:val="0"/>
        <w:snapToGrid/>
        <w:spacing w:line="560" w:lineRule="exact"/>
        <w:ind w:firstLine="703" w:firstLineChars="201"/>
        <w:textAlignment w:val="auto"/>
        <w:rPr>
          <w:rFonts w:hint="eastAsia" w:ascii="仿宋_GB2312" w:hAnsi="仿宋" w:eastAsia="仿宋_GB2312" w:cs="仿宋"/>
          <w:color w:val="000000"/>
          <w:spacing w:val="15"/>
          <w:sz w:val="32"/>
          <w:szCs w:val="32"/>
        </w:rPr>
      </w:pPr>
      <w:r>
        <w:rPr>
          <w:rFonts w:hint="eastAsia" w:ascii="仿宋_GB2312" w:hAnsi="仿宋" w:eastAsia="仿宋_GB2312" w:cs="仿宋"/>
          <w:color w:val="000000"/>
          <w:spacing w:val="15"/>
          <w:sz w:val="32"/>
          <w:szCs w:val="32"/>
        </w:rPr>
        <w:t>1.贯彻执行党和国家的对外方针、政策和涉外法规以及市委、市政府和区委、区政府关于外事工作的指示和决定，检查本区各部门、各单位贯彻执行的情况；负责拟定本区外事工作规划和制度，并组织实施；负责组织开展外事工作重大问题的调查研究，为区委、区政府的对外工作决策提供意见和建议。</w:t>
      </w:r>
    </w:p>
    <w:p>
      <w:pPr>
        <w:keepNext w:val="0"/>
        <w:keepLines w:val="0"/>
        <w:pageBreakBefore w:val="0"/>
        <w:widowControl/>
        <w:kinsoku/>
        <w:wordWrap/>
        <w:overflowPunct/>
        <w:topLinePunct w:val="0"/>
        <w:autoSpaceDN/>
        <w:bidi w:val="0"/>
        <w:adjustRightInd w:val="0"/>
        <w:snapToGrid/>
        <w:spacing w:line="560" w:lineRule="exact"/>
        <w:ind w:firstLine="703" w:firstLineChars="201"/>
        <w:textAlignment w:val="auto"/>
        <w:rPr>
          <w:rFonts w:hint="eastAsia" w:ascii="仿宋_GB2312" w:hAnsi="仿宋" w:eastAsia="仿宋_GB2312" w:cs="仿宋"/>
          <w:color w:val="000000"/>
          <w:spacing w:val="15"/>
          <w:kern w:val="0"/>
          <w:sz w:val="32"/>
          <w:szCs w:val="32"/>
        </w:rPr>
      </w:pPr>
      <w:r>
        <w:rPr>
          <w:rFonts w:hint="eastAsia" w:ascii="仿宋_GB2312" w:hAnsi="仿宋" w:eastAsia="仿宋_GB2312" w:cs="仿宋"/>
          <w:color w:val="000000"/>
          <w:spacing w:val="15"/>
          <w:sz w:val="32"/>
          <w:szCs w:val="32"/>
        </w:rPr>
        <w:t xml:space="preserve">2.贯彻执行中央对香港、澳门的政策规定，负责推动本区与香港、澳门在经济、科技、文化等领域的交流和合作。 </w:t>
      </w:r>
    </w:p>
    <w:p>
      <w:pPr>
        <w:keepNext w:val="0"/>
        <w:keepLines w:val="0"/>
        <w:pageBreakBefore w:val="0"/>
        <w:widowControl/>
        <w:kinsoku/>
        <w:wordWrap/>
        <w:overflowPunct/>
        <w:topLinePunct w:val="0"/>
        <w:autoSpaceDN/>
        <w:bidi w:val="0"/>
        <w:adjustRightInd w:val="0"/>
        <w:snapToGrid/>
        <w:spacing w:line="560" w:lineRule="exact"/>
        <w:ind w:firstLine="703" w:firstLineChars="201"/>
        <w:textAlignment w:val="auto"/>
        <w:rPr>
          <w:rFonts w:hint="eastAsia" w:ascii="仿宋_GB2312" w:hAnsi="仿宋" w:eastAsia="仿宋_GB2312" w:cs="仿宋"/>
          <w:color w:val="000000"/>
          <w:spacing w:val="15"/>
          <w:sz w:val="32"/>
          <w:szCs w:val="32"/>
        </w:rPr>
      </w:pPr>
      <w:r>
        <w:rPr>
          <w:rFonts w:hint="eastAsia" w:ascii="仿宋_GB2312" w:hAnsi="仿宋" w:eastAsia="仿宋_GB2312" w:cs="仿宋"/>
          <w:color w:val="000000"/>
          <w:spacing w:val="15"/>
          <w:sz w:val="32"/>
          <w:szCs w:val="32"/>
        </w:rPr>
        <w:t>3.负责本区与外国地方政府间的交流，组织和管理与国际友好城市的交往活动；负责配合中央、市有关部门接待来本区访问的党和国家重要外宾；负责统筹安排区领导的外事活动和出访事宜。</w:t>
      </w:r>
    </w:p>
    <w:p>
      <w:pPr>
        <w:keepNext w:val="0"/>
        <w:keepLines w:val="0"/>
        <w:pageBreakBefore w:val="0"/>
        <w:widowControl/>
        <w:kinsoku/>
        <w:wordWrap/>
        <w:overflowPunct/>
        <w:topLinePunct w:val="0"/>
        <w:autoSpaceDN/>
        <w:bidi w:val="0"/>
        <w:adjustRightInd w:val="0"/>
        <w:snapToGrid/>
        <w:spacing w:line="560" w:lineRule="exact"/>
        <w:ind w:firstLine="700" w:firstLineChars="200"/>
        <w:textAlignment w:val="auto"/>
        <w:rPr>
          <w:rFonts w:hint="eastAsia" w:ascii="仿宋_GB2312" w:hAnsi="仿宋" w:eastAsia="仿宋_GB2312" w:cs="仿宋"/>
          <w:color w:val="000000"/>
          <w:spacing w:val="15"/>
          <w:sz w:val="32"/>
          <w:szCs w:val="32"/>
        </w:rPr>
      </w:pPr>
      <w:r>
        <w:rPr>
          <w:rFonts w:hint="eastAsia" w:ascii="仿宋_GB2312" w:hAnsi="仿宋" w:eastAsia="仿宋_GB2312" w:cs="仿宋"/>
          <w:color w:val="000000"/>
          <w:spacing w:val="15"/>
          <w:sz w:val="32"/>
          <w:szCs w:val="32"/>
        </w:rPr>
        <w:t xml:space="preserve">4.负责为因公出国（境）人员办理护照(通行证)，申办签证及办理其他有关证件；负责因公护照、通行证的收缴、保管工作。 </w:t>
      </w:r>
    </w:p>
    <w:p>
      <w:pPr>
        <w:keepNext w:val="0"/>
        <w:keepLines w:val="0"/>
        <w:pageBreakBefore w:val="0"/>
        <w:widowControl/>
        <w:kinsoku/>
        <w:wordWrap/>
        <w:overflowPunct/>
        <w:topLinePunct w:val="0"/>
        <w:autoSpaceDN/>
        <w:bidi w:val="0"/>
        <w:adjustRightInd w:val="0"/>
        <w:snapToGrid/>
        <w:spacing w:line="560" w:lineRule="exact"/>
        <w:ind w:firstLine="703" w:firstLineChars="201"/>
        <w:textAlignment w:val="auto"/>
        <w:rPr>
          <w:rFonts w:hint="eastAsia" w:ascii="仿宋_GB2312" w:hAnsi="仿宋" w:eastAsia="仿宋_GB2312" w:cs="仿宋"/>
          <w:color w:val="000000"/>
          <w:spacing w:val="15"/>
          <w:sz w:val="32"/>
          <w:szCs w:val="32"/>
        </w:rPr>
      </w:pPr>
      <w:r>
        <w:rPr>
          <w:rFonts w:hint="eastAsia" w:ascii="仿宋_GB2312" w:hAnsi="仿宋" w:eastAsia="仿宋_GB2312" w:cs="仿宋"/>
          <w:color w:val="000000"/>
          <w:spacing w:val="15"/>
          <w:sz w:val="32"/>
          <w:szCs w:val="32"/>
        </w:rPr>
        <w:t xml:space="preserve">5.负责牵头协调在区外籍人员的管理和服务；负责组织、协调、指导、检查本区涉外(突发)事件的预防和应对工作；配合市有关部门协调区有关部门处置本区特别重大、重大、较大涉外（突发）事件。 </w:t>
      </w:r>
    </w:p>
    <w:p>
      <w:pPr>
        <w:keepNext w:val="0"/>
        <w:keepLines w:val="0"/>
        <w:pageBreakBefore w:val="0"/>
        <w:widowControl/>
        <w:kinsoku/>
        <w:wordWrap/>
        <w:overflowPunct/>
        <w:topLinePunct w:val="0"/>
        <w:autoSpaceDN/>
        <w:bidi w:val="0"/>
        <w:adjustRightInd w:val="0"/>
        <w:snapToGrid/>
        <w:spacing w:line="560" w:lineRule="exact"/>
        <w:ind w:firstLine="703" w:firstLineChars="201"/>
        <w:textAlignment w:val="auto"/>
        <w:rPr>
          <w:rFonts w:hint="eastAsia" w:ascii="仿宋_GB2312" w:hAnsi="仿宋" w:eastAsia="仿宋_GB2312" w:cs="仿宋"/>
          <w:color w:val="000000"/>
          <w:spacing w:val="15"/>
          <w:sz w:val="32"/>
          <w:szCs w:val="32"/>
        </w:rPr>
      </w:pPr>
      <w:r>
        <w:rPr>
          <w:rFonts w:hint="eastAsia" w:ascii="仿宋_GB2312" w:hAnsi="仿宋" w:eastAsia="仿宋_GB2312" w:cs="仿宋"/>
          <w:color w:val="000000"/>
          <w:spacing w:val="15"/>
          <w:sz w:val="32"/>
          <w:szCs w:val="32"/>
        </w:rPr>
        <w:t>6.负责管理境外非政府组织在区活动和本区民间组织参加国际非政府组织活动；负责初审区有关部门和单位申办和举办国际会议的工作；承担本区参与国际组织和国际多边活动的相关工作，负责组织协调以区政府名义举办的大型国际多边活动并承担安全监管职责；负责指导民间对外交往工作。</w:t>
      </w:r>
    </w:p>
    <w:p>
      <w:pPr>
        <w:keepNext w:val="0"/>
        <w:keepLines w:val="0"/>
        <w:pageBreakBefore w:val="0"/>
        <w:widowControl/>
        <w:kinsoku/>
        <w:wordWrap/>
        <w:overflowPunct/>
        <w:topLinePunct w:val="0"/>
        <w:autoSpaceDN/>
        <w:bidi w:val="0"/>
        <w:adjustRightInd w:val="0"/>
        <w:snapToGrid/>
        <w:spacing w:line="560" w:lineRule="exact"/>
        <w:ind w:firstLine="703" w:firstLineChars="201"/>
        <w:textAlignment w:val="auto"/>
        <w:rPr>
          <w:rFonts w:hint="eastAsia" w:ascii="仿宋_GB2312" w:hAnsi="仿宋" w:eastAsia="仿宋_GB2312" w:cs="仿宋"/>
          <w:color w:val="000000"/>
          <w:spacing w:val="15"/>
          <w:sz w:val="32"/>
          <w:szCs w:val="32"/>
        </w:rPr>
      </w:pPr>
      <w:r>
        <w:rPr>
          <w:rFonts w:hint="eastAsia" w:ascii="仿宋_GB2312" w:hAnsi="仿宋" w:eastAsia="仿宋_GB2312" w:cs="仿宋"/>
          <w:color w:val="000000"/>
          <w:spacing w:val="15"/>
          <w:sz w:val="32"/>
          <w:szCs w:val="32"/>
        </w:rPr>
        <w:t>7.负责本市外国常驻新闻机构和外国记者、港澳记者在本区采访的有关事宜。</w:t>
      </w:r>
    </w:p>
    <w:p>
      <w:pPr>
        <w:keepNext w:val="0"/>
        <w:keepLines w:val="0"/>
        <w:pageBreakBefore w:val="0"/>
        <w:widowControl/>
        <w:kinsoku/>
        <w:wordWrap/>
        <w:overflowPunct/>
        <w:topLinePunct w:val="0"/>
        <w:autoSpaceDN/>
        <w:bidi w:val="0"/>
        <w:adjustRightInd w:val="0"/>
        <w:snapToGrid/>
        <w:spacing w:line="560" w:lineRule="exact"/>
        <w:ind w:firstLine="703" w:firstLineChars="201"/>
        <w:textAlignment w:val="auto"/>
        <w:rPr>
          <w:rFonts w:hint="eastAsia" w:ascii="仿宋_GB2312" w:hAnsi="仿宋" w:eastAsia="仿宋_GB2312" w:cs="仿宋"/>
          <w:color w:val="000000"/>
          <w:spacing w:val="15"/>
          <w:sz w:val="32"/>
          <w:szCs w:val="32"/>
        </w:rPr>
      </w:pPr>
      <w:r>
        <w:rPr>
          <w:rFonts w:hint="eastAsia" w:ascii="仿宋_GB2312" w:hAnsi="仿宋" w:eastAsia="仿宋_GB2312" w:cs="仿宋"/>
          <w:color w:val="000000"/>
          <w:spacing w:val="15"/>
          <w:sz w:val="32"/>
          <w:szCs w:val="32"/>
        </w:rPr>
        <w:t>8.组织协调推进本区国际语言环境建设工作。</w:t>
      </w:r>
    </w:p>
    <w:p>
      <w:pPr>
        <w:keepNext w:val="0"/>
        <w:keepLines w:val="0"/>
        <w:pageBreakBefore w:val="0"/>
        <w:widowControl/>
        <w:kinsoku/>
        <w:wordWrap/>
        <w:overflowPunct/>
        <w:topLinePunct w:val="0"/>
        <w:autoSpaceDN/>
        <w:bidi w:val="0"/>
        <w:adjustRightInd w:val="0"/>
        <w:snapToGrid/>
        <w:spacing w:line="560" w:lineRule="exact"/>
        <w:ind w:firstLine="703" w:firstLineChars="201"/>
        <w:textAlignment w:val="auto"/>
        <w:rPr>
          <w:rFonts w:hint="eastAsia" w:ascii="仿宋_GB2312" w:hAnsi="仿宋" w:eastAsia="仿宋_GB2312" w:cs="仿宋"/>
          <w:color w:val="000000"/>
          <w:spacing w:val="15"/>
          <w:sz w:val="32"/>
          <w:szCs w:val="32"/>
        </w:rPr>
      </w:pPr>
      <w:r>
        <w:rPr>
          <w:rFonts w:hint="eastAsia" w:ascii="仿宋_GB2312" w:hAnsi="仿宋" w:eastAsia="仿宋_GB2312" w:cs="仿宋"/>
          <w:color w:val="000000"/>
          <w:spacing w:val="15"/>
          <w:sz w:val="32"/>
          <w:szCs w:val="32"/>
        </w:rPr>
        <w:t>9.负责对本区外事干部和涉外人员进行对外政策和外事纪律的教育；会同有关部门检查外事纪律的执行情况，并对违反外事纪律问题提出处理意见和建议。</w:t>
      </w:r>
    </w:p>
    <w:p>
      <w:pPr>
        <w:keepNext w:val="0"/>
        <w:keepLines w:val="0"/>
        <w:pageBreakBefore w:val="0"/>
        <w:widowControl/>
        <w:kinsoku/>
        <w:wordWrap/>
        <w:overflowPunct/>
        <w:topLinePunct w:val="0"/>
        <w:autoSpaceDN/>
        <w:bidi w:val="0"/>
        <w:adjustRightInd w:val="0"/>
        <w:snapToGrid/>
        <w:spacing w:line="560" w:lineRule="exact"/>
        <w:ind w:firstLine="703" w:firstLineChars="201"/>
        <w:textAlignment w:val="auto"/>
        <w:rPr>
          <w:rFonts w:hint="eastAsia" w:ascii="仿宋_GB2312" w:hAnsi="仿宋" w:eastAsia="仿宋_GB2312" w:cs="仿宋"/>
          <w:color w:val="000000"/>
          <w:spacing w:val="15"/>
          <w:sz w:val="32"/>
          <w:szCs w:val="32"/>
        </w:rPr>
      </w:pPr>
      <w:r>
        <w:rPr>
          <w:rFonts w:hint="eastAsia" w:ascii="仿宋_GB2312" w:hAnsi="仿宋" w:eastAsia="仿宋_GB2312" w:cs="仿宋"/>
          <w:color w:val="000000"/>
          <w:spacing w:val="15"/>
          <w:sz w:val="32"/>
          <w:szCs w:val="32"/>
        </w:rPr>
        <w:t>10.完成区委、区政府交办的其他任务。</w:t>
      </w:r>
    </w:p>
    <w:p>
      <w:pPr>
        <w:keepNext w:val="0"/>
        <w:keepLines w:val="0"/>
        <w:pageBreakBefore w:val="0"/>
        <w:kinsoku/>
        <w:wordWrap/>
        <w:overflowPunct/>
        <w:topLinePunct w:val="0"/>
        <w:autoSpaceDN/>
        <w:bidi w:val="0"/>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（二）人员构成情况</w:t>
      </w:r>
    </w:p>
    <w:p>
      <w:pPr>
        <w:keepNext w:val="0"/>
        <w:keepLines w:val="0"/>
        <w:pageBreakBefore w:val="0"/>
        <w:kinsoku/>
        <w:wordWrap/>
        <w:overflowPunct/>
        <w:topLinePunct w:val="0"/>
        <w:autoSpaceDN/>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区外办行政编制6人，实际</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人。无聘用人员和离退休人员。</w:t>
      </w:r>
    </w:p>
    <w:p>
      <w:pPr>
        <w:keepNext w:val="0"/>
        <w:keepLines w:val="0"/>
        <w:pageBreakBefore w:val="0"/>
        <w:kinsoku/>
        <w:wordWrap/>
        <w:overflowPunct/>
        <w:topLinePunct w:val="0"/>
        <w:autoSpaceDN/>
        <w:bidi w:val="0"/>
        <w:snapToGrid/>
        <w:spacing w:line="560" w:lineRule="exact"/>
        <w:ind w:firstLine="640" w:firstLineChars="200"/>
        <w:textAlignment w:val="auto"/>
        <w:rPr>
          <w:rFonts w:ascii="楷体_GB2312" w:hAnsi="楷体_GB2312" w:eastAsia="楷体_GB2312" w:cs="楷体_GB2312"/>
          <w:sz w:val="32"/>
          <w:szCs w:val="32"/>
        </w:rPr>
      </w:pPr>
      <w:r>
        <w:rPr>
          <w:rFonts w:ascii="楷体_GB2312" w:hAnsi="楷体_GB2312" w:eastAsia="楷体_GB2312" w:cs="楷体_GB2312"/>
          <w:sz w:val="32"/>
          <w:szCs w:val="32"/>
        </w:rPr>
        <w:t>（三）本预算年度的主要工作任务</w:t>
      </w:r>
    </w:p>
    <w:p>
      <w:pPr>
        <w:keepNext w:val="0"/>
        <w:keepLines w:val="0"/>
        <w:pageBreakBefore w:val="0"/>
        <w:kinsoku/>
        <w:wordWrap/>
        <w:overflowPunct/>
        <w:topLinePunct w:val="0"/>
        <w:autoSpaceDN/>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年是</w:t>
      </w:r>
      <w:r>
        <w:rPr>
          <w:rFonts w:hint="eastAsia" w:ascii="仿宋_GB2312" w:hAnsi="仿宋_GB2312" w:eastAsia="仿宋_GB2312" w:cs="仿宋_GB2312"/>
          <w:sz w:val="32"/>
          <w:szCs w:val="32"/>
          <w:lang w:eastAsia="zh-CN"/>
        </w:rPr>
        <w:t>落实党的二十大精神、</w:t>
      </w:r>
      <w:r>
        <w:rPr>
          <w:rFonts w:hint="eastAsia" w:ascii="仿宋_GB2312" w:hAnsi="仿宋_GB2312" w:eastAsia="仿宋_GB2312" w:cs="仿宋_GB2312"/>
          <w:sz w:val="32"/>
          <w:szCs w:val="32"/>
          <w:lang w:val="en-US" w:eastAsia="zh-CN"/>
        </w:rPr>
        <w:t>全党全国各族人民迈上全面建设社会主义现代化国家新征程、向第二个百年奋斗目标进军的关键之年，各项任务艰巨复杂。丰台区外事工作将坚持以习近平新时代中国特色社会主义思想为指导，深入贯彻党的二十大精神，认真落实党中央决策部署和市、区工作要求，立足新发展阶段，贯彻新发展理念，落实构建新发展格局要求，以推动高质量发展为主题，深入推进全面从严治党，开拓创新、锐意进取，以优异成绩用新的伟大奋斗创造新的伟业。</w:t>
      </w:r>
      <w:r>
        <w:rPr>
          <w:rFonts w:hint="eastAsia" w:ascii="仿宋_GB2312" w:hAnsi="仿宋_GB2312" w:eastAsia="仿宋_GB2312" w:cs="仿宋_GB2312"/>
          <w:sz w:val="32"/>
          <w:szCs w:val="32"/>
        </w:rPr>
        <w:t>持续</w:t>
      </w:r>
      <w:r>
        <w:rPr>
          <w:rFonts w:hint="eastAsia" w:ascii="仿宋_GB2312" w:hAnsi="仿宋_GB2312" w:eastAsia="仿宋_GB2312" w:cs="仿宋_GB2312"/>
          <w:sz w:val="32"/>
          <w:szCs w:val="32"/>
          <w:lang w:eastAsia="zh-CN"/>
        </w:rPr>
        <w:t>强化</w:t>
      </w:r>
      <w:r>
        <w:rPr>
          <w:rFonts w:hint="eastAsia" w:ascii="仿宋_GB2312" w:hAnsi="仿宋_GB2312" w:eastAsia="仿宋_GB2312" w:cs="仿宋_GB2312"/>
          <w:sz w:val="32"/>
          <w:szCs w:val="32"/>
        </w:rPr>
        <w:t>国际交往中心功能建设</w:t>
      </w:r>
      <w:r>
        <w:rPr>
          <w:rFonts w:hint="eastAsia" w:ascii="仿宋_GB2312" w:hAnsi="仿宋_GB2312" w:eastAsia="仿宋_GB2312" w:cs="仿宋_GB2312"/>
          <w:sz w:val="32"/>
          <w:szCs w:val="32"/>
          <w:lang w:eastAsia="zh-CN"/>
        </w:rPr>
        <w:t>，打造高品质国际交往环境；加强民间外交，不断</w:t>
      </w:r>
      <w:r>
        <w:rPr>
          <w:rFonts w:hint="eastAsia" w:ascii="仿宋_GB2312" w:hAnsi="仿宋_GB2312" w:eastAsia="仿宋_GB2312" w:cs="仿宋_GB2312"/>
          <w:sz w:val="32"/>
          <w:szCs w:val="32"/>
        </w:rPr>
        <w:t>提升涉外管理服务水平。</w:t>
      </w:r>
    </w:p>
    <w:p>
      <w:pPr>
        <w:keepNext w:val="0"/>
        <w:keepLines w:val="0"/>
        <w:pageBreakBefore w:val="0"/>
        <w:kinsoku/>
        <w:wordWrap/>
        <w:overflowPunct/>
        <w:topLinePunct w:val="0"/>
        <w:autoSpaceDE w:val="0"/>
        <w:autoSpaceDN/>
        <w:bidi w:val="0"/>
        <w:snapToGrid/>
        <w:spacing w:line="560" w:lineRule="exact"/>
        <w:ind w:firstLine="640" w:firstLineChars="200"/>
        <w:textAlignment w:val="auto"/>
        <w:rPr>
          <w:rFonts w:ascii="黑体" w:hAnsi="黑体" w:eastAsia="黑体" w:cs="黑体"/>
          <w:sz w:val="32"/>
          <w:szCs w:val="32"/>
        </w:rPr>
      </w:pPr>
      <w:r>
        <w:rPr>
          <w:rFonts w:hint="eastAsia" w:ascii="仿宋_GB2312" w:hAnsi="仿宋" w:eastAsia="仿宋_GB2312"/>
          <w:sz w:val="32"/>
          <w:szCs w:val="32"/>
        </w:rPr>
        <w:t xml:space="preserve"> </w:t>
      </w:r>
      <w:r>
        <w:rPr>
          <w:rFonts w:ascii="黑体" w:hAnsi="黑体" w:eastAsia="黑体" w:cs="黑体"/>
          <w:sz w:val="32"/>
          <w:szCs w:val="32"/>
        </w:rPr>
        <w:t>二、收入预算说明</w:t>
      </w:r>
    </w:p>
    <w:p>
      <w:pPr>
        <w:keepNext w:val="0"/>
        <w:keepLines w:val="0"/>
        <w:pageBreakBefore w:val="0"/>
        <w:kinsoku/>
        <w:wordWrap/>
        <w:overflowPunct/>
        <w:topLinePunct w:val="0"/>
        <w:autoSpaceDN/>
        <w:bidi w:val="0"/>
        <w:snapToGrid/>
        <w:spacing w:line="560" w:lineRule="exact"/>
        <w:ind w:firstLine="640" w:firstLineChars="200"/>
        <w:textAlignment w:val="auto"/>
        <w:rPr>
          <w:rFonts w:hint="eastAsia" w:ascii="仿宋_GB2312" w:hAnsi="仿宋_GB2312" w:eastAsia="仿宋_GB2312" w:cs="仿宋_GB2312"/>
          <w:sz w:val="32"/>
          <w:szCs w:val="32"/>
        </w:rPr>
      </w:pPr>
      <w:r>
        <w:rPr>
          <w:rFonts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ascii="仿宋_GB2312" w:hAnsi="仿宋_GB2312" w:eastAsia="仿宋_GB2312" w:cs="仿宋_GB2312"/>
          <w:sz w:val="32"/>
          <w:szCs w:val="32"/>
        </w:rPr>
        <w:t>年收入预算</w:t>
      </w:r>
      <w:r>
        <w:rPr>
          <w:rFonts w:hint="eastAsia" w:ascii="仿宋_GB2312" w:hAnsi="仿宋_GB2312" w:eastAsia="仿宋_GB2312" w:cs="仿宋_GB2312"/>
          <w:sz w:val="32"/>
          <w:szCs w:val="32"/>
          <w:lang w:val="en-US" w:eastAsia="zh-CN"/>
        </w:rPr>
        <w:t>156.82</w:t>
      </w:r>
      <w:r>
        <w:rPr>
          <w:rFonts w:ascii="仿宋_GB2312" w:hAnsi="仿宋_GB2312" w:eastAsia="仿宋_GB2312" w:cs="仿宋_GB2312"/>
          <w:sz w:val="32"/>
          <w:szCs w:val="32"/>
        </w:rPr>
        <w:t>万元，比202</w:t>
      </w:r>
      <w:r>
        <w:rPr>
          <w:rFonts w:hint="eastAsia" w:ascii="仿宋_GB2312" w:hAnsi="仿宋_GB2312" w:eastAsia="仿宋_GB2312" w:cs="仿宋_GB2312"/>
          <w:sz w:val="32"/>
          <w:szCs w:val="32"/>
          <w:lang w:val="en-US" w:eastAsia="zh-CN"/>
        </w:rPr>
        <w:t>2</w:t>
      </w:r>
      <w:r>
        <w:rPr>
          <w:rFonts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132.95</w:t>
      </w:r>
      <w:r>
        <w:rPr>
          <w:rFonts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lang w:val="en-US" w:eastAsia="zh-CN"/>
        </w:rPr>
        <w:t>23.87</w:t>
      </w:r>
      <w:r>
        <w:rPr>
          <w:rFonts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lang w:val="en-US" w:eastAsia="zh-CN"/>
        </w:rPr>
        <w:t>18%</w:t>
      </w:r>
      <w:r>
        <w:rPr>
          <w:rFonts w:ascii="仿宋_GB2312" w:hAnsi="仿宋_GB2312" w:eastAsia="仿宋_GB2312" w:cs="仿宋_GB2312"/>
          <w:sz w:val="32"/>
          <w:szCs w:val="32"/>
        </w:rPr>
        <w:t>。其中：本年财政拨款收入</w:t>
      </w:r>
      <w:r>
        <w:rPr>
          <w:rFonts w:hint="eastAsia" w:ascii="仿宋_GB2312" w:hAnsi="仿宋_GB2312" w:eastAsia="仿宋_GB2312" w:cs="仿宋_GB2312"/>
          <w:sz w:val="32"/>
          <w:szCs w:val="32"/>
          <w:lang w:val="en-US" w:eastAsia="zh-CN"/>
        </w:rPr>
        <w:t>156.82</w:t>
      </w:r>
      <w:r>
        <w:rPr>
          <w:rFonts w:ascii="仿宋_GB2312" w:hAnsi="仿宋_GB2312" w:eastAsia="仿宋_GB2312" w:cs="仿宋_GB2312"/>
          <w:sz w:val="32"/>
          <w:szCs w:val="32"/>
        </w:rPr>
        <w:t>万元,比202</w:t>
      </w:r>
      <w:r>
        <w:rPr>
          <w:rFonts w:hint="eastAsia" w:ascii="仿宋_GB2312" w:hAnsi="仿宋_GB2312" w:eastAsia="仿宋_GB2312" w:cs="仿宋_GB2312"/>
          <w:sz w:val="32"/>
          <w:szCs w:val="32"/>
          <w:lang w:val="en-US" w:eastAsia="zh-CN"/>
        </w:rPr>
        <w:t>2</w:t>
      </w:r>
      <w:r>
        <w:rPr>
          <w:rFonts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132.95</w:t>
      </w:r>
      <w:r>
        <w:rPr>
          <w:rFonts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lang w:val="en-US" w:eastAsia="zh-CN"/>
        </w:rPr>
        <w:t>23.87</w:t>
      </w:r>
      <w:r>
        <w:rPr>
          <w:rFonts w:ascii="仿宋_GB2312" w:hAnsi="仿宋_GB2312" w:eastAsia="仿宋_GB2312" w:cs="仿宋_GB2312"/>
          <w:sz w:val="32"/>
          <w:szCs w:val="32"/>
        </w:rPr>
        <w:t>万元。</w:t>
      </w:r>
    </w:p>
    <w:p>
      <w:pPr>
        <w:keepNext w:val="0"/>
        <w:keepLines w:val="0"/>
        <w:pageBreakBefore w:val="0"/>
        <w:kinsoku/>
        <w:wordWrap/>
        <w:overflowPunct/>
        <w:topLinePunct w:val="0"/>
        <w:autoSpaceDN/>
        <w:bidi w:val="0"/>
        <w:snapToGrid/>
        <w:spacing w:line="560" w:lineRule="exact"/>
        <w:ind w:firstLine="640" w:firstLineChars="200"/>
        <w:textAlignment w:val="auto"/>
        <w:rPr>
          <w:rFonts w:ascii="黑体" w:hAnsi="黑体" w:eastAsia="黑体" w:cs="黑体"/>
          <w:sz w:val="32"/>
          <w:szCs w:val="32"/>
        </w:rPr>
      </w:pPr>
      <w:r>
        <w:rPr>
          <w:rFonts w:ascii="黑体" w:hAnsi="黑体" w:eastAsia="黑体" w:cs="黑体"/>
          <w:sz w:val="32"/>
          <w:szCs w:val="32"/>
        </w:rPr>
        <w:t>三、支出预算说明</w:t>
      </w:r>
    </w:p>
    <w:p>
      <w:pPr>
        <w:keepNext w:val="0"/>
        <w:keepLines w:val="0"/>
        <w:pageBreakBefore w:val="0"/>
        <w:kinsoku/>
        <w:wordWrap/>
        <w:overflowPunct/>
        <w:topLinePunct w:val="0"/>
        <w:autoSpaceDN/>
        <w:bidi w:val="0"/>
        <w:snapToGrid/>
        <w:spacing w:line="56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（一）基本支出预算</w:t>
      </w:r>
      <w:r>
        <w:rPr>
          <w:rFonts w:hint="eastAsia" w:ascii="仿宋_GB2312" w:hAnsi="仿宋_GB2312" w:eastAsia="仿宋_GB2312" w:cs="仿宋_GB2312"/>
          <w:sz w:val="32"/>
          <w:szCs w:val="32"/>
          <w:lang w:val="en-US" w:eastAsia="zh-CN"/>
        </w:rPr>
        <w:t>152.39</w:t>
      </w:r>
      <w:r>
        <w:rPr>
          <w:rFonts w:ascii="仿宋_GB2312" w:hAnsi="仿宋_GB2312" w:eastAsia="仿宋_GB2312" w:cs="仿宋_GB2312"/>
          <w:sz w:val="32"/>
          <w:szCs w:val="32"/>
        </w:rPr>
        <w:t>万元，占总支出预算</w:t>
      </w:r>
      <w:r>
        <w:rPr>
          <w:rFonts w:hint="eastAsia" w:ascii="仿宋_GB2312" w:hAnsi="仿宋_GB2312" w:eastAsia="仿宋_GB2312" w:cs="仿宋_GB2312"/>
          <w:sz w:val="32"/>
          <w:szCs w:val="32"/>
          <w:lang w:val="en-US" w:eastAsia="zh-CN"/>
        </w:rPr>
        <w:t>97.2</w:t>
      </w:r>
      <w:r>
        <w:rPr>
          <w:rFonts w:ascii="仿宋_GB2312" w:hAnsi="仿宋_GB2312" w:eastAsia="仿宋_GB2312" w:cs="仿宋_GB2312"/>
          <w:sz w:val="32"/>
          <w:szCs w:val="32"/>
        </w:rPr>
        <w:t>%，比202</w:t>
      </w:r>
      <w:r>
        <w:rPr>
          <w:rFonts w:hint="eastAsia" w:ascii="仿宋_GB2312" w:hAnsi="仿宋_GB2312" w:eastAsia="仿宋_GB2312" w:cs="仿宋_GB2312"/>
          <w:sz w:val="32"/>
          <w:szCs w:val="32"/>
          <w:lang w:val="en-US" w:eastAsia="zh-CN"/>
        </w:rPr>
        <w:t>2</w:t>
      </w:r>
      <w:r>
        <w:rPr>
          <w:rFonts w:ascii="仿宋_GB2312" w:hAnsi="仿宋_GB2312" w:eastAsia="仿宋_GB2312" w:cs="仿宋_GB2312"/>
          <w:sz w:val="32"/>
          <w:szCs w:val="32"/>
        </w:rPr>
        <w:t>年</w:t>
      </w:r>
      <w:r>
        <w:rPr>
          <w:rFonts w:hint="eastAsia" w:ascii="仿宋_GB2312" w:hAnsi="仿宋_GB2312" w:eastAsia="仿宋_GB2312" w:cs="仿宋_GB2312"/>
          <w:sz w:val="32"/>
          <w:szCs w:val="32"/>
        </w:rPr>
        <w:t>127.4</w:t>
      </w:r>
      <w:r>
        <w:rPr>
          <w:rFonts w:hint="eastAsia" w:ascii="仿宋_GB2312" w:hAnsi="仿宋_GB2312" w:eastAsia="仿宋_GB2312" w:cs="仿宋_GB2312"/>
          <w:sz w:val="32"/>
          <w:szCs w:val="32"/>
          <w:lang w:val="en-US" w:eastAsia="zh-CN"/>
        </w:rPr>
        <w:t>1</w:t>
      </w:r>
      <w:r>
        <w:rPr>
          <w:rFonts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lang w:val="en-US" w:eastAsia="zh-CN"/>
        </w:rPr>
        <w:t>24.98</w:t>
      </w:r>
      <w:r>
        <w:rPr>
          <w:rFonts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lang w:val="en-US" w:eastAsia="zh-CN"/>
        </w:rPr>
        <w:t>19.6</w:t>
      </w:r>
      <w:r>
        <w:rPr>
          <w:rFonts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增加</w:t>
      </w:r>
      <w:r>
        <w:rPr>
          <w:rFonts w:ascii="仿宋_GB2312" w:hAnsi="仿宋_GB2312" w:eastAsia="仿宋_GB2312" w:cs="仿宋_GB2312"/>
          <w:sz w:val="32"/>
          <w:szCs w:val="32"/>
        </w:rPr>
        <w:t>原因：在职人员</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人，人员经费有所</w:t>
      </w:r>
      <w:r>
        <w:rPr>
          <w:rFonts w:hint="eastAsia" w:ascii="仿宋_GB2312" w:hAnsi="仿宋_GB2312" w:eastAsia="仿宋_GB2312" w:cs="仿宋_GB2312"/>
          <w:sz w:val="32"/>
          <w:szCs w:val="32"/>
          <w:lang w:eastAsia="zh-CN"/>
        </w:rPr>
        <w:t>增加</w:t>
      </w:r>
      <w:r>
        <w:rPr>
          <w:rFonts w:ascii="仿宋_GB2312" w:hAnsi="仿宋_GB2312" w:eastAsia="仿宋_GB2312" w:cs="仿宋_GB2312"/>
          <w:sz w:val="32"/>
          <w:szCs w:val="32"/>
        </w:rPr>
        <w:t>。</w:t>
      </w:r>
    </w:p>
    <w:p>
      <w:pPr>
        <w:keepNext w:val="0"/>
        <w:keepLines w:val="0"/>
        <w:pageBreakBefore w:val="0"/>
        <w:kinsoku/>
        <w:wordWrap/>
        <w:overflowPunct/>
        <w:topLinePunct w:val="0"/>
        <w:autoSpaceDN/>
        <w:bidi w:val="0"/>
        <w:snapToGrid/>
        <w:spacing w:line="56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（二）项目支出预算</w:t>
      </w:r>
      <w:r>
        <w:rPr>
          <w:rFonts w:hint="eastAsia" w:ascii="仿宋_GB2312" w:hAnsi="仿宋_GB2312" w:eastAsia="仿宋_GB2312" w:cs="仿宋_GB2312"/>
          <w:sz w:val="32"/>
          <w:szCs w:val="32"/>
          <w:lang w:val="en-US" w:eastAsia="zh-CN"/>
        </w:rPr>
        <w:t>4.43</w:t>
      </w:r>
      <w:r>
        <w:rPr>
          <w:rFonts w:ascii="仿宋_GB2312" w:hAnsi="仿宋_GB2312" w:eastAsia="仿宋_GB2312" w:cs="仿宋_GB2312"/>
          <w:sz w:val="32"/>
          <w:szCs w:val="32"/>
        </w:rPr>
        <w:t>万元，比202</w:t>
      </w:r>
      <w:r>
        <w:rPr>
          <w:rFonts w:hint="eastAsia" w:ascii="仿宋_GB2312" w:hAnsi="仿宋_GB2312" w:eastAsia="仿宋_GB2312" w:cs="仿宋_GB2312"/>
          <w:sz w:val="32"/>
          <w:szCs w:val="32"/>
          <w:lang w:val="en-US" w:eastAsia="zh-CN"/>
        </w:rPr>
        <w:t>2</w:t>
      </w:r>
      <w:r>
        <w:rPr>
          <w:rFonts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5.55</w:t>
      </w:r>
      <w:r>
        <w:rPr>
          <w:rFonts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1.12万</w:t>
      </w:r>
      <w:r>
        <w:rPr>
          <w:rFonts w:ascii="仿宋_GB2312" w:hAnsi="仿宋_GB2312" w:eastAsia="仿宋_GB2312" w:cs="仿宋_GB2312"/>
          <w:sz w:val="32"/>
          <w:szCs w:val="32"/>
        </w:rPr>
        <w:t>元，减少</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部门预算项目主要为外事工作经费和基层党组织党建活动经费。</w:t>
      </w:r>
    </w:p>
    <w:p>
      <w:pPr>
        <w:keepNext w:val="0"/>
        <w:keepLines w:val="0"/>
        <w:pageBreakBefore w:val="0"/>
        <w:kinsoku/>
        <w:wordWrap/>
        <w:overflowPunct/>
        <w:topLinePunct w:val="0"/>
        <w:autoSpaceDN/>
        <w:bidi w:val="0"/>
        <w:snapToGrid/>
        <w:spacing w:line="560" w:lineRule="exact"/>
        <w:ind w:firstLine="640" w:firstLineChars="200"/>
        <w:textAlignment w:val="auto"/>
        <w:rPr>
          <w:rFonts w:ascii="黑体" w:hAnsi="黑体" w:eastAsia="黑体" w:cs="黑体"/>
          <w:sz w:val="32"/>
          <w:szCs w:val="32"/>
        </w:rPr>
      </w:pPr>
      <w:r>
        <w:rPr>
          <w:rFonts w:ascii="黑体" w:hAnsi="黑体" w:eastAsia="黑体" w:cs="黑体"/>
          <w:sz w:val="32"/>
          <w:szCs w:val="32"/>
        </w:rPr>
        <w:t>四、部门三公经费财政拨款预算说明</w:t>
      </w:r>
    </w:p>
    <w:p>
      <w:pPr>
        <w:keepNext w:val="0"/>
        <w:keepLines w:val="0"/>
        <w:pageBreakBefore w:val="0"/>
        <w:kinsoku/>
        <w:wordWrap/>
        <w:overflowPunct/>
        <w:topLinePunct w:val="0"/>
        <w:autoSpaceDN/>
        <w:bidi w:val="0"/>
        <w:snapToGrid/>
        <w:spacing w:line="560" w:lineRule="exact"/>
        <w:ind w:firstLine="640" w:firstLineChars="200"/>
        <w:textAlignment w:val="auto"/>
        <w:rPr>
          <w:rFonts w:ascii="楷体_GB2312" w:hAnsi="楷体_GB2312" w:eastAsia="楷体_GB2312" w:cs="楷体_GB2312"/>
          <w:sz w:val="32"/>
          <w:szCs w:val="32"/>
        </w:rPr>
      </w:pPr>
      <w:r>
        <w:rPr>
          <w:rFonts w:ascii="楷体_GB2312" w:hAnsi="楷体_GB2312" w:eastAsia="楷体_GB2312" w:cs="楷体_GB2312"/>
          <w:sz w:val="32"/>
          <w:szCs w:val="32"/>
        </w:rPr>
        <w:t>（一）三公经费的单位范围</w:t>
      </w:r>
    </w:p>
    <w:p>
      <w:pPr>
        <w:keepNext w:val="0"/>
        <w:keepLines w:val="0"/>
        <w:pageBreakBefore w:val="0"/>
        <w:kinsoku/>
        <w:wordWrap/>
        <w:overflowPunct/>
        <w:topLinePunct w:val="0"/>
        <w:autoSpaceDN/>
        <w:bidi w:val="0"/>
        <w:snapToGrid/>
        <w:spacing w:line="56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区外办</w:t>
      </w:r>
      <w:r>
        <w:rPr>
          <w:rFonts w:hint="eastAsia" w:ascii="仿宋_GB2312" w:hAnsi="仿宋_GB2312" w:eastAsia="仿宋_GB2312" w:cs="仿宋_GB2312"/>
          <w:sz w:val="32"/>
          <w:szCs w:val="32"/>
          <w:lang w:val="en-US" w:eastAsia="zh-CN"/>
        </w:rPr>
        <w:t>部门</w:t>
      </w:r>
      <w:r>
        <w:rPr>
          <w:rFonts w:ascii="仿宋_GB2312" w:hAnsi="仿宋_GB2312" w:eastAsia="仿宋_GB2312" w:cs="仿宋_GB2312"/>
          <w:sz w:val="32"/>
          <w:szCs w:val="32"/>
        </w:rPr>
        <w:t>因公出国（境）费用、公务接待费、公务用车购置和运行维护费开支仅包括本</w:t>
      </w:r>
      <w:r>
        <w:rPr>
          <w:rFonts w:hint="eastAsia" w:ascii="仿宋_GB2312" w:hAnsi="仿宋_GB2312" w:eastAsia="仿宋_GB2312" w:cs="仿宋_GB2312"/>
          <w:sz w:val="32"/>
          <w:szCs w:val="32"/>
          <w:lang w:val="en-US" w:eastAsia="zh-CN"/>
        </w:rPr>
        <w:t>单位</w:t>
      </w:r>
      <w:r>
        <w:rPr>
          <w:rFonts w:ascii="仿宋_GB2312" w:hAnsi="仿宋_GB2312" w:eastAsia="仿宋_GB2312" w:cs="仿宋_GB2312"/>
          <w:sz w:val="32"/>
          <w:szCs w:val="32"/>
        </w:rPr>
        <w:t>。</w:t>
      </w:r>
    </w:p>
    <w:p>
      <w:pPr>
        <w:keepNext w:val="0"/>
        <w:keepLines w:val="0"/>
        <w:pageBreakBefore w:val="0"/>
        <w:numPr>
          <w:ilvl w:val="0"/>
          <w:numId w:val="1"/>
        </w:numPr>
        <w:kinsoku/>
        <w:wordWrap/>
        <w:overflowPunct/>
        <w:topLinePunct w:val="0"/>
        <w:autoSpaceDN/>
        <w:bidi w:val="0"/>
        <w:snapToGrid/>
        <w:spacing w:line="560" w:lineRule="exact"/>
        <w:ind w:firstLine="640" w:firstLineChars="200"/>
        <w:textAlignment w:val="auto"/>
        <w:rPr>
          <w:rFonts w:ascii="楷体_GB2312" w:hAnsi="楷体_GB2312" w:eastAsia="楷体_GB2312" w:cs="楷体_GB2312"/>
          <w:sz w:val="32"/>
          <w:szCs w:val="32"/>
        </w:rPr>
      </w:pPr>
      <w:r>
        <w:rPr>
          <w:rFonts w:ascii="楷体_GB2312" w:hAnsi="楷体_GB2312" w:eastAsia="楷体_GB2312" w:cs="楷体_GB2312"/>
          <w:sz w:val="32"/>
          <w:szCs w:val="32"/>
        </w:rPr>
        <w:t>三公经费财政拨款情况说明</w:t>
      </w:r>
    </w:p>
    <w:p>
      <w:pPr>
        <w:keepNext w:val="0"/>
        <w:keepLines w:val="0"/>
        <w:pageBreakBefore w:val="0"/>
        <w:kinsoku/>
        <w:wordWrap/>
        <w:overflowPunct/>
        <w:topLinePunct w:val="0"/>
        <w:autoSpaceDN/>
        <w:bidi w:val="0"/>
        <w:snapToGrid/>
        <w:spacing w:line="560" w:lineRule="exact"/>
        <w:ind w:firstLine="707" w:firstLineChars="221"/>
        <w:textAlignment w:val="auto"/>
        <w:rPr>
          <w:rFonts w:hint="eastAsia" w:ascii="仿宋_GB2312" w:hAnsi="仿宋_GB2312" w:eastAsia="仿宋_GB2312" w:cs="仿宋_GB2312"/>
          <w:sz w:val="32"/>
          <w:szCs w:val="32"/>
          <w:lang w:val="en-US" w:eastAsia="zh-CN"/>
        </w:rPr>
      </w:pPr>
      <w:r>
        <w:rPr>
          <w:rFonts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ascii="仿宋_GB2312" w:hAnsi="仿宋_GB2312" w:eastAsia="仿宋_GB2312" w:cs="仿宋_GB2312"/>
          <w:sz w:val="32"/>
          <w:szCs w:val="32"/>
        </w:rPr>
        <w:t>年三公</w:t>
      </w:r>
      <w:r>
        <w:rPr>
          <w:rFonts w:hint="eastAsia" w:ascii="仿宋_GB2312" w:hAnsi="仿宋_GB2312" w:eastAsia="仿宋_GB2312" w:cs="仿宋_GB2312"/>
          <w:sz w:val="32"/>
          <w:szCs w:val="32"/>
          <w:lang w:eastAsia="zh-CN"/>
        </w:rPr>
        <w:t>经费</w:t>
      </w:r>
      <w:r>
        <w:rPr>
          <w:rFonts w:ascii="仿宋_GB2312" w:hAnsi="仿宋_GB2312" w:eastAsia="仿宋_GB2312" w:cs="仿宋_GB2312"/>
          <w:sz w:val="32"/>
          <w:szCs w:val="32"/>
        </w:rPr>
        <w:t>财政拨款预算</w:t>
      </w:r>
      <w:r>
        <w:rPr>
          <w:rFonts w:hint="eastAsia" w:ascii="仿宋_GB2312" w:hAnsi="仿宋_GB2312" w:eastAsia="仿宋_GB2312" w:cs="仿宋_GB2312"/>
          <w:sz w:val="32"/>
          <w:szCs w:val="32"/>
          <w:lang w:val="en-US" w:eastAsia="zh-CN"/>
        </w:rPr>
        <w:t>0元，其中：</w:t>
      </w:r>
    </w:p>
    <w:p>
      <w:pPr>
        <w:keepNext w:val="0"/>
        <w:keepLines w:val="0"/>
        <w:pageBreakBefore w:val="0"/>
        <w:numPr>
          <w:ilvl w:val="0"/>
          <w:numId w:val="0"/>
        </w:numPr>
        <w:kinsoku/>
        <w:wordWrap/>
        <w:overflowPunct/>
        <w:topLinePunct w:val="0"/>
        <w:autoSpaceDN/>
        <w:bidi w:val="0"/>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1.因公出国(境)费用。2023年预算数0元，与2022年持平。</w:t>
      </w:r>
    </w:p>
    <w:p>
      <w:pPr>
        <w:keepNext w:val="0"/>
        <w:keepLines w:val="0"/>
        <w:pageBreakBefore w:val="0"/>
        <w:numPr>
          <w:ilvl w:val="0"/>
          <w:numId w:val="0"/>
        </w:numPr>
        <w:kinsoku/>
        <w:wordWrap/>
        <w:overflowPunct/>
        <w:topLinePunct w:val="0"/>
        <w:autoSpaceDN/>
        <w:bidi w:val="0"/>
        <w:snapToGrid/>
        <w:spacing w:line="56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2.公务接待费。2023年预算数0元，与2022年持平。</w:t>
      </w:r>
    </w:p>
    <w:p>
      <w:pPr>
        <w:keepNext w:val="0"/>
        <w:keepLines w:val="0"/>
        <w:pageBreakBefore w:val="0"/>
        <w:numPr>
          <w:ilvl w:val="0"/>
          <w:numId w:val="0"/>
        </w:numPr>
        <w:kinsoku/>
        <w:wordWrap/>
        <w:overflowPunct/>
        <w:topLinePunct w:val="0"/>
        <w:autoSpaceDN/>
        <w:bidi w:val="0"/>
        <w:snapToGrid/>
        <w:spacing w:line="560" w:lineRule="exact"/>
        <w:ind w:firstLine="64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3.公务用车购置和运行维护费。2023年预算数0元，与2022年持平。</w:t>
      </w:r>
    </w:p>
    <w:p>
      <w:pPr>
        <w:keepNext w:val="0"/>
        <w:keepLines w:val="0"/>
        <w:pageBreakBefore w:val="0"/>
        <w:kinsoku/>
        <w:wordWrap/>
        <w:overflowPunct/>
        <w:topLinePunct w:val="0"/>
        <w:autoSpaceDN/>
        <w:bidi w:val="0"/>
        <w:snapToGrid/>
        <w:spacing w:line="560" w:lineRule="exact"/>
        <w:ind w:firstLine="640" w:firstLineChars="200"/>
        <w:textAlignment w:val="auto"/>
        <w:rPr>
          <w:rFonts w:ascii="黑体" w:hAnsi="黑体" w:eastAsia="黑体" w:cs="黑体"/>
          <w:sz w:val="32"/>
          <w:szCs w:val="32"/>
        </w:rPr>
      </w:pPr>
      <w:r>
        <w:rPr>
          <w:rFonts w:ascii="黑体" w:hAnsi="黑体" w:eastAsia="黑体" w:cs="黑体"/>
          <w:sz w:val="32"/>
          <w:szCs w:val="32"/>
        </w:rPr>
        <w:t>五、其他情况说明</w:t>
      </w:r>
    </w:p>
    <w:p>
      <w:pPr>
        <w:keepNext w:val="0"/>
        <w:keepLines w:val="0"/>
        <w:pageBreakBefore w:val="0"/>
        <w:kinsoku/>
        <w:wordWrap/>
        <w:overflowPunct/>
        <w:topLinePunct w:val="0"/>
        <w:autoSpaceDN/>
        <w:bidi w:val="0"/>
        <w:snapToGrid/>
        <w:spacing w:line="560" w:lineRule="exact"/>
        <w:ind w:firstLine="640" w:firstLineChars="200"/>
        <w:textAlignment w:val="auto"/>
        <w:rPr>
          <w:rFonts w:ascii="楷体_GB2312" w:hAnsi="楷体_GB2312" w:eastAsia="楷体_GB2312" w:cs="楷体_GB2312"/>
          <w:sz w:val="32"/>
          <w:szCs w:val="32"/>
        </w:rPr>
      </w:pPr>
      <w:r>
        <w:rPr>
          <w:rFonts w:ascii="楷体_GB2312" w:hAnsi="楷体_GB2312" w:eastAsia="楷体_GB2312" w:cs="楷体_GB2312"/>
          <w:sz w:val="32"/>
          <w:szCs w:val="32"/>
        </w:rPr>
        <w:t>（一）部门政府采购预算说明</w:t>
      </w:r>
    </w:p>
    <w:p>
      <w:pPr>
        <w:keepNext w:val="0"/>
        <w:keepLines w:val="0"/>
        <w:pageBreakBefore w:val="0"/>
        <w:kinsoku/>
        <w:wordWrap/>
        <w:overflowPunct/>
        <w:topLinePunct w:val="0"/>
        <w:autoSpaceDN/>
        <w:bidi w:val="0"/>
        <w:snapToGrid/>
        <w:spacing w:line="560" w:lineRule="exact"/>
        <w:textAlignment w:val="auto"/>
        <w:rPr>
          <w:rFonts w:ascii="宋体" w:hAnsi="宋体" w:cs="宋体"/>
          <w:sz w:val="32"/>
          <w:szCs w:val="32"/>
        </w:rPr>
      </w:pPr>
      <w:r>
        <w:rPr>
          <w:rFonts w:ascii="宋体" w:hAnsi="宋体" w:cs="宋体"/>
          <w:sz w:val="32"/>
          <w:szCs w:val="32"/>
        </w:rPr>
        <w:t xml:space="preserve">   </w:t>
      </w:r>
      <w:r>
        <w:rPr>
          <w:rFonts w:ascii="仿宋_GB2312" w:hAnsi="仿宋_GB2312" w:eastAsia="仿宋_GB2312" w:cs="仿宋_GB2312"/>
          <w:sz w:val="32"/>
          <w:szCs w:val="32"/>
        </w:rPr>
        <w:t xml:space="preserve"> 202</w:t>
      </w:r>
      <w:r>
        <w:rPr>
          <w:rFonts w:hint="eastAsia" w:ascii="仿宋_GB2312" w:hAnsi="仿宋_GB2312" w:eastAsia="仿宋_GB2312" w:cs="仿宋_GB2312"/>
          <w:sz w:val="32"/>
          <w:szCs w:val="32"/>
          <w:lang w:val="en-US" w:eastAsia="zh-CN"/>
        </w:rPr>
        <w:t>3</w:t>
      </w:r>
      <w:r>
        <w:rPr>
          <w:rFonts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区外办</w:t>
      </w:r>
      <w:r>
        <w:rPr>
          <w:rFonts w:ascii="仿宋_GB2312" w:hAnsi="仿宋_GB2312" w:eastAsia="仿宋_GB2312" w:cs="仿宋_GB2312"/>
          <w:sz w:val="32"/>
          <w:szCs w:val="32"/>
        </w:rPr>
        <w:t>政府采购预算总额</w:t>
      </w:r>
      <w:r>
        <w:rPr>
          <w:rFonts w:hint="eastAsia" w:ascii="仿宋_GB2312" w:hAnsi="仿宋_GB2312" w:eastAsia="仿宋_GB2312" w:cs="仿宋_GB2312"/>
          <w:sz w:val="32"/>
          <w:szCs w:val="32"/>
          <w:lang w:val="en-US" w:eastAsia="zh-CN"/>
        </w:rPr>
        <w:t>0</w:t>
      </w:r>
      <w:r>
        <w:rPr>
          <w:rFonts w:ascii="仿宋_GB2312" w:hAnsi="仿宋_GB2312" w:eastAsia="仿宋_GB2312" w:cs="仿宋_GB2312"/>
          <w:sz w:val="32"/>
          <w:szCs w:val="32"/>
        </w:rPr>
        <w:t>元。</w:t>
      </w:r>
    </w:p>
    <w:p>
      <w:pPr>
        <w:keepNext w:val="0"/>
        <w:keepLines w:val="0"/>
        <w:pageBreakBefore w:val="0"/>
        <w:kinsoku/>
        <w:wordWrap/>
        <w:overflowPunct/>
        <w:topLinePunct w:val="0"/>
        <w:autoSpaceDN/>
        <w:bidi w:val="0"/>
        <w:snapToGrid/>
        <w:spacing w:line="560" w:lineRule="exact"/>
        <w:ind w:firstLine="640" w:firstLineChars="200"/>
        <w:textAlignment w:val="auto"/>
        <w:rPr>
          <w:rFonts w:ascii="楷体_GB2312" w:hAnsi="楷体_GB2312" w:eastAsia="楷体_GB2312" w:cs="楷体_GB2312"/>
          <w:sz w:val="32"/>
          <w:szCs w:val="32"/>
        </w:rPr>
      </w:pPr>
      <w:r>
        <w:rPr>
          <w:rFonts w:ascii="楷体_GB2312" w:hAnsi="楷体_GB2312" w:eastAsia="楷体_GB2312" w:cs="楷体_GB2312"/>
          <w:sz w:val="32"/>
          <w:szCs w:val="32"/>
        </w:rPr>
        <w:t>（二）政府购买服务预算说明</w:t>
      </w:r>
    </w:p>
    <w:p>
      <w:pPr>
        <w:keepNext w:val="0"/>
        <w:keepLines w:val="0"/>
        <w:pageBreakBefore w:val="0"/>
        <w:kinsoku/>
        <w:wordWrap/>
        <w:overflowPunct/>
        <w:topLinePunct w:val="0"/>
        <w:autoSpaceDN/>
        <w:bidi w:val="0"/>
        <w:snapToGrid/>
        <w:spacing w:line="560" w:lineRule="exact"/>
        <w:ind w:firstLine="640" w:firstLineChars="200"/>
        <w:textAlignment w:val="auto"/>
        <w:rPr>
          <w:rFonts w:ascii="宋体" w:hAnsi="宋体" w:cs="宋体"/>
          <w:sz w:val="32"/>
          <w:szCs w:val="32"/>
        </w:rPr>
      </w:pPr>
      <w:r>
        <w:rPr>
          <w:rFonts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区外办</w:t>
      </w:r>
      <w:r>
        <w:rPr>
          <w:rFonts w:ascii="仿宋_GB2312" w:hAnsi="仿宋_GB2312" w:eastAsia="仿宋_GB2312" w:cs="仿宋_GB2312"/>
          <w:sz w:val="32"/>
          <w:szCs w:val="32"/>
        </w:rPr>
        <w:t>政府购买服务预算总额</w:t>
      </w:r>
      <w:r>
        <w:rPr>
          <w:rFonts w:hint="eastAsia" w:ascii="仿宋_GB2312" w:hAnsi="仿宋_GB2312" w:eastAsia="仿宋_GB2312" w:cs="仿宋_GB2312"/>
          <w:sz w:val="32"/>
          <w:szCs w:val="32"/>
          <w:lang w:val="en-US" w:eastAsia="zh-CN"/>
        </w:rPr>
        <w:t>0</w:t>
      </w:r>
      <w:r>
        <w:rPr>
          <w:rFonts w:ascii="仿宋_GB2312" w:hAnsi="仿宋_GB2312" w:eastAsia="仿宋_GB2312" w:cs="仿宋_GB2312"/>
          <w:sz w:val="32"/>
          <w:szCs w:val="32"/>
        </w:rPr>
        <w:t>元。</w:t>
      </w:r>
    </w:p>
    <w:p>
      <w:pPr>
        <w:keepNext w:val="0"/>
        <w:keepLines w:val="0"/>
        <w:pageBreakBefore w:val="0"/>
        <w:kinsoku/>
        <w:wordWrap/>
        <w:overflowPunct/>
        <w:topLinePunct w:val="0"/>
        <w:autoSpaceDN/>
        <w:bidi w:val="0"/>
        <w:snapToGrid/>
        <w:spacing w:line="560" w:lineRule="exact"/>
        <w:ind w:firstLine="640" w:firstLineChars="200"/>
        <w:textAlignment w:val="auto"/>
        <w:rPr>
          <w:rFonts w:ascii="楷体_GB2312" w:hAnsi="楷体_GB2312" w:eastAsia="楷体_GB2312" w:cs="楷体_GB2312"/>
          <w:sz w:val="32"/>
          <w:szCs w:val="32"/>
        </w:rPr>
      </w:pPr>
      <w:r>
        <w:rPr>
          <w:rFonts w:ascii="楷体_GB2312" w:hAnsi="楷体_GB2312" w:eastAsia="楷体_GB2312" w:cs="楷体_GB2312"/>
          <w:sz w:val="32"/>
          <w:szCs w:val="32"/>
        </w:rPr>
        <w:t>（三）机关运行经费情况说明</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hAnsi="仿宋_GB2312" w:eastAsia="仿宋_GB2312" w:cs="仿宋_GB2312"/>
          <w:sz w:val="32"/>
          <w:szCs w:val="32"/>
        </w:rPr>
      </w:pPr>
      <w:r>
        <w:rPr>
          <w:rFonts w:ascii="宋体" w:hAnsi="宋体" w:cs="宋体"/>
          <w:sz w:val="32"/>
          <w:szCs w:val="32"/>
        </w:rPr>
        <w:t xml:space="preserve">    </w:t>
      </w:r>
      <w:r>
        <w:rPr>
          <w:rFonts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区外办</w:t>
      </w:r>
      <w:r>
        <w:rPr>
          <w:rFonts w:ascii="仿宋_GB2312" w:hAnsi="仿宋_GB2312" w:eastAsia="仿宋_GB2312" w:cs="仿宋_GB2312"/>
          <w:sz w:val="32"/>
          <w:szCs w:val="32"/>
        </w:rPr>
        <w:t>机关运行经费财政拨款预算</w:t>
      </w:r>
      <w:r>
        <w:rPr>
          <w:rFonts w:hint="eastAsia" w:ascii="仿宋_GB2312" w:hAnsi="仿宋_GB2312" w:eastAsia="仿宋_GB2312" w:cs="仿宋_GB2312"/>
          <w:sz w:val="32"/>
          <w:szCs w:val="32"/>
          <w:lang w:val="en-US" w:eastAsia="zh-CN"/>
        </w:rPr>
        <w:t>9.24</w:t>
      </w:r>
      <w:r>
        <w:rPr>
          <w:rFonts w:ascii="仿宋_GB2312" w:hAnsi="仿宋_GB2312" w:eastAsia="仿宋_GB2312" w:cs="仿宋_GB2312"/>
          <w:sz w:val="32"/>
          <w:szCs w:val="32"/>
        </w:rPr>
        <w:t>万元。机关运行经费是</w:t>
      </w:r>
      <w:r>
        <w:rPr>
          <w:rFonts w:hint="eastAsia" w:ascii="仿宋_GB2312" w:hAnsi="仿宋_GB2312" w:eastAsia="仿宋_GB2312" w:cs="仿宋_GB2312"/>
          <w:sz w:val="32"/>
          <w:szCs w:val="32"/>
          <w:lang w:val="en-US" w:eastAsia="zh-CN"/>
        </w:rPr>
        <w:t>指</w:t>
      </w:r>
      <w:r>
        <w:rPr>
          <w:rFonts w:ascii="仿宋_GB2312" w:hAnsi="仿宋_GB2312" w:eastAsia="仿宋_GB2312" w:cs="仿宋_GB2312"/>
          <w:sz w:val="32"/>
          <w:szCs w:val="32"/>
        </w:rPr>
        <w:t>行政单位使用一般公共预算财政拨款安排的日常公用经费支出</w:t>
      </w:r>
      <w:r>
        <w:rPr>
          <w:rFonts w:hint="eastAsia" w:ascii="仿宋_GB2312" w:hAnsi="仿宋_GB2312" w:eastAsia="仿宋_GB2312" w:cs="仿宋_GB2312"/>
          <w:sz w:val="32"/>
          <w:szCs w:val="32"/>
          <w:lang w:eastAsia="zh-CN"/>
        </w:rPr>
        <w:t>。</w:t>
      </w:r>
      <w:r>
        <w:rPr>
          <w:rFonts w:ascii="仿宋_GB2312" w:hAnsi="仿宋_GB2312" w:eastAsia="仿宋_GB2312" w:cs="仿宋_GB2312"/>
          <w:sz w:val="32"/>
          <w:szCs w:val="32"/>
        </w:rPr>
        <w:t>包括办公及印刷费、邮电费、差旅费、会议费、福利费、日常维修费、专用材料及一般设备购置费、办公用房水电费、办公用房取暖费</w:t>
      </w:r>
      <w:r>
        <w:rPr>
          <w:rFonts w:hint="eastAsia" w:ascii="仿宋_GB2312" w:hAnsi="仿宋_GB2312" w:eastAsia="仿宋_GB2312" w:cs="仿宋_GB2312"/>
          <w:sz w:val="32"/>
          <w:szCs w:val="32"/>
          <w:lang w:val="en-US" w:eastAsia="zh-CN"/>
        </w:rPr>
        <w:t>等</w:t>
      </w:r>
      <w:r>
        <w:rPr>
          <w:rFonts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宋体" w:hAnsi="宋体" w:cs="宋体"/>
          <w:sz w:val="32"/>
          <w:szCs w:val="32"/>
        </w:rPr>
      </w:pPr>
      <w:r>
        <w:rPr>
          <w:rFonts w:ascii="楷体_GB2312" w:hAnsi="楷体_GB2312" w:eastAsia="楷体_GB2312" w:cs="楷体_GB2312"/>
          <w:sz w:val="32"/>
          <w:szCs w:val="32"/>
        </w:rPr>
        <w:t xml:space="preserve">（四）项目支出绩效目标情况说明 </w:t>
      </w:r>
      <w:r>
        <w:rPr>
          <w:rFonts w:ascii="宋体" w:hAnsi="宋体" w:cs="宋体"/>
          <w:sz w:val="32"/>
          <w:szCs w:val="32"/>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区外办</w:t>
      </w:r>
      <w:r>
        <w:rPr>
          <w:rFonts w:ascii="仿宋_GB2312" w:hAnsi="仿宋_GB2312" w:eastAsia="仿宋_GB2312" w:cs="仿宋_GB2312"/>
          <w:sz w:val="32"/>
          <w:szCs w:val="32"/>
        </w:rPr>
        <w:t>填报绩效目标的预算项目</w:t>
      </w:r>
      <w:r>
        <w:rPr>
          <w:rFonts w:hint="eastAsia" w:ascii="仿宋_GB2312" w:hAnsi="仿宋_GB2312" w:eastAsia="仿宋_GB2312" w:cs="仿宋_GB2312"/>
          <w:sz w:val="32"/>
          <w:szCs w:val="32"/>
          <w:lang w:val="en-US" w:eastAsia="zh-CN"/>
        </w:rPr>
        <w:t>2</w:t>
      </w:r>
      <w:r>
        <w:rPr>
          <w:rFonts w:ascii="仿宋_GB2312" w:hAnsi="仿宋_GB2312" w:eastAsia="仿宋_GB2312" w:cs="仿宋_GB2312"/>
          <w:sz w:val="32"/>
          <w:szCs w:val="32"/>
        </w:rPr>
        <w:t>个，占全部预算项目</w:t>
      </w:r>
      <w:r>
        <w:rPr>
          <w:rFonts w:hint="eastAsia" w:ascii="仿宋_GB2312" w:hAnsi="仿宋_GB2312" w:eastAsia="仿宋_GB2312" w:cs="仿宋_GB2312"/>
          <w:sz w:val="32"/>
          <w:szCs w:val="32"/>
          <w:lang w:val="en-US" w:eastAsia="zh-CN"/>
        </w:rPr>
        <w:t>的100</w:t>
      </w:r>
      <w:r>
        <w:rPr>
          <w:rFonts w:ascii="仿宋_GB2312" w:hAnsi="仿宋_GB2312" w:eastAsia="仿宋_GB2312" w:cs="仿宋_GB2312"/>
          <w:sz w:val="32"/>
          <w:szCs w:val="32"/>
        </w:rPr>
        <w:t>%。填报绩效目标的项目支出预算</w:t>
      </w:r>
      <w:r>
        <w:rPr>
          <w:rFonts w:hint="eastAsia" w:ascii="仿宋_GB2312" w:hAnsi="仿宋_GB2312" w:eastAsia="仿宋_GB2312" w:cs="仿宋_GB2312"/>
          <w:sz w:val="32"/>
          <w:szCs w:val="32"/>
          <w:lang w:val="en-US" w:eastAsia="zh-CN"/>
        </w:rPr>
        <w:t>4.43</w:t>
      </w:r>
      <w:r>
        <w:rPr>
          <w:rFonts w:ascii="仿宋_GB2312" w:hAnsi="仿宋_GB2312" w:eastAsia="仿宋_GB2312" w:cs="仿宋_GB2312"/>
          <w:sz w:val="32"/>
          <w:szCs w:val="32"/>
        </w:rPr>
        <w:t>万元，占本部门全部项目支出预算的</w:t>
      </w:r>
      <w:r>
        <w:rPr>
          <w:rFonts w:hint="eastAsia" w:ascii="仿宋_GB2312" w:hAnsi="仿宋_GB2312" w:eastAsia="仿宋_GB2312" w:cs="仿宋_GB2312"/>
          <w:sz w:val="32"/>
          <w:szCs w:val="32"/>
          <w:lang w:val="en-US" w:eastAsia="zh-CN"/>
        </w:rPr>
        <w:t>100</w:t>
      </w:r>
      <w:r>
        <w:rPr>
          <w:rFonts w:ascii="仿宋_GB2312" w:hAnsi="仿宋_GB2312" w:eastAsia="仿宋_GB2312" w:cs="仿宋_GB2312"/>
          <w:sz w:val="32"/>
          <w:szCs w:val="32"/>
        </w:rPr>
        <w:t>%。（注：不含基本支出）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楷体_GB2312" w:hAnsi="楷体_GB2312" w:eastAsia="楷体_GB2312" w:cs="楷体_GB2312"/>
          <w:sz w:val="32"/>
          <w:szCs w:val="32"/>
        </w:rPr>
      </w:pPr>
      <w:r>
        <w:rPr>
          <w:rFonts w:ascii="楷体_GB2312" w:hAnsi="楷体_GB2312" w:eastAsia="楷体_GB2312" w:cs="楷体_GB2312"/>
          <w:sz w:val="32"/>
          <w:szCs w:val="32"/>
        </w:rPr>
        <w:t>（五）重点行政事业性收费情况说明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区外办</w:t>
      </w:r>
      <w:r>
        <w:rPr>
          <w:rFonts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ascii="仿宋_GB2312" w:hAnsi="仿宋_GB2312" w:eastAsia="仿宋_GB2312" w:cs="仿宋_GB2312"/>
          <w:sz w:val="32"/>
          <w:szCs w:val="32"/>
        </w:rPr>
        <w:t>年无重点行政事业性收费。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楷体_GB2312" w:hAnsi="楷体_GB2312" w:eastAsia="楷体_GB2312" w:cs="楷体_GB2312"/>
          <w:sz w:val="32"/>
          <w:szCs w:val="32"/>
        </w:rPr>
      </w:pPr>
      <w:r>
        <w:rPr>
          <w:rFonts w:ascii="楷体_GB2312" w:hAnsi="楷体_GB2312" w:eastAsia="楷体_GB2312" w:cs="楷体_GB2312"/>
          <w:sz w:val="32"/>
          <w:szCs w:val="32"/>
        </w:rPr>
        <w:t>（六）国有资本经营预算财政拨款情况说明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区外办</w:t>
      </w:r>
      <w:r>
        <w:rPr>
          <w:rFonts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23</w:t>
      </w:r>
      <w:r>
        <w:rPr>
          <w:rFonts w:ascii="仿宋_GB2312" w:hAnsi="仿宋_GB2312" w:eastAsia="仿宋_GB2312" w:cs="仿宋_GB2312"/>
          <w:sz w:val="32"/>
          <w:szCs w:val="32"/>
        </w:rPr>
        <w:t>年无国有资本经营预算财政拨款安排的预算</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楷体_GB2312" w:hAnsi="楷体_GB2312" w:eastAsia="楷体_GB2312" w:cs="楷体_GB2312"/>
          <w:sz w:val="32"/>
          <w:szCs w:val="32"/>
        </w:rPr>
      </w:pPr>
      <w:r>
        <w:rPr>
          <w:rFonts w:ascii="楷体_GB2312" w:hAnsi="楷体_GB2312" w:eastAsia="楷体_GB2312" w:cs="楷体_GB2312"/>
          <w:sz w:val="32"/>
          <w:szCs w:val="32"/>
        </w:rPr>
        <w:t>（七）国有资产占有使用情况说明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截止2022年底，区外办不单独占用固定资产，所使用固定资产由区机关事务管理服务中心管理。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ascii="楷体_GB2312" w:hAnsi="楷体_GB2312" w:eastAsia="楷体_GB2312" w:cs="楷体_GB2312"/>
          <w:sz w:val="32"/>
          <w:szCs w:val="32"/>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八）</w:t>
      </w:r>
      <w:r>
        <w:rPr>
          <w:rFonts w:ascii="楷体_GB2312" w:hAnsi="楷体_GB2312" w:eastAsia="楷体_GB2312" w:cs="楷体_GB2312"/>
          <w:sz w:val="32"/>
          <w:szCs w:val="32"/>
        </w:rPr>
        <w:t>其他事项说明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无其他需要说明事项。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rPr>
        <w:t>六</w:t>
      </w:r>
      <w:r>
        <w:rPr>
          <w:rFonts w:ascii="黑体" w:hAnsi="黑体" w:eastAsia="黑体" w:cs="黑体"/>
          <w:sz w:val="32"/>
          <w:szCs w:val="32"/>
        </w:rPr>
        <w:t>、</w:t>
      </w:r>
      <w:r>
        <w:rPr>
          <w:rFonts w:hint="eastAsia" w:ascii="黑体" w:hAnsi="黑体" w:eastAsia="黑体" w:cs="黑体"/>
          <w:sz w:val="32"/>
          <w:szCs w:val="32"/>
        </w:rPr>
        <w:t>名词解释</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color w:val="000000"/>
          <w:spacing w:val="15"/>
          <w:sz w:val="32"/>
          <w:szCs w:val="32"/>
          <w:lang w:val="en-US" w:eastAsia="zh-CN" w:bidi="ar"/>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一）</w:t>
      </w:r>
      <w:r>
        <w:rPr>
          <w:rFonts w:hint="eastAsia" w:ascii="楷体_GB2312" w:hAnsi="楷体_GB2312" w:eastAsia="楷体_GB2312" w:cs="楷体_GB2312"/>
          <w:color w:val="000000"/>
          <w:spacing w:val="15"/>
          <w:sz w:val="32"/>
          <w:szCs w:val="32"/>
          <w:lang w:val="en-US" w:eastAsia="zh-CN" w:bidi="ar"/>
        </w:rPr>
        <w:t>部门预算</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70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000000"/>
          <w:spacing w:val="15"/>
          <w:sz w:val="32"/>
          <w:szCs w:val="32"/>
          <w:lang w:val="en-US" w:eastAsia="zh-CN" w:bidi="ar"/>
        </w:rPr>
        <w:t>部门预算指与财政部门直接发生预算缴、拨款关系的国家机关、社会团体和其他单位，依据国家有关法律、法规规定及其履行职能的需要编制的本部门年度收支计划。部门预算的实施，严格了预算管理，增加了政府工作的透明度，是防止腐败的重要手段和预防措施之一。</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（二）三公经费</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700" w:firstLineChars="200"/>
        <w:jc w:val="both"/>
        <w:textAlignment w:val="auto"/>
        <w:rPr>
          <w:rFonts w:hint="eastAsia" w:ascii="仿宋_GB2312" w:hAnsi="仿宋_GB2312" w:eastAsia="仿宋_GB2312" w:cs="仿宋_GB2312"/>
          <w:color w:val="000000"/>
          <w:spacing w:val="15"/>
          <w:kern w:val="0"/>
          <w:sz w:val="32"/>
          <w:szCs w:val="32"/>
          <w:lang w:val="en-US" w:eastAsia="zh-CN" w:bidi="ar"/>
        </w:rPr>
      </w:pPr>
      <w:r>
        <w:rPr>
          <w:rFonts w:hint="eastAsia" w:ascii="仿宋_GB2312" w:hAnsi="仿宋_GB2312" w:eastAsia="仿宋_GB2312" w:cs="仿宋_GB2312"/>
          <w:color w:val="000000"/>
          <w:spacing w:val="15"/>
          <w:kern w:val="0"/>
          <w:sz w:val="32"/>
          <w:szCs w:val="32"/>
          <w:lang w:val="en-US" w:eastAsia="zh-CN" w:bidi="ar"/>
        </w:rPr>
        <w:t>三公经费指因公出国(境)费、公务用车购置及运行维护费和公务接待费。其中，因公出国(境)费反映单位公务出国(境)的国际旅费、国外城市间交通费、住宿费、伙食费、培训费、公杂费等支出；公务用车运行维护费反映单位按规定保留的公务用车租用费、燃料费、维修费、过路过桥费、保险费、安全奖励费用等支出；公务接待费反映单位按规定开支的各类公务接待(含外宾接待)支出。</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700" w:firstLineChars="200"/>
        <w:jc w:val="both"/>
        <w:textAlignment w:val="auto"/>
        <w:rPr>
          <w:rFonts w:hint="eastAsia" w:ascii="楷体_GB2312" w:hAnsi="楷体_GB2312" w:eastAsia="楷体_GB2312" w:cs="楷体_GB2312"/>
          <w:color w:val="000000"/>
          <w:spacing w:val="15"/>
          <w:kern w:val="0"/>
          <w:sz w:val="32"/>
          <w:szCs w:val="32"/>
          <w:lang w:val="en-US" w:eastAsia="zh-CN" w:bidi="ar"/>
        </w:rPr>
      </w:pPr>
      <w:r>
        <w:rPr>
          <w:rFonts w:hint="eastAsia" w:ascii="楷体_GB2312" w:hAnsi="楷体_GB2312" w:eastAsia="楷体_GB2312" w:cs="楷体_GB2312"/>
          <w:color w:val="000000"/>
          <w:spacing w:val="15"/>
          <w:kern w:val="0"/>
          <w:sz w:val="32"/>
          <w:szCs w:val="32"/>
          <w:lang w:val="en-US" w:eastAsia="zh-CN" w:bidi="ar"/>
        </w:rPr>
        <w:t>（三）机关运行经费</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700" w:firstLineChars="200"/>
        <w:jc w:val="both"/>
        <w:textAlignment w:val="auto"/>
        <w:rPr>
          <w:rFonts w:hint="eastAsia" w:ascii="仿宋_GB2312" w:hAnsi="仿宋_GB2312" w:eastAsia="仿宋_GB2312" w:cs="仿宋_GB2312"/>
          <w:color w:val="000000"/>
          <w:spacing w:val="15"/>
          <w:kern w:val="0"/>
          <w:sz w:val="32"/>
          <w:szCs w:val="32"/>
          <w:lang w:val="en-US" w:eastAsia="zh-CN" w:bidi="ar"/>
        </w:rPr>
      </w:pPr>
      <w:r>
        <w:rPr>
          <w:rFonts w:hint="eastAsia" w:ascii="仿宋_GB2312" w:hAnsi="仿宋_GB2312" w:eastAsia="仿宋_GB2312" w:cs="仿宋_GB2312"/>
          <w:color w:val="000000"/>
          <w:spacing w:val="15"/>
          <w:kern w:val="0"/>
          <w:sz w:val="32"/>
          <w:szCs w:val="32"/>
          <w:lang w:val="en-US" w:eastAsia="zh-CN" w:bidi="ar"/>
        </w:rPr>
        <w:t>机关运行经费是为保障行政单位（含参照公务员法管理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700" w:firstLineChars="200"/>
        <w:jc w:val="both"/>
        <w:textAlignment w:val="auto"/>
        <w:rPr>
          <w:rFonts w:hint="eastAsia" w:ascii="楷体_GB2312" w:hAnsi="楷体_GB2312" w:eastAsia="楷体_GB2312" w:cs="楷体_GB2312"/>
          <w:color w:val="000000"/>
          <w:spacing w:val="15"/>
          <w:kern w:val="0"/>
          <w:sz w:val="32"/>
          <w:szCs w:val="32"/>
          <w:lang w:val="en-US" w:eastAsia="zh-CN" w:bidi="ar"/>
        </w:rPr>
      </w:pPr>
      <w:r>
        <w:rPr>
          <w:rFonts w:hint="eastAsia" w:ascii="楷体_GB2312" w:hAnsi="楷体_GB2312" w:eastAsia="楷体_GB2312" w:cs="楷体_GB2312"/>
          <w:color w:val="000000"/>
          <w:spacing w:val="15"/>
          <w:kern w:val="0"/>
          <w:sz w:val="32"/>
          <w:szCs w:val="32"/>
          <w:lang w:val="en-US" w:eastAsia="zh-CN" w:bidi="ar"/>
        </w:rPr>
        <w:t>（四）政府购买服务</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700" w:firstLineChars="200"/>
        <w:jc w:val="both"/>
        <w:textAlignment w:val="auto"/>
        <w:rPr>
          <w:rFonts w:hint="eastAsia" w:ascii="仿宋_GB2312" w:hAnsi="仿宋_GB2312" w:eastAsia="仿宋_GB2312" w:cs="仿宋_GB2312"/>
          <w:color w:val="000000"/>
          <w:spacing w:val="15"/>
          <w:kern w:val="0"/>
          <w:sz w:val="32"/>
          <w:szCs w:val="32"/>
          <w:lang w:val="en-US"/>
        </w:rPr>
      </w:pPr>
      <w:r>
        <w:rPr>
          <w:rFonts w:hint="eastAsia" w:ascii="仿宋_GB2312" w:hAnsi="仿宋_GB2312" w:eastAsia="仿宋_GB2312" w:cs="仿宋_GB2312"/>
          <w:color w:val="000000"/>
          <w:spacing w:val="15"/>
          <w:kern w:val="0"/>
          <w:sz w:val="32"/>
          <w:szCs w:val="32"/>
          <w:lang w:val="en-US" w:eastAsia="zh-CN" w:bidi="ar"/>
        </w:rPr>
        <w:t>政府购买服务是通过发挥市场机制作用，把政府直接向社会公众提供的公共服务等事项，按照一定的方式和程序，交由具备条件的社会力量承担，并由政府根据服务数量和质量向其支付费用。</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700" w:firstLineChars="200"/>
        <w:jc w:val="both"/>
        <w:textAlignment w:val="auto"/>
        <w:rPr>
          <w:rFonts w:hint="eastAsia" w:ascii="楷体_GB2312" w:hAnsi="楷体_GB2312" w:eastAsia="楷体_GB2312" w:cs="楷体_GB2312"/>
          <w:color w:val="000000"/>
          <w:spacing w:val="15"/>
          <w:kern w:val="0"/>
          <w:sz w:val="32"/>
          <w:szCs w:val="32"/>
          <w:lang w:val="en-US" w:eastAsia="zh-CN" w:bidi="ar"/>
        </w:rPr>
      </w:pPr>
      <w:r>
        <w:rPr>
          <w:rFonts w:hint="eastAsia" w:ascii="楷体_GB2312" w:hAnsi="楷体_GB2312" w:eastAsia="楷体_GB2312" w:cs="楷体_GB2312"/>
          <w:color w:val="000000"/>
          <w:spacing w:val="15"/>
          <w:kern w:val="0"/>
          <w:sz w:val="32"/>
          <w:szCs w:val="32"/>
          <w:lang w:val="en-US" w:eastAsia="zh-CN" w:bidi="ar"/>
        </w:rPr>
        <w:t>（五）预算绩效管理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700" w:firstLineChars="200"/>
        <w:jc w:val="both"/>
        <w:textAlignment w:val="auto"/>
        <w:rPr>
          <w:rFonts w:hint="eastAsia" w:ascii="仿宋_GB2312" w:hAnsi="仿宋_GB2312" w:eastAsia="仿宋_GB2312" w:cs="仿宋_GB2312"/>
          <w:color w:val="000000"/>
          <w:spacing w:val="15"/>
          <w:kern w:val="0"/>
          <w:sz w:val="32"/>
          <w:szCs w:val="32"/>
          <w:lang w:val="en-US" w:eastAsia="zh-CN" w:bidi="ar"/>
        </w:rPr>
      </w:pPr>
      <w:r>
        <w:rPr>
          <w:rFonts w:hint="eastAsia" w:ascii="仿宋_GB2312" w:hAnsi="仿宋_GB2312" w:eastAsia="仿宋_GB2312" w:cs="仿宋_GB2312"/>
          <w:color w:val="000000"/>
          <w:spacing w:val="15"/>
          <w:kern w:val="0"/>
          <w:sz w:val="32"/>
          <w:szCs w:val="32"/>
          <w:lang w:val="en-US" w:eastAsia="zh-CN" w:bidi="ar"/>
        </w:rPr>
        <w:t>预算绩效管理是在预算管理中融入绩效理念，将绩效目标设定、绩效跟踪、绩效评价及结果应用纳入预算编制、执行、监督全过程，以提高预算的经济、社会效益为目的的管理活动。预算绩效管理是一种以资金使用绩效为导向的预算管理模式，要求政府部门不断改进服务水平和质量，有效提高财政资金使用效益，并成为实施行政问责制和加强政府效能建设的重要抓手，是政府绩效管理的重要组成部分。</w:t>
      </w:r>
    </w:p>
    <w:p>
      <w:pPr>
        <w:keepNext w:val="0"/>
        <w:keepLines w:val="0"/>
        <w:widowControl w:val="0"/>
        <w:suppressLineNumbers w:val="0"/>
        <w:spacing w:before="0" w:beforeAutospacing="0" w:after="0" w:afterAutospacing="0" w:line="560" w:lineRule="exact"/>
        <w:ind w:left="0" w:right="0" w:firstLine="700" w:firstLineChars="200"/>
        <w:jc w:val="both"/>
        <w:rPr>
          <w:rFonts w:hint="eastAsia" w:ascii="仿宋_GB2312" w:hAnsi="仿宋_GB2312" w:eastAsia="仿宋_GB2312" w:cs="仿宋_GB2312"/>
          <w:color w:val="000000"/>
          <w:spacing w:val="15"/>
          <w:kern w:val="0"/>
          <w:sz w:val="32"/>
          <w:szCs w:val="32"/>
          <w:lang w:val="en-US" w:eastAsia="zh-CN" w:bidi="ar"/>
        </w:rPr>
      </w:pPr>
    </w:p>
    <w:p>
      <w:pPr>
        <w:keepNext w:val="0"/>
        <w:keepLines w:val="0"/>
        <w:pageBreakBefore w:val="0"/>
        <w:widowControl/>
        <w:kinsoku/>
        <w:wordWrap/>
        <w:overflowPunct/>
        <w:topLinePunct w:val="0"/>
        <w:autoSpaceDN/>
        <w:bidi w:val="0"/>
        <w:snapToGrid/>
        <w:spacing w:line="560" w:lineRule="exact"/>
        <w:textAlignment w:val="auto"/>
        <w:rPr>
          <w:rFonts w:hint="eastAsia" w:ascii="方正小标宋简体" w:hAnsi="方正小标宋简体" w:eastAsia="方正小标宋简体" w:cs="方正小标宋简体"/>
          <w:sz w:val="32"/>
          <w:szCs w:val="32"/>
          <w:lang w:val="en-US" w:eastAsia="zh-CN"/>
        </w:rPr>
      </w:pPr>
    </w:p>
    <w:p>
      <w:pPr>
        <w:keepNext w:val="0"/>
        <w:keepLines w:val="0"/>
        <w:pageBreakBefore w:val="0"/>
        <w:widowControl/>
        <w:kinsoku/>
        <w:wordWrap/>
        <w:overflowPunct/>
        <w:topLinePunct w:val="0"/>
        <w:autoSpaceDN/>
        <w:bidi w:val="0"/>
        <w:snapToGrid/>
        <w:spacing w:line="560" w:lineRule="exact"/>
        <w:textAlignment w:val="auto"/>
        <w:rPr>
          <w:rFonts w:hint="eastAsia" w:ascii="方正小标宋简体" w:hAnsi="方正小标宋简体" w:eastAsia="方正小标宋简体" w:cs="方正小标宋简体"/>
          <w:sz w:val="32"/>
          <w:szCs w:val="32"/>
          <w:lang w:val="en-US" w:eastAsia="zh-CN"/>
        </w:rPr>
      </w:pPr>
      <w:r>
        <w:rPr>
          <w:rFonts w:hint="eastAsia" w:ascii="方正小标宋简体" w:hAnsi="方正小标宋简体" w:eastAsia="方正小标宋简体" w:cs="方正小标宋简体"/>
          <w:sz w:val="32"/>
          <w:szCs w:val="32"/>
          <w:lang w:val="en-US" w:eastAsia="zh-CN"/>
        </w:rPr>
        <w:t>第二部分</w:t>
      </w:r>
    </w:p>
    <w:p>
      <w:pPr>
        <w:keepNext w:val="0"/>
        <w:keepLines w:val="0"/>
        <w:pageBreakBefore w:val="0"/>
        <w:widowControl/>
        <w:kinsoku/>
        <w:wordWrap/>
        <w:overflowPunct/>
        <w:topLinePunct w:val="0"/>
        <w:autoSpaceDN/>
        <w:bidi w:val="0"/>
        <w:snapToGrid/>
        <w:spacing w:line="560" w:lineRule="exact"/>
        <w:textAlignment w:val="auto"/>
        <w:rPr>
          <w:rFonts w:hint="default" w:ascii="方正小标宋简体" w:hAnsi="方正小标宋简体" w:eastAsia="方正小标宋简体" w:cs="方正小标宋简体"/>
          <w:sz w:val="32"/>
          <w:szCs w:val="32"/>
          <w:lang w:val="en-US" w:eastAsia="zh-CN"/>
        </w:rPr>
      </w:pPr>
    </w:p>
    <w:p>
      <w:pPr>
        <w:keepNext w:val="0"/>
        <w:keepLines w:val="0"/>
        <w:pageBreakBefore w:val="0"/>
        <w:widowControl/>
        <w:kinsoku/>
        <w:wordWrap/>
        <w:overflowPunct/>
        <w:topLinePunct w:val="0"/>
        <w:autoSpaceDN/>
        <w:bidi w:val="0"/>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3</w:t>
      </w:r>
      <w:r>
        <w:rPr>
          <w:rFonts w:hint="eastAsia" w:ascii="方正小标宋简体" w:hAnsi="方正小标宋简体" w:eastAsia="方正小标宋简体" w:cs="方正小标宋简体"/>
          <w:sz w:val="44"/>
          <w:szCs w:val="44"/>
        </w:rPr>
        <w:t>年部门预算报表</w:t>
      </w:r>
    </w:p>
    <w:p>
      <w:pPr>
        <w:keepNext w:val="0"/>
        <w:keepLines w:val="0"/>
        <w:pageBreakBefore w:val="0"/>
        <w:widowControl/>
        <w:kinsoku/>
        <w:wordWrap/>
        <w:overflowPunct/>
        <w:topLinePunct w:val="0"/>
        <w:autoSpaceDN/>
        <w:bidi w:val="0"/>
        <w:adjustRightInd w:val="0"/>
        <w:snapToGrid/>
        <w:spacing w:line="560" w:lineRule="exact"/>
        <w:jc w:val="left"/>
        <w:textAlignment w:val="auto"/>
        <w:rPr>
          <w:rFonts w:hint="eastAsia"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 xml:space="preserve">   </w:t>
      </w:r>
    </w:p>
    <w:p>
      <w:pPr>
        <w:keepNext w:val="0"/>
        <w:keepLines w:val="0"/>
        <w:pageBreakBefore w:val="0"/>
        <w:widowControl/>
        <w:kinsoku/>
        <w:wordWrap/>
        <w:overflowPunct/>
        <w:topLinePunct w:val="0"/>
        <w:autoSpaceDN/>
        <w:bidi w:val="0"/>
        <w:adjustRightInd w:val="0"/>
        <w:snapToGrid/>
        <w:spacing w:line="560" w:lineRule="exact"/>
        <w:ind w:firstLine="700" w:firstLineChars="200"/>
        <w:jc w:val="both"/>
        <w:textAlignment w:val="auto"/>
        <w:rPr>
          <w:rFonts w:ascii="仿宋_GB2312" w:hAnsi="宋体" w:eastAsia="仿宋_GB2312" w:cs="宋体"/>
          <w:color w:val="000000"/>
          <w:spacing w:val="17"/>
          <w:w w:val="95"/>
          <w:kern w:val="0"/>
          <w:sz w:val="32"/>
          <w:szCs w:val="32"/>
        </w:rPr>
      </w:pPr>
      <w:r>
        <w:rPr>
          <w:rFonts w:hint="eastAsia" w:ascii="仿宋_GB2312" w:hAnsi="宋体" w:eastAsia="仿宋_GB2312" w:cs="宋体"/>
          <w:color w:val="000000"/>
          <w:spacing w:val="15"/>
          <w:kern w:val="0"/>
          <w:sz w:val="32"/>
          <w:szCs w:val="32"/>
        </w:rPr>
        <w:t>详见附件：</w:t>
      </w:r>
      <w:r>
        <w:rPr>
          <w:rFonts w:hint="eastAsia" w:ascii="仿宋_GB2312" w:hAnsi="宋体" w:eastAsia="仿宋_GB2312" w:cs="宋体"/>
          <w:color w:val="000000"/>
          <w:spacing w:val="17"/>
          <w:w w:val="95"/>
          <w:kern w:val="0"/>
          <w:sz w:val="32"/>
          <w:szCs w:val="32"/>
          <w:lang w:val="en-US" w:eastAsia="zh-CN"/>
        </w:rPr>
        <w:t>北京市丰台区人民政府外事办公室</w:t>
      </w:r>
      <w:bookmarkStart w:id="0" w:name="_GoBack"/>
      <w:bookmarkEnd w:id="0"/>
      <w:r>
        <w:rPr>
          <w:rFonts w:hint="eastAsia" w:ascii="仿宋_GB2312" w:hAnsi="宋体" w:eastAsia="仿宋_GB2312" w:cs="宋体"/>
          <w:color w:val="000000"/>
          <w:spacing w:val="17"/>
          <w:w w:val="95"/>
          <w:kern w:val="0"/>
          <w:sz w:val="32"/>
          <w:szCs w:val="32"/>
        </w:rPr>
        <w:t>202</w:t>
      </w:r>
      <w:r>
        <w:rPr>
          <w:rFonts w:hint="eastAsia" w:ascii="仿宋_GB2312" w:hAnsi="宋体" w:eastAsia="仿宋_GB2312" w:cs="宋体"/>
          <w:color w:val="000000"/>
          <w:spacing w:val="17"/>
          <w:w w:val="95"/>
          <w:kern w:val="0"/>
          <w:sz w:val="32"/>
          <w:szCs w:val="32"/>
          <w:lang w:val="en-US" w:eastAsia="zh-CN"/>
        </w:rPr>
        <w:t>3</w:t>
      </w:r>
      <w:r>
        <w:rPr>
          <w:rFonts w:hint="eastAsia" w:ascii="仿宋_GB2312" w:hAnsi="宋体" w:eastAsia="仿宋_GB2312" w:cs="宋体"/>
          <w:color w:val="000000"/>
          <w:spacing w:val="17"/>
          <w:w w:val="95"/>
          <w:kern w:val="0"/>
          <w:sz w:val="32"/>
          <w:szCs w:val="32"/>
        </w:rPr>
        <w:t>年部门预算报表</w:t>
      </w:r>
    </w:p>
    <w:p>
      <w:pPr>
        <w:keepNext w:val="0"/>
        <w:keepLines w:val="0"/>
        <w:pageBreakBefore w:val="0"/>
        <w:kinsoku/>
        <w:wordWrap/>
        <w:overflowPunct/>
        <w:topLinePunct w:val="0"/>
        <w:autoSpaceDN/>
        <w:bidi w:val="0"/>
        <w:snapToGrid/>
        <w:spacing w:line="560" w:lineRule="exact"/>
        <w:textAlignment w:val="auto"/>
        <w:rPr>
          <w:rFonts w:ascii="楷体_GB2312" w:hAnsi="楷体_GB2312" w:eastAsia="楷体_GB2312" w:cs="楷体_GB2312"/>
          <w:sz w:val="32"/>
          <w:szCs w:val="32"/>
        </w:rPr>
      </w:pPr>
    </w:p>
    <w:sectPr>
      <w:footerReference r:id="rId3" w:type="default"/>
      <w:pgSz w:w="11906" w:h="16838"/>
      <w:pgMar w:top="1871" w:right="1361" w:bottom="1871" w:left="1474" w:header="992"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Liberation Sans">
    <w:altName w:val="微软雅黑"/>
    <w:panose1 w:val="00000000000000000000"/>
    <w:charset w:val="00"/>
    <w:family w:val="swiss"/>
    <w:pitch w:val="default"/>
    <w:sig w:usb0="00000000" w:usb1="00000000" w:usb2="00000000" w:usb3="00000000" w:csb0="00040001" w:csb1="00000000"/>
  </w:font>
  <w:font w:name="Noto Sans CJK SC Regular">
    <w:altName w:val="宋体"/>
    <w:panose1 w:val="00000000000000000000"/>
    <w:charset w:val="86"/>
    <w:family w:val="auto"/>
    <w:pitch w:val="default"/>
    <w:sig w:usb0="00000000" w:usb1="00000000" w:usb2="00000016" w:usb3="00000000" w:csb0="602E0107"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- 1 -</w:t>
                          </w:r>
                          <w:r>
                            <w:rPr>
                              <w:rFonts w:hint="eastAsia" w:asciiTheme="minorEastAsia" w:hAnsiTheme="minorEastAsia" w:eastAsiaTheme="minorEastAsia" w:cstheme="minor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5"/>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- 1 -</w:t>
                    </w:r>
                    <w:r>
                      <w:rPr>
                        <w:rFonts w:hint="eastAsia" w:asciiTheme="minorEastAsia" w:hAnsiTheme="minorEastAsia" w:eastAsiaTheme="minorEastAsia" w:cstheme="minorEastAsia"/>
                        <w:sz w:val="28"/>
                        <w:szCs w:val="28"/>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D128F2"/>
    <w:multiLevelType w:val="singleLevel"/>
    <w:tmpl w:val="2DD128F2"/>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isplayBackgroundShape w:val="1"/>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
  <w:drawingGridVerticalSpacing w:val="1"/>
  <w:displayHorizontalDrawingGridEvery w:val="0"/>
  <w:displayVerticalDrawingGridEvery w:val="2"/>
  <w:doNotUseMarginsForDrawingGridOrigin w:val="1"/>
  <w:drawingGridHorizontalOrigin w:val="0"/>
  <w:drawingGridVerticalOrigin w:val="0"/>
  <w:characterSpacingControl w:val="compressPunctuation"/>
  <w:doNotValidateAgainstSchema/>
  <w:doNotDemarcateInvalidXml/>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2941"/>
    <w:rsid w:val="001D6428"/>
    <w:rsid w:val="002C5CB2"/>
    <w:rsid w:val="00372941"/>
    <w:rsid w:val="005E56C1"/>
    <w:rsid w:val="009C1322"/>
    <w:rsid w:val="00C26CD7"/>
    <w:rsid w:val="00C811B2"/>
    <w:rsid w:val="00D02E15"/>
    <w:rsid w:val="00F54178"/>
    <w:rsid w:val="00FE4978"/>
    <w:rsid w:val="06CA1566"/>
    <w:rsid w:val="06DE7D56"/>
    <w:rsid w:val="0F6B4355"/>
    <w:rsid w:val="10AE7C10"/>
    <w:rsid w:val="16D523A2"/>
    <w:rsid w:val="18485519"/>
    <w:rsid w:val="191C7D18"/>
    <w:rsid w:val="19ED309F"/>
    <w:rsid w:val="1A194442"/>
    <w:rsid w:val="1A7E13F2"/>
    <w:rsid w:val="1A9C2B85"/>
    <w:rsid w:val="1CBD7D2E"/>
    <w:rsid w:val="1CFF68F4"/>
    <w:rsid w:val="20A03A46"/>
    <w:rsid w:val="21A32B83"/>
    <w:rsid w:val="24110F49"/>
    <w:rsid w:val="249D5B37"/>
    <w:rsid w:val="27BF16B4"/>
    <w:rsid w:val="28546FC0"/>
    <w:rsid w:val="295E757F"/>
    <w:rsid w:val="2AAC6377"/>
    <w:rsid w:val="2D97542A"/>
    <w:rsid w:val="2FE7105C"/>
    <w:rsid w:val="31BB2769"/>
    <w:rsid w:val="32C21411"/>
    <w:rsid w:val="35776221"/>
    <w:rsid w:val="373D475A"/>
    <w:rsid w:val="373F3050"/>
    <w:rsid w:val="3A491099"/>
    <w:rsid w:val="3AC02478"/>
    <w:rsid w:val="4128254D"/>
    <w:rsid w:val="41895C69"/>
    <w:rsid w:val="45001AA8"/>
    <w:rsid w:val="452408D9"/>
    <w:rsid w:val="47153A80"/>
    <w:rsid w:val="4A4273F5"/>
    <w:rsid w:val="4C7435E7"/>
    <w:rsid w:val="4D7A636B"/>
    <w:rsid w:val="4E8423A4"/>
    <w:rsid w:val="4E8B1238"/>
    <w:rsid w:val="4FF4461E"/>
    <w:rsid w:val="501854BA"/>
    <w:rsid w:val="51CF4D5B"/>
    <w:rsid w:val="53147A40"/>
    <w:rsid w:val="54283BBD"/>
    <w:rsid w:val="5574205B"/>
    <w:rsid w:val="563C5B6F"/>
    <w:rsid w:val="58827E72"/>
    <w:rsid w:val="58F1632E"/>
    <w:rsid w:val="5E4C5812"/>
    <w:rsid w:val="5F5F4E5B"/>
    <w:rsid w:val="61CA1F99"/>
    <w:rsid w:val="62BB0239"/>
    <w:rsid w:val="636E7C04"/>
    <w:rsid w:val="665E4AEA"/>
    <w:rsid w:val="66A51574"/>
    <w:rsid w:val="69901F0B"/>
    <w:rsid w:val="6C1A1E04"/>
    <w:rsid w:val="6D9D309E"/>
    <w:rsid w:val="6F172A4A"/>
    <w:rsid w:val="709C6698"/>
    <w:rsid w:val="710354FB"/>
    <w:rsid w:val="726B711F"/>
    <w:rsid w:val="72E519EE"/>
    <w:rsid w:val="73FD2592"/>
    <w:rsid w:val="77052EC8"/>
    <w:rsid w:val="7775298B"/>
    <w:rsid w:val="798F45F8"/>
    <w:rsid w:val="7A2E40B5"/>
    <w:rsid w:val="7B2F7516"/>
    <w:rsid w:val="7F275ABE"/>
    <w:rsid w:val="7FEBAC30"/>
    <w:rsid w:val="7FFB17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uppressAutoHyphens/>
      <w:jc w:val="both"/>
    </w:pPr>
    <w:rPr>
      <w:rFonts w:ascii="Calibri" w:hAnsi="Calibri" w:eastAsia="宋体" w:cs="Times New Roman"/>
      <w:kern w:val="2"/>
      <w:sz w:val="21"/>
      <w:szCs w:val="24"/>
      <w:lang w:val="en-US" w:eastAsia="zh-CN" w:bidi="ar-SA"/>
    </w:rPr>
  </w:style>
  <w:style w:type="character" w:default="1" w:styleId="9">
    <w:name w:val="Default Paragraph Font"/>
    <w:qFormat/>
    <w:uiPriority w:val="0"/>
  </w:style>
  <w:style w:type="table" w:default="1" w:styleId="8">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toc 3"/>
    <w:basedOn w:val="1"/>
    <w:next w:val="1"/>
    <w:qFormat/>
    <w:uiPriority w:val="0"/>
    <w:pPr>
      <w:ind w:left="840" w:leftChars="400"/>
    </w:pPr>
    <w:rPr>
      <w:rFonts w:ascii="Calibri" w:hAnsi="Calibri"/>
      <w:szCs w:val="22"/>
    </w:rPr>
  </w:style>
  <w:style w:type="paragraph" w:styleId="3">
    <w:name w:val="caption"/>
    <w:basedOn w:val="1"/>
    <w:next w:val="1"/>
    <w:qFormat/>
    <w:uiPriority w:val="0"/>
    <w:pPr>
      <w:suppressLineNumbers/>
      <w:spacing w:before="120" w:after="120"/>
    </w:pPr>
    <w:rPr>
      <w:i/>
      <w:iCs/>
      <w:sz w:val="24"/>
    </w:rPr>
  </w:style>
  <w:style w:type="paragraph" w:styleId="4">
    <w:name w:val="Body Text"/>
    <w:basedOn w:val="1"/>
    <w:qFormat/>
    <w:uiPriority w:val="0"/>
    <w:pPr>
      <w:spacing w:after="140" w:line="276" w:lineRule="auto"/>
    </w:p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styleId="7">
    <w:name w:val="List"/>
    <w:basedOn w:val="4"/>
    <w:qFormat/>
    <w:uiPriority w:val="0"/>
  </w:style>
  <w:style w:type="character" w:styleId="10">
    <w:name w:val="page number"/>
    <w:basedOn w:val="9"/>
    <w:qFormat/>
    <w:uiPriority w:val="0"/>
  </w:style>
  <w:style w:type="character" w:customStyle="1" w:styleId="11">
    <w:name w:val="默认段落字体1"/>
    <w:qFormat/>
    <w:uiPriority w:val="0"/>
  </w:style>
  <w:style w:type="paragraph" w:customStyle="1" w:styleId="12">
    <w:name w:val="Index"/>
    <w:basedOn w:val="1"/>
    <w:qFormat/>
    <w:uiPriority w:val="0"/>
    <w:pPr>
      <w:suppressLineNumbers/>
    </w:pPr>
  </w:style>
  <w:style w:type="paragraph" w:customStyle="1" w:styleId="13">
    <w:name w:val="Heading"/>
    <w:basedOn w:val="1"/>
    <w:next w:val="4"/>
    <w:qFormat/>
    <w:uiPriority w:val="0"/>
    <w:pPr>
      <w:keepNext/>
      <w:spacing w:before="240" w:after="120"/>
    </w:pPr>
    <w:rPr>
      <w:rFonts w:ascii="Liberation Sans" w:hAnsi="Liberation Sans" w:eastAsia="Noto Sans CJK SC Regular" w:cs="Noto Sans CJK SC Regular"/>
      <w:sz w:val="28"/>
      <w:szCs w:val="28"/>
    </w:rPr>
  </w:style>
  <w:style w:type="character" w:customStyle="1" w:styleId="14">
    <w:name w:val="页眉 Char"/>
    <w:link w:val="6"/>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433</Words>
  <Characters>2469</Characters>
  <Lines>20</Lines>
  <Paragraphs>5</Paragraphs>
  <TotalTime>16</TotalTime>
  <ScaleCrop>false</ScaleCrop>
  <LinksUpToDate>false</LinksUpToDate>
  <CharactersWithSpaces>2897</CharactersWithSpaces>
  <Application>WPS Office_11.8.2.8808_F1E327BC-269C-435d-A152-05C5408002CA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2022-01-05T06:22:00Z</dcterms:created>
  <dc:creator>user</dc:creator>
  <cp:lastModifiedBy>GRR</cp:lastModifiedBy>
  <cp:lastPrinted>2023-01-29T03:32:00Z</cp:lastPrinted>
  <dcterms:modified xsi:type="dcterms:W3CDTF">2023-02-03T07:59:50Z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2052-11.8.2.8808</vt:lpwstr>
  </property>
</Properties>
</file>