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w:t>
      </w:r>
      <w:r>
        <w:rPr>
          <w:rFonts w:hint="eastAsia" w:ascii="方正小标宋简体" w:hAnsi="方正小标宋简体" w:eastAsia="方正小标宋简体" w:cs="方正小标宋简体"/>
          <w:sz w:val="44"/>
          <w:szCs w:val="44"/>
          <w:lang w:eastAsia="zh-CN"/>
        </w:rPr>
        <w:t>于丰台区</w:t>
      </w:r>
      <w:r>
        <w:rPr>
          <w:rFonts w:hint="eastAsia" w:ascii="方正小标宋简体" w:hAnsi="方正小标宋简体" w:eastAsia="方正小标宋简体" w:cs="方正小标宋简体"/>
          <w:sz w:val="44"/>
          <w:szCs w:val="44"/>
        </w:rPr>
        <w:t>预算绩效管理情况的说明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b w:val="0"/>
          <w:bCs w:val="0"/>
          <w:sz w:val="32"/>
          <w:szCs w:val="32"/>
          <w:lang w:val="en-US" w:eastAsia="zh-CN"/>
        </w:rPr>
        <w:t>2024年，我区</w:t>
      </w:r>
      <w:r>
        <w:rPr>
          <w:rFonts w:hint="eastAsia" w:ascii="仿宋_GB2312" w:hAnsi="仿宋" w:eastAsia="仿宋_GB2312"/>
          <w:sz w:val="32"/>
          <w:szCs w:val="32"/>
          <w:highlight w:val="none"/>
          <w:lang w:eastAsia="zh-CN"/>
        </w:rPr>
        <w:t>按照北京市</w:t>
      </w:r>
      <w:r>
        <w:rPr>
          <w:rFonts w:hint="eastAsia" w:ascii="仿宋_GB2312" w:hAnsi="仿宋" w:eastAsia="仿宋_GB2312"/>
          <w:sz w:val="32"/>
          <w:szCs w:val="32"/>
          <w:highlight w:val="none"/>
          <w:lang w:val="en-US" w:eastAsia="zh-CN"/>
        </w:rPr>
        <w:t>预算</w:t>
      </w:r>
      <w:r>
        <w:rPr>
          <w:rFonts w:hint="eastAsia" w:ascii="仿宋_GB2312" w:hAnsi="仿宋" w:eastAsia="仿宋_GB2312"/>
          <w:sz w:val="32"/>
          <w:szCs w:val="32"/>
          <w:highlight w:val="none"/>
          <w:lang w:eastAsia="zh-CN"/>
        </w:rPr>
        <w:t>绩效管理工作整体部署和要求，</w:t>
      </w:r>
      <w:r>
        <w:rPr>
          <w:rFonts w:hint="eastAsia" w:ascii="仿宋_GB2312" w:hAnsi="仿宋" w:eastAsia="仿宋_GB2312"/>
          <w:sz w:val="32"/>
          <w:szCs w:val="32"/>
          <w:highlight w:val="none"/>
        </w:rPr>
        <w:t>围绕区委、区政府重点任务，</w:t>
      </w:r>
      <w:r>
        <w:rPr>
          <w:rFonts w:hint="eastAsia" w:ascii="仿宋_GB2312" w:hAnsi="仿宋" w:eastAsia="仿宋_GB2312"/>
          <w:sz w:val="32"/>
          <w:szCs w:val="32"/>
          <w:highlight w:val="none"/>
          <w:lang w:eastAsia="zh-CN"/>
        </w:rPr>
        <w:t>持续完善优化预算绩效管理体系，强化全过程预算绩效管理</w:t>
      </w:r>
      <w:r>
        <w:rPr>
          <w:rFonts w:hint="eastAsia" w:ascii="仿宋_GB2312" w:hAnsi="仿宋" w:eastAsia="仿宋_GB2312"/>
          <w:sz w:val="32"/>
          <w:szCs w:val="32"/>
          <w:highlight w:val="none"/>
        </w:rPr>
        <w:t>，推动财政资金聚力增效。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一、夯实预算绩效管理基础。不断完善丰台区</w:t>
      </w:r>
      <w:r>
        <w:rPr>
          <w:rFonts w:hint="eastAsia" w:ascii="仿宋_GB2312" w:hAnsi="仿宋_GB2312" w:eastAsia="仿宋_GB2312" w:cs="仿宋_GB2312"/>
          <w:sz w:val="32"/>
          <w:szCs w:val="32"/>
          <w:lang w:val="en-US" w:eastAsia="zh-CN"/>
        </w:rPr>
        <w:t>预算绩效管理制度体系，发布《关于邀请人大代表、政协委员对事前绩效评估进行监督的工作规范》，建立主动邀请监督工作机</w:t>
      </w:r>
      <w:bookmarkStart w:id="21" w:name="_GoBack"/>
      <w:bookmarkEnd w:id="21"/>
      <w:r>
        <w:rPr>
          <w:rFonts w:hint="eastAsia" w:ascii="仿宋_GB2312" w:hAnsi="仿宋_GB2312" w:eastAsia="仿宋_GB2312" w:cs="仿宋_GB2312"/>
          <w:sz w:val="32"/>
          <w:szCs w:val="32"/>
          <w:lang w:val="en-US" w:eastAsia="zh-CN"/>
        </w:rPr>
        <w:t>制，财政事前绩效评估</w:t>
      </w:r>
      <w:r>
        <w:rPr>
          <w:rFonts w:hint="eastAsia" w:ascii="仿宋_GB2312" w:hAnsi="仿宋_GB2312" w:eastAsia="仿宋_GB2312" w:cs="仿宋_GB2312"/>
          <w:b w:val="0"/>
          <w:bCs w:val="0"/>
          <w:sz w:val="32"/>
          <w:szCs w:val="32"/>
          <w:lang w:val="en-US" w:eastAsia="zh-CN"/>
        </w:rPr>
        <w:t>项目区人大代表、政协委员参与率100%。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二、做实全过程预算绩效管理</w:t>
      </w:r>
      <w:r>
        <w:rPr>
          <w:rFonts w:hint="eastAsia" w:ascii="仿宋_GB2312" w:hAnsi="仿宋_GB2312" w:eastAsia="仿宋_GB2312" w:cs="仿宋_GB2312"/>
          <w:b w:val="0"/>
          <w:bCs w:val="0"/>
          <w:sz w:val="32"/>
          <w:szCs w:val="32"/>
        </w:rPr>
        <w:t>。开展事前绩效评估项目</w:t>
      </w:r>
      <w:r>
        <w:rPr>
          <w:rFonts w:hint="eastAsia" w:ascii="仿宋_GB2312" w:hAnsi="仿宋_GB2312" w:eastAsia="仿宋_GB2312" w:cs="仿宋_GB2312"/>
          <w:b w:val="0"/>
          <w:bCs w:val="0"/>
          <w:sz w:val="32"/>
          <w:szCs w:val="32"/>
          <w:highlight w:val="none"/>
          <w:lang w:val="en-US" w:eastAsia="zh-CN"/>
        </w:rPr>
        <w:t>182</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，审减金额</w:t>
      </w:r>
      <w:r>
        <w:rPr>
          <w:rFonts w:hint="eastAsia" w:ascii="仿宋_GB2312" w:hAnsi="仿宋_GB2312" w:eastAsia="仿宋_GB2312" w:cs="仿宋_GB2312"/>
          <w:b w:val="0"/>
          <w:bCs w:val="0"/>
          <w:sz w:val="32"/>
          <w:szCs w:val="32"/>
          <w:highlight w:val="none"/>
          <w:lang w:val="en-US" w:eastAsia="zh-CN"/>
        </w:rPr>
        <w:t>11.04</w:t>
      </w:r>
      <w:r>
        <w:rPr>
          <w:rFonts w:hint="eastAsia" w:ascii="仿宋_GB2312" w:hAnsi="仿宋_GB2312" w:eastAsia="仿宋_GB2312" w:cs="仿宋_GB2312"/>
          <w:b w:val="0"/>
          <w:bCs w:val="0"/>
          <w:sz w:val="32"/>
          <w:szCs w:val="32"/>
          <w:lang w:eastAsia="zh-CN"/>
        </w:rPr>
        <w:t>亿元；对</w:t>
      </w:r>
      <w:r>
        <w:rPr>
          <w:rFonts w:hint="eastAsia" w:ascii="仿宋_GB2312" w:hAnsi="仿宋_GB2312" w:eastAsia="仿宋_GB2312" w:cs="仿宋_GB2312"/>
          <w:b w:val="0"/>
          <w:bCs w:val="0"/>
          <w:sz w:val="32"/>
          <w:szCs w:val="32"/>
          <w:lang w:val="en-US" w:eastAsia="zh-CN"/>
        </w:rPr>
        <w:t>重点项目和政策</w:t>
      </w:r>
      <w:r>
        <w:rPr>
          <w:rFonts w:hint="eastAsia" w:ascii="仿宋_GB2312" w:hAnsi="仿宋_GB2312" w:eastAsia="仿宋_GB2312" w:cs="仿宋_GB2312"/>
          <w:b w:val="0"/>
          <w:bCs w:val="0"/>
          <w:sz w:val="32"/>
          <w:szCs w:val="32"/>
          <w:lang w:eastAsia="zh-CN"/>
        </w:rPr>
        <w:t>开展财政事后</w:t>
      </w:r>
      <w:r>
        <w:rPr>
          <w:rFonts w:hint="eastAsia" w:ascii="仿宋_GB2312" w:hAnsi="仿宋_GB2312" w:eastAsia="仿宋_GB2312" w:cs="仿宋_GB2312"/>
          <w:color w:val="auto"/>
          <w:sz w:val="32"/>
          <w:szCs w:val="32"/>
          <w:highlight w:val="none"/>
          <w:lang w:val="en-US" w:eastAsia="zh-CN"/>
        </w:rPr>
        <w:t>绩效评价，全面覆盖三本预算、中央市级转移支付资金、政府购买服务、政府投资基金、政府债券资金、重大政策；持续实现绩效目标管理、部门预算绩效运行监控和部门及单位项目自评全覆盖。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三、深化全成本绩效管理改革。开展成本绩效分析项目</w:t>
      </w:r>
      <w:r>
        <w:rPr>
          <w:rFonts w:hint="eastAsia" w:ascii="仿宋_GB2312" w:hAnsi="仿宋_GB2312" w:eastAsia="仿宋_GB2312" w:cs="仿宋_GB2312"/>
          <w:b w:val="0"/>
          <w:bCs w:val="0"/>
          <w:sz w:val="32"/>
          <w:szCs w:val="32"/>
          <w:lang w:val="en-US" w:eastAsia="zh-CN"/>
        </w:rPr>
        <w:t>35个</w:t>
      </w:r>
      <w:r>
        <w:rPr>
          <w:rFonts w:hint="eastAsia" w:ascii="仿宋_GB2312" w:hAnsi="宋体" w:eastAsia="仿宋_GB2312"/>
          <w:b w:val="0"/>
          <w:bCs w:val="0"/>
          <w:sz w:val="32"/>
          <w:szCs w:val="32"/>
          <w:lang w:eastAsia="zh-CN"/>
        </w:rPr>
        <w:t>，</w:t>
      </w:r>
      <w:r>
        <w:rPr>
          <w:rFonts w:hint="eastAsia" w:ascii="仿宋_GB2312" w:hAnsi="仿宋_GB2312" w:eastAsia="仿宋_GB2312" w:cs="仿宋_GB2312"/>
          <w:b w:val="0"/>
          <w:bCs w:val="0"/>
          <w:sz w:val="32"/>
          <w:szCs w:val="32"/>
          <w:lang w:eastAsia="zh-CN"/>
        </w:rPr>
        <w:t>涉及文旅、卫生、教育、市政设施等多个分析领域</w:t>
      </w:r>
      <w:r>
        <w:rPr>
          <w:rFonts w:hint="eastAsia" w:ascii="仿宋_GB2312" w:hAnsi="宋体" w:eastAsia="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首次实现以街乡镇为主体自行开展成本绩效分析全覆盖，</w:t>
      </w:r>
      <w:r>
        <w:rPr>
          <w:rFonts w:hint="eastAsia" w:ascii="仿宋_GB2312" w:hAnsi="仿宋_GB2312" w:eastAsia="仿宋_GB2312" w:cs="仿宋_GB2312"/>
          <w:sz w:val="32"/>
          <w:szCs w:val="32"/>
          <w:lang w:val="en-US" w:eastAsia="zh-CN"/>
        </w:rPr>
        <w:t>首次试点以区属部门为主体开展成本绩效分析。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sz w:val="32"/>
          <w:szCs w:val="32"/>
          <w:lang w:eastAsia="zh-CN"/>
        </w:rPr>
      </w:pPr>
      <w:r>
        <w:rPr>
          <w:rFonts w:hint="eastAsia" w:ascii="仿宋_GB2312" w:hAnsi="仿宋_GB2312" w:eastAsia="仿宋_GB2312" w:cs="仿宋_GB2312"/>
          <w:sz w:val="32"/>
          <w:szCs w:val="32"/>
          <w:lang w:val="en-US" w:eastAsia="zh-CN"/>
        </w:rPr>
        <w:t>四、提升预算绩效管理能力。积极组织分级分类预算绩效业务培训，切实提高区属部门预算绩效管理意识和管理水平，深入推进预算绩效管理工作规范化，严格第三方管理，积极促进预算绩效管理工作提质增效。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sz w:val="32"/>
          <w:szCs w:val="32"/>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w:t>
      </w:r>
      <w:r>
        <w:rPr>
          <w:rFonts w:hint="eastAsia" w:ascii="仿宋_GB2312" w:hAnsi="仿宋_GB2312" w:eastAsia="仿宋_GB2312" w:cs="仿宋_GB2312"/>
          <w:b w:val="0"/>
          <w:bCs w:val="0"/>
          <w:sz w:val="32"/>
          <w:szCs w:val="32"/>
          <w:lang w:eastAsia="zh-CN"/>
        </w:rPr>
        <w:t>丰台区</w:t>
      </w:r>
      <w:r>
        <w:rPr>
          <w:rFonts w:hint="eastAsia" w:ascii="仿宋_GB2312" w:hAnsi="仿宋_GB2312" w:eastAsia="仿宋_GB2312" w:cs="仿宋_GB2312"/>
          <w:b w:val="0"/>
          <w:bCs w:val="0"/>
          <w:sz w:val="32"/>
          <w:szCs w:val="32"/>
        </w:rPr>
        <w:t>财政支出绩效评价报告</w:t>
      </w:r>
    </w:p>
    <w:p>
      <w:pPr>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eastAsia="zh-CN"/>
        </w:rPr>
        <w:br w:type="page"/>
      </w:r>
    </w:p>
    <w:p>
      <w:pPr>
        <w:rPr>
          <w:rFonts w:hint="eastAsia" w:ascii="黑体" w:hAnsi="黑体" w:eastAsia="黑体" w:cs="黑体"/>
          <w:bCs/>
          <w:sz w:val="32"/>
          <w:szCs w:val="32"/>
          <w:lang w:val="zh-CN"/>
        </w:rPr>
      </w:pPr>
      <w:r>
        <w:rPr>
          <w:rFonts w:hint="eastAsia" w:ascii="黑体" w:hAnsi="黑体" w:eastAsia="黑体" w:cs="黑体"/>
          <w:bCs/>
          <w:sz w:val="32"/>
          <w:szCs w:val="32"/>
          <w:lang w:val="zh-CN"/>
        </w:rPr>
        <w:t>附件</w:t>
      </w: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pStyle w:val="2"/>
        <w:ind w:left="0" w:leftChars="0" w:firstLine="0" w:firstLineChars="0"/>
        <w:rPr>
          <w:rFonts w:hint="eastAsia"/>
          <w:lang w:val="zh-CN"/>
        </w:rPr>
      </w:pPr>
    </w:p>
    <w:p>
      <w:pPr>
        <w:jc w:val="center"/>
        <w:rPr>
          <w:rFonts w:hint="eastAsia" w:ascii="黑体" w:hAnsi="黑体" w:eastAsia="黑体" w:cs="黑体"/>
          <w:bCs/>
          <w:sz w:val="44"/>
          <w:szCs w:val="44"/>
          <w:lang w:val="zh-CN"/>
        </w:rPr>
      </w:pPr>
      <w:r>
        <w:rPr>
          <w:rFonts w:hint="eastAsia" w:ascii="黑体" w:hAnsi="黑体" w:eastAsia="黑体" w:cs="黑体"/>
          <w:bCs/>
          <w:sz w:val="44"/>
          <w:szCs w:val="44"/>
          <w:lang w:val="zh-CN"/>
        </w:rPr>
        <w:t>丰台区财政支出绩效评价报告</w:t>
      </w:r>
    </w:p>
    <w:p>
      <w:pPr>
        <w:pStyle w:val="2"/>
        <w:ind w:left="0" w:leftChars="0" w:firstLine="0" w:firstLineChars="0"/>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pStyle w:val="2"/>
        <w:ind w:left="0" w:leftChars="0" w:firstLine="0" w:firstLineChars="0"/>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rPr>
          <w:rFonts w:hint="eastAsia" w:ascii="仿宋_GB2312" w:hAnsi="仿宋_GB2312" w:eastAsia="仿宋_GB2312" w:cs="仿宋_GB2312"/>
          <w:bCs/>
          <w:sz w:val="32"/>
          <w:szCs w:val="32"/>
          <w:lang w:val="zh-CN"/>
        </w:rPr>
      </w:pPr>
    </w:p>
    <w:p>
      <w:pPr>
        <w:jc w:val="center"/>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丰台区财政局</w:t>
      </w:r>
    </w:p>
    <w:p>
      <w:pPr>
        <w:pStyle w:val="2"/>
        <w:ind w:left="0" w:leftChars="0" w:firstLine="0" w:firstLineChars="0"/>
        <w:jc w:val="center"/>
        <w:rPr>
          <w:rFonts w:hint="default" w:eastAsia="仿宋_GB2312"/>
          <w:lang w:val="en-US" w:eastAsia="zh-CN"/>
        </w:rPr>
      </w:pPr>
      <w:r>
        <w:rPr>
          <w:rFonts w:hint="eastAsia" w:ascii="楷体_GB2312" w:hAnsi="楷体_GB2312" w:eastAsia="楷体_GB2312" w:cs="楷体_GB2312"/>
          <w:bCs/>
          <w:sz w:val="32"/>
          <w:szCs w:val="32"/>
          <w:lang w:val="en-US" w:eastAsia="zh-CN"/>
        </w:rPr>
        <w:t>2025年8月</w:t>
      </w:r>
    </w:p>
    <w:p>
      <w:pPr>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br w:type="page"/>
      </w:r>
    </w:p>
    <w:p>
      <w:pPr>
        <w:pStyle w:val="2"/>
        <w:ind w:left="0" w:leftChars="0" w:firstLine="0" w:firstLineChars="0"/>
        <w:rPr>
          <w:rFonts w:hint="eastAsia" w:ascii="方正小标宋简体" w:hAnsi="Times New Roman" w:eastAsia="方正小标宋简体" w:cs="Times New Roman"/>
          <w:b w:val="0"/>
          <w:bCs w:val="0"/>
          <w:color w:val="auto"/>
          <w:kern w:val="0"/>
          <w:sz w:val="44"/>
          <w:szCs w:val="44"/>
          <w:lang w:val="zh-CN" w:eastAsia="zh-CN" w:bidi="ar-SA"/>
        </w:rPr>
      </w:pPr>
    </w:p>
    <w:p>
      <w:pPr>
        <w:pageBreakBefore w:val="0"/>
        <w:widowControl w:val="0"/>
        <w:tabs>
          <w:tab w:val="right" w:leader="dot" w:pos="8306"/>
        </w:tabs>
        <w:wordWrap/>
        <w:overflowPunct/>
        <w:topLinePunct w:val="0"/>
        <w:bidi w:val="0"/>
        <w:spacing w:line="560" w:lineRule="exact"/>
        <w:jc w:val="center"/>
        <w:rPr>
          <w:rFonts w:hint="eastAsia" w:ascii="方正小标宋简体" w:hAnsi="Times New Roman" w:eastAsia="方正小标宋简体" w:cs="Times New Roman"/>
          <w:b w:val="0"/>
          <w:bCs w:val="0"/>
          <w:color w:val="auto"/>
          <w:kern w:val="0"/>
          <w:sz w:val="44"/>
          <w:szCs w:val="44"/>
          <w:lang w:val="zh-CN" w:eastAsia="zh-CN" w:bidi="ar-SA"/>
        </w:rPr>
      </w:pPr>
      <w:r>
        <w:rPr>
          <w:rFonts w:hint="eastAsia" w:ascii="方正小标宋简体" w:hAnsi="Times New Roman" w:eastAsia="方正小标宋简体" w:cs="Times New Roman"/>
          <w:b w:val="0"/>
          <w:bCs w:val="0"/>
          <w:color w:val="auto"/>
          <w:kern w:val="0"/>
          <w:sz w:val="44"/>
          <w:szCs w:val="44"/>
          <w:lang w:val="zh-CN" w:eastAsia="zh-CN" w:bidi="ar-SA"/>
        </w:rPr>
        <w:t>目</w:t>
      </w:r>
      <w:r>
        <w:rPr>
          <w:rFonts w:hint="eastAsia" w:ascii="方正小标宋简体" w:hAnsi="Times New Roman" w:eastAsia="方正小标宋简体" w:cs="Times New Roman"/>
          <w:b w:val="0"/>
          <w:bCs w:val="0"/>
          <w:color w:val="auto"/>
          <w:kern w:val="0"/>
          <w:sz w:val="44"/>
          <w:szCs w:val="44"/>
          <w:lang w:val="en-US" w:eastAsia="zh-CN" w:bidi="ar-SA"/>
        </w:rPr>
        <w:t xml:space="preserve">  </w:t>
      </w:r>
      <w:r>
        <w:rPr>
          <w:rFonts w:hint="eastAsia" w:ascii="方正小标宋简体" w:hAnsi="Times New Roman" w:eastAsia="方正小标宋简体" w:cs="Times New Roman"/>
          <w:b w:val="0"/>
          <w:bCs w:val="0"/>
          <w:color w:val="auto"/>
          <w:kern w:val="0"/>
          <w:sz w:val="44"/>
          <w:szCs w:val="44"/>
          <w:lang w:val="zh-CN" w:eastAsia="zh-CN" w:bidi="ar-SA"/>
        </w:rPr>
        <w:t>录</w:t>
      </w:r>
    </w:p>
    <w:p>
      <w:pPr>
        <w:pStyle w:val="2"/>
        <w:ind w:left="0" w:leftChars="0" w:firstLine="0" w:firstLineChars="0"/>
        <w:rPr>
          <w:rFonts w:hint="eastAsia"/>
          <w:lang w:val="zh-CN" w:eastAsia="zh-CN"/>
        </w:rPr>
      </w:pPr>
    </w:p>
    <w:p>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640" w:hanging="640" w:hanging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zh-CN"/>
        </w:rPr>
        <w:t>一、北京市丰台区卫生健康委员会“直属公立医院绩效考核”项目绩效评价报告</w:t>
      </w:r>
      <w:r>
        <w:rPr>
          <w:rFonts w:hint="eastAsia" w:ascii="仿宋_GB2312" w:hAnsi="仿宋_GB2312" w:eastAsia="仿宋_GB2312" w:cs="仿宋_GB2312"/>
          <w:bCs/>
          <w:sz w:val="32"/>
          <w:szCs w:val="32"/>
          <w:lang w:val="zh-CN"/>
        </w:rPr>
        <w:tab/>
      </w:r>
      <w:r>
        <w:rPr>
          <w:rFonts w:hint="eastAsia" w:ascii="仿宋_GB2312" w:hAnsi="仿宋_GB2312" w:eastAsia="仿宋_GB2312" w:cs="仿宋_GB2312"/>
          <w:bCs/>
          <w:sz w:val="32"/>
          <w:szCs w:val="32"/>
          <w:lang w:val="en-US" w:eastAsia="zh-CN"/>
        </w:rPr>
        <w:t>1</w:t>
      </w:r>
    </w:p>
    <w:p>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640" w:hanging="640" w:hanging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zh-CN"/>
        </w:rPr>
        <w:t>二、北京市丰台区生态环境局地下水“双源”监管建设体系服务项目（二期）绩效评价报告</w:t>
      </w:r>
      <w:r>
        <w:rPr>
          <w:rFonts w:hint="eastAsia" w:ascii="仿宋_GB2312" w:hAnsi="仿宋_GB2312" w:eastAsia="仿宋_GB2312" w:cs="仿宋_GB2312"/>
          <w:bCs/>
          <w:sz w:val="32"/>
          <w:szCs w:val="32"/>
          <w:lang w:val="zh-CN"/>
        </w:rPr>
        <w:tab/>
      </w:r>
      <w:r>
        <w:rPr>
          <w:rFonts w:hint="eastAsia" w:ascii="仿宋_GB2312" w:hAnsi="仿宋_GB2312" w:eastAsia="仿宋_GB2312" w:cs="仿宋_GB2312"/>
          <w:bCs/>
          <w:sz w:val="32"/>
          <w:szCs w:val="32"/>
          <w:lang w:val="en-US" w:eastAsia="zh-CN"/>
        </w:rPr>
        <w:t>10</w:t>
      </w:r>
    </w:p>
    <w:p>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640" w:hanging="640" w:hangingChars="200"/>
        <w:jc w:val="both"/>
        <w:textAlignment w:val="auto"/>
        <w:rPr>
          <w:rFonts w:hint="default" w:ascii="仿宋_GB2312" w:hAnsi="仿宋_GB2312" w:eastAsia="仿宋_GB2312" w:cs="仿宋_GB2312"/>
          <w:b w:val="0"/>
          <w:bCs w:val="0"/>
          <w:kern w:val="44"/>
          <w:sz w:val="32"/>
          <w:szCs w:val="32"/>
          <w:highlight w:val="none"/>
          <w:lang w:val="en-US" w:eastAsia="zh-CN" w:bidi="ar-SA"/>
        </w:rPr>
      </w:pPr>
      <w:r>
        <w:rPr>
          <w:rFonts w:hint="eastAsia" w:ascii="仿宋_GB2312" w:hAnsi="仿宋_GB2312" w:eastAsia="仿宋_GB2312" w:cs="仿宋_GB2312"/>
          <w:b w:val="0"/>
          <w:bCs w:val="0"/>
          <w:kern w:val="44"/>
          <w:sz w:val="32"/>
          <w:szCs w:val="32"/>
          <w:highlight w:val="none"/>
          <w:lang w:val="zh-CN" w:eastAsia="zh-CN" w:bidi="ar-SA"/>
        </w:rPr>
        <w:fldChar w:fldCharType="begin"/>
      </w:r>
      <w:r>
        <w:rPr>
          <w:rFonts w:hint="eastAsia" w:ascii="仿宋_GB2312" w:hAnsi="仿宋_GB2312" w:eastAsia="仿宋_GB2312" w:cs="仿宋_GB2312"/>
          <w:b w:val="0"/>
          <w:bCs w:val="0"/>
          <w:kern w:val="44"/>
          <w:sz w:val="32"/>
          <w:szCs w:val="32"/>
          <w:highlight w:val="none"/>
          <w:lang w:val="zh-CN" w:eastAsia="zh-CN" w:bidi="ar-SA"/>
        </w:rPr>
        <w:instrText xml:space="preserve"> HYPERLINK \l _Toc16541 </w:instrText>
      </w:r>
      <w:r>
        <w:rPr>
          <w:rFonts w:hint="eastAsia" w:ascii="仿宋_GB2312" w:hAnsi="仿宋_GB2312" w:eastAsia="仿宋_GB2312" w:cs="仿宋_GB2312"/>
          <w:b w:val="0"/>
          <w:bCs w:val="0"/>
          <w:kern w:val="44"/>
          <w:sz w:val="32"/>
          <w:szCs w:val="32"/>
          <w:highlight w:val="none"/>
          <w:lang w:val="zh-CN" w:eastAsia="zh-CN" w:bidi="ar-SA"/>
        </w:rPr>
        <w:fldChar w:fldCharType="separate"/>
      </w:r>
      <w:r>
        <w:rPr>
          <w:rFonts w:hint="eastAsia" w:ascii="仿宋_GB2312" w:hAnsi="仿宋_GB2312" w:eastAsia="仿宋_GB2312" w:cs="仿宋_GB2312"/>
          <w:b w:val="0"/>
          <w:bCs w:val="0"/>
          <w:kern w:val="44"/>
          <w:sz w:val="32"/>
          <w:szCs w:val="32"/>
          <w:highlight w:val="none"/>
          <w:lang w:val="zh-CN" w:eastAsia="zh-CN" w:bidi="ar-SA"/>
        </w:rPr>
        <w:t>三</w:t>
      </w:r>
      <w:r>
        <w:rPr>
          <w:rFonts w:hint="eastAsia" w:ascii="仿宋_GB2312" w:hAnsi="仿宋_GB2312" w:eastAsia="仿宋_GB2312" w:cs="仿宋_GB2312"/>
          <w:b w:val="0"/>
          <w:bCs w:val="0"/>
          <w:kern w:val="44"/>
          <w:sz w:val="32"/>
          <w:szCs w:val="32"/>
          <w:highlight w:val="none"/>
          <w:lang w:val="en-US" w:eastAsia="zh-CN" w:bidi="ar-SA"/>
        </w:rPr>
        <w:t>、北京市丰台区住房和建设委员会东铁营棚户区改造和环境整治项目绩效评价报告</w:t>
      </w:r>
      <w:r>
        <w:rPr>
          <w:rFonts w:hint="eastAsia" w:ascii="仿宋_GB2312" w:hAnsi="仿宋_GB2312" w:eastAsia="仿宋_GB2312" w:cs="仿宋_GB2312"/>
          <w:b w:val="0"/>
          <w:bCs w:val="0"/>
          <w:kern w:val="44"/>
          <w:sz w:val="32"/>
          <w:szCs w:val="32"/>
          <w:highlight w:val="none"/>
          <w:lang w:val="en-US" w:eastAsia="zh-CN" w:bidi="ar-SA"/>
        </w:rPr>
        <w:tab/>
      </w:r>
      <w:r>
        <w:rPr>
          <w:rFonts w:hint="eastAsia" w:ascii="仿宋_GB2312" w:hAnsi="仿宋_GB2312" w:eastAsia="仿宋_GB2312" w:cs="仿宋_GB2312"/>
          <w:b w:val="0"/>
          <w:bCs w:val="0"/>
          <w:kern w:val="44"/>
          <w:sz w:val="32"/>
          <w:szCs w:val="32"/>
          <w:highlight w:val="none"/>
          <w:lang w:val="zh-CN" w:eastAsia="zh-CN" w:bidi="ar-SA"/>
        </w:rPr>
        <w:fldChar w:fldCharType="end"/>
      </w:r>
      <w:r>
        <w:rPr>
          <w:rFonts w:hint="eastAsia" w:ascii="仿宋_GB2312" w:hAnsi="仿宋_GB2312" w:eastAsia="仿宋_GB2312" w:cs="仿宋_GB2312"/>
          <w:b w:val="0"/>
          <w:bCs w:val="0"/>
          <w:kern w:val="44"/>
          <w:sz w:val="32"/>
          <w:szCs w:val="32"/>
          <w:highlight w:val="none"/>
          <w:lang w:val="en-US" w:eastAsia="zh-CN" w:bidi="ar-SA"/>
        </w:rPr>
        <w:t>22</w:t>
      </w:r>
    </w:p>
    <w:p>
      <w:pPr>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640" w:hanging="640" w:hangingChars="200"/>
        <w:jc w:val="both"/>
        <w:textAlignment w:val="auto"/>
        <w:rPr>
          <w:rFonts w:hint="default"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zh-CN" w:eastAsia="zh-CN" w:bidi="ar-SA"/>
        </w:rPr>
        <w:fldChar w:fldCharType="begin"/>
      </w:r>
      <w:r>
        <w:rPr>
          <w:rFonts w:hint="eastAsia" w:ascii="仿宋_GB2312" w:hAnsi="仿宋_GB2312" w:eastAsia="仿宋_GB2312" w:cs="仿宋_GB2312"/>
          <w:b w:val="0"/>
          <w:bCs w:val="0"/>
          <w:kern w:val="44"/>
          <w:sz w:val="32"/>
          <w:szCs w:val="32"/>
          <w:lang w:val="zh-CN" w:eastAsia="zh-CN" w:bidi="ar-SA"/>
        </w:rPr>
        <w:instrText xml:space="preserve"> HYPERLINK \l _Toc16541 </w:instrText>
      </w:r>
      <w:r>
        <w:rPr>
          <w:rFonts w:hint="eastAsia" w:ascii="仿宋_GB2312" w:hAnsi="仿宋_GB2312" w:eastAsia="仿宋_GB2312" w:cs="仿宋_GB2312"/>
          <w:b w:val="0"/>
          <w:bCs w:val="0"/>
          <w:kern w:val="44"/>
          <w:sz w:val="32"/>
          <w:szCs w:val="32"/>
          <w:lang w:val="zh-CN" w:eastAsia="zh-CN" w:bidi="ar-SA"/>
        </w:rPr>
        <w:fldChar w:fldCharType="separate"/>
      </w:r>
      <w:r>
        <w:rPr>
          <w:rFonts w:hint="eastAsia" w:ascii="仿宋_GB2312" w:hAnsi="仿宋_GB2312" w:eastAsia="仿宋_GB2312" w:cs="仿宋_GB2312"/>
          <w:b w:val="0"/>
          <w:bCs w:val="0"/>
          <w:kern w:val="44"/>
          <w:sz w:val="32"/>
          <w:szCs w:val="32"/>
          <w:lang w:val="zh-CN" w:eastAsia="zh-CN" w:bidi="ar-SA"/>
        </w:rPr>
        <w:t>四</w:t>
      </w:r>
      <w:r>
        <w:rPr>
          <w:rFonts w:hint="eastAsia" w:ascii="仿宋_GB2312" w:hAnsi="仿宋_GB2312" w:eastAsia="仿宋_GB2312" w:cs="仿宋_GB2312"/>
          <w:b w:val="0"/>
          <w:bCs w:val="0"/>
          <w:kern w:val="44"/>
          <w:sz w:val="32"/>
          <w:szCs w:val="32"/>
          <w:lang w:val="en-US" w:eastAsia="zh-CN" w:bidi="ar-SA"/>
        </w:rPr>
        <w:t>、北京丽泽金融商务区管理委员会丽泽金融商务区2023年重点区域综合整治提升项目绩效评价报告</w:t>
      </w:r>
      <w:r>
        <w:rPr>
          <w:rFonts w:hint="eastAsia" w:ascii="仿宋_GB2312" w:hAnsi="仿宋_GB2312" w:eastAsia="仿宋_GB2312" w:cs="仿宋_GB2312"/>
          <w:b w:val="0"/>
          <w:bCs w:val="0"/>
          <w:kern w:val="44"/>
          <w:sz w:val="32"/>
          <w:szCs w:val="32"/>
          <w:lang w:val="en-US" w:eastAsia="zh-CN" w:bidi="ar-SA"/>
        </w:rPr>
        <w:tab/>
      </w:r>
      <w:r>
        <w:rPr>
          <w:rFonts w:hint="eastAsia" w:ascii="仿宋_GB2312" w:hAnsi="仿宋_GB2312" w:eastAsia="仿宋_GB2312" w:cs="仿宋_GB2312"/>
          <w:b w:val="0"/>
          <w:bCs w:val="0"/>
          <w:kern w:val="44"/>
          <w:sz w:val="32"/>
          <w:szCs w:val="32"/>
          <w:lang w:val="zh-CN" w:eastAsia="zh-CN" w:bidi="ar-SA"/>
        </w:rPr>
        <w:fldChar w:fldCharType="end"/>
      </w:r>
      <w:r>
        <w:rPr>
          <w:rFonts w:hint="eastAsia" w:ascii="仿宋_GB2312" w:hAnsi="仿宋_GB2312" w:eastAsia="仿宋_GB2312" w:cs="仿宋_GB2312"/>
          <w:b w:val="0"/>
          <w:bCs w:val="0"/>
          <w:kern w:val="44"/>
          <w:sz w:val="32"/>
          <w:szCs w:val="32"/>
          <w:lang w:val="en-US" w:eastAsia="zh-CN" w:bidi="ar-SA"/>
        </w:rPr>
        <w:t>33</w:t>
      </w:r>
    </w:p>
    <w:p>
      <w:pPr>
        <w:rPr>
          <w:rFonts w:hint="eastAsia" w:ascii="仿宋_GB2312" w:hAnsi="宋体" w:eastAsia="仿宋_GB2312"/>
          <w:b w:val="0"/>
          <w:bCs w:val="0"/>
          <w:sz w:val="32"/>
          <w:szCs w:val="32"/>
          <w:lang w:eastAsia="zh-CN"/>
        </w:rPr>
      </w:pPr>
    </w:p>
    <w:p>
      <w:pPr>
        <w:spacing w:line="560" w:lineRule="exact"/>
        <w:ind w:firstLine="0" w:firstLineChars="0"/>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北京市丰台区卫生健康委员会“直属公立医院绩效考核”项目绩效评价报告</w:t>
      </w:r>
    </w:p>
    <w:p>
      <w:pPr>
        <w:widowControl w:val="0"/>
        <w:spacing w:afterLines="0" w:afterAutospacing="0" w:line="560" w:lineRule="exact"/>
        <w:ind w:firstLine="880" w:firstLineChars="200"/>
        <w:jc w:val="both"/>
        <w:rPr>
          <w:rFonts w:hint="eastAsia" w:ascii="方正小标宋简体" w:hAnsi="方正小标宋简体" w:eastAsia="方正小标宋简体" w:cs="方正小标宋简体"/>
          <w:kern w:val="2"/>
          <w:sz w:val="44"/>
          <w:szCs w:val="44"/>
          <w:lang w:val="en-US" w:eastAsia="zh-CN" w:bidi="ar-SA"/>
        </w:rPr>
      </w:pPr>
    </w:p>
    <w:p>
      <w:pPr>
        <w:spacing w:line="56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为进一步提高财政支出管理水平，检验财政支出预期目标实现程度，考核财政支出效率和综合效果，为以后年度财政资金安排提供重要依据，根据《中华人民共和国预算法》、《中共北京市委北京市人民政府关于全面实施预算绩效管理的实施意见》（京发〔2019〕12 号）、《丰台区预算绩效管理办法》（丰财绩效〔2020〕374 号）以及《北京市丰台区项目支出绩效评价管理办法》（丰财绩效〔2021〕2526 号）等相关文件要求，北京市丰台区财政局成立了绩效评价工作组，对北京市丰台区卫生健康委员会的“直属公立医院绩效考核”项目开展了绩效评价。该项目评价结果为86.88分。有关情况如下。</w:t>
      </w:r>
    </w:p>
    <w:p>
      <w:pPr>
        <w:spacing w:line="560" w:lineRule="exact"/>
        <w:ind w:firstLine="640" w:firstLineChars="200"/>
        <w:jc w:val="left"/>
        <w:rPr>
          <w:rFonts w:hint="eastAsia" w:ascii="黑体" w:hAnsi="黑体" w:eastAsia="黑体" w:cs="Times New Roman"/>
          <w:sz w:val="32"/>
        </w:rPr>
      </w:pPr>
      <w:r>
        <w:rPr>
          <w:rFonts w:hint="eastAsia" w:ascii="黑体" w:hAnsi="黑体" w:eastAsia="黑体" w:cs="Times New Roman"/>
          <w:sz w:val="32"/>
        </w:rPr>
        <w:t>一、项目基本情况</w:t>
      </w:r>
    </w:p>
    <w:p>
      <w:pPr>
        <w:spacing w:line="560" w:lineRule="exact"/>
        <w:ind w:firstLine="640" w:firstLineChars="200"/>
        <w:jc w:val="left"/>
        <w:rPr>
          <w:rFonts w:hint="eastAsia" w:ascii="楷体_GB2312" w:hAnsi="楷体_GB2312" w:eastAsia="楷体_GB2312" w:cs="Times New Roman"/>
          <w:sz w:val="32"/>
        </w:rPr>
      </w:pPr>
      <w:r>
        <w:rPr>
          <w:rFonts w:hint="eastAsia" w:ascii="楷体_GB2312" w:hAnsi="楷体_GB2312" w:eastAsia="楷体_GB2312" w:cs="Times New Roman"/>
          <w:sz w:val="32"/>
        </w:rPr>
        <w:t>（一）项目背景</w:t>
      </w:r>
    </w:p>
    <w:p>
      <w:pPr>
        <w:spacing w:line="560" w:lineRule="exact"/>
        <w:ind w:firstLine="640" w:firstLineChars="200"/>
        <w:jc w:val="left"/>
        <w:rPr>
          <w:rFonts w:hint="eastAsia" w:ascii="仿宋_GB2312" w:hAnsi="仿宋_GB2312" w:eastAsia="仿宋_GB2312" w:cs="Times New Roman"/>
          <w:sz w:val="32"/>
        </w:rPr>
      </w:pPr>
      <w:r>
        <w:rPr>
          <w:rFonts w:hint="eastAsia" w:ascii="仿宋_GB2312" w:hAnsi="仿宋_GB2312" w:eastAsia="仿宋_GB2312" w:cs="Times New Roman"/>
          <w:sz w:val="32"/>
        </w:rPr>
        <w:t>1.项目立项依据</w:t>
      </w:r>
    </w:p>
    <w:p>
      <w:pPr>
        <w:spacing w:line="560" w:lineRule="exact"/>
        <w:ind w:firstLine="640" w:firstLineChars="200"/>
        <w:jc w:val="left"/>
        <w:rPr>
          <w:rFonts w:hint="eastAsia" w:ascii="仿宋_GB2312" w:hAnsi="仿宋_GB2312" w:eastAsia="仿宋_GB2312" w:cs="Times New Roman"/>
          <w:sz w:val="32"/>
        </w:rPr>
      </w:pPr>
      <w:r>
        <w:rPr>
          <w:rFonts w:hint="eastAsia" w:ascii="仿宋_GB2312" w:hAnsi="仿宋_GB2312" w:eastAsia="仿宋_GB2312" w:cs="Times New Roman"/>
          <w:sz w:val="32"/>
        </w:rPr>
        <w:t>北京市丰台区卫生健康委员会（以下简称“区卫健委”）是区政府工作部门，为正处级，加挂北京市丰台区疾病预防控制局（简称区疾控局）牌子。区卫生健康委贯彻落实党中央关于卫生健康工作的方针政策、决策部署和市委、区委有关工作要求，把坚持党中央的集中统一领导落实到履行职责过程中。</w:t>
      </w:r>
    </w:p>
    <w:p>
      <w:pPr>
        <w:spacing w:line="560" w:lineRule="exact"/>
        <w:ind w:firstLine="640" w:firstLineChars="200"/>
        <w:jc w:val="left"/>
        <w:rPr>
          <w:rFonts w:hint="eastAsia" w:ascii="仿宋_GB2312" w:hAnsi="仿宋_GB2312" w:eastAsia="仿宋_GB2312" w:cs="Times New Roman"/>
          <w:sz w:val="32"/>
        </w:rPr>
      </w:pPr>
      <w:r>
        <w:rPr>
          <w:rFonts w:hint="eastAsia" w:ascii="仿宋_GB2312" w:hAnsi="仿宋_GB2312" w:eastAsia="仿宋_GB2312" w:cs="Times New Roman"/>
          <w:sz w:val="32"/>
        </w:rPr>
        <w:t>开展公立医院绩效考核工作是推动公立医院实现高质量发展的关键手段，是推动卫生健康事业发展的重要举措。从政策导向上，国务院办公厅印发的《关于加强三级公立医院绩效考核工作的意见》等一系列文件中明确提出，要求建立以公益性为导向的考核评价机制，引导公立医院落实功能定位，提高医疗服务质量和效率，推进分级诊疗制度建设，为人民群众提供高质量的医疗服务。通过绩效考核，可以引导医院从规模扩张型向质量效益型转变，从粗放管理向精细化管理转型，持续优化医疗服务流程，改善患者就医体验。从医院发展上，开展绩效考核工作，有利于医院通过绩效考核体系全面了解本单位医疗质量、运营效率、持续发展、公立医院高质量发展、满意度评价等内容，对于提升医疗服务质量和效率、促进优质医疗资源扩容和区域均衡布局、加强医院内部管理、提高医院公益性等方面具有重要作用。</w:t>
      </w:r>
    </w:p>
    <w:p>
      <w:pPr>
        <w:spacing w:line="560" w:lineRule="exact"/>
        <w:ind w:firstLine="640" w:firstLineChars="200"/>
        <w:jc w:val="left"/>
        <w:rPr>
          <w:rFonts w:hint="eastAsia" w:ascii="仿宋_GB2312" w:hAnsi="仿宋_GB2312" w:eastAsia="仿宋_GB2312" w:cs="Times New Roman"/>
          <w:sz w:val="32"/>
        </w:rPr>
      </w:pPr>
      <w:r>
        <w:rPr>
          <w:rFonts w:hint="eastAsia" w:ascii="仿宋_GB2312" w:hAnsi="仿宋_GB2312" w:eastAsia="仿宋_GB2312" w:cs="Times New Roman"/>
          <w:sz w:val="32"/>
        </w:rPr>
        <w:t>2.项目实施主体</w:t>
      </w:r>
    </w:p>
    <w:p>
      <w:pPr>
        <w:spacing w:line="560" w:lineRule="exact"/>
        <w:ind w:firstLine="640" w:firstLineChars="200"/>
        <w:jc w:val="left"/>
        <w:rPr>
          <w:rFonts w:ascii="仿宋_GB2312" w:hAnsi="仿宋_GB2312" w:eastAsia="仿宋_GB2312" w:cs="Times New Roman"/>
          <w:sz w:val="32"/>
        </w:rPr>
      </w:pPr>
      <w:r>
        <w:rPr>
          <w:rFonts w:hint="eastAsia" w:ascii="仿宋_GB2312" w:hAnsi="仿宋_GB2312" w:eastAsia="仿宋_GB2312" w:cs="Times New Roman"/>
          <w:sz w:val="32"/>
        </w:rPr>
        <w:t>该项目的实施主体为北京市丰台区卫生健康委员会。</w:t>
      </w:r>
    </w:p>
    <w:p>
      <w:pPr>
        <w:spacing w:line="560" w:lineRule="exact"/>
        <w:ind w:firstLine="640" w:firstLineChars="200"/>
        <w:jc w:val="left"/>
        <w:rPr>
          <w:rFonts w:hint="eastAsia" w:ascii="楷体_GB2312" w:hAnsi="楷体_GB2312" w:eastAsia="楷体_GB2312" w:cs="Times New Roman"/>
          <w:sz w:val="32"/>
        </w:rPr>
      </w:pPr>
      <w:r>
        <w:rPr>
          <w:rFonts w:hint="eastAsia" w:ascii="楷体_GB2312" w:hAnsi="楷体_GB2312" w:eastAsia="楷体_GB2312" w:cs="Times New Roman"/>
          <w:sz w:val="32"/>
        </w:rPr>
        <w:t>（二）项目主要内容及目标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rPr>
      </w:pPr>
      <w:r>
        <w:rPr>
          <w:rFonts w:hint="eastAsia" w:ascii="仿宋_GB2312" w:hAnsi="仿宋_GB2312" w:eastAsia="仿宋_GB2312" w:cs="Times New Roman"/>
          <w:sz w:val="32"/>
        </w:rPr>
        <w:t>1.项目主要内容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日常考核。结合区卫健委各科室年度重点工作要求，促进医院完成重点工程、安全生产、医院周边交通拥堵整治、科研教育、依法依规职业、分级诊疗、接诉即办、院前急救等工作内容。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医疗质量。促进医院提高医疗服务质量，主要评价医疗功能定位、合理用药、医疗质量与安全等内容。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运营效率。促进提高医院精细化管理和成本控制能力，主要考核病例组合指数、平均住院日、财务管理、费用管理等内容。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持续发展。促进医院在人才和学科等方面可持续发展，主要考核人才梯队合理性、学科建设以及信用建设等内容。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公立医院高质量发展。促进公立医院高质量发展，主要考核智慧医院建设成效、三级医院普通门诊规模等内容。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满意度评价。促进医院改善医疗服务、关注医院职工对医院发展及工作内容的态度和看法，主要考核患者和职工满意度等内容。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差异化指标。促进医院在各自不同功能定位方向中提高医疗服务质量和服务能力，完成辖区内不同的管理和医疗工作。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加分项。对承担国内外援助，获得市、区级荣誉，承担结核病定点医院、卡介苗补种、牙防等工作任务，接诉即办工作、重点专科建设等进行考核。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负性事件。对发生严重违法违纪问题、重大事故、数据造假等问题进行惩罚，取消评优评先资格，从总得分中直接扣除分数。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rPr>
      </w:pPr>
      <w:r>
        <w:rPr>
          <w:rFonts w:hint="eastAsia" w:ascii="仿宋_GB2312" w:hAnsi="仿宋_GB2312" w:eastAsia="仿宋_GB2312" w:cs="Times New Roman"/>
          <w:sz w:val="32"/>
        </w:rPr>
        <w:t>2.项目绩效年度目标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研究设定科学的综合绩效考核指标体系，以绩效考核为核心，促进丰台区直属公立医院建立科学规范的收入分配机制。推动落实国家和北京市公立医院综合改革任务。巩固医药分开改革成果，完善公立医院运行新机制。实施医耗联动综合改革，完善医疗机构补偿机制，提升医务人员技术劳动价值，加强公益性，破除逐利性，建立健全现代医院管理制度，分级诊疗制度，改善就医秩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Times New Roman"/>
          <w:sz w:val="32"/>
        </w:rPr>
      </w:pPr>
      <w:r>
        <w:rPr>
          <w:rFonts w:hint="eastAsia" w:ascii="楷体_GB2312" w:hAnsi="楷体_GB2312" w:eastAsia="楷体_GB2312" w:cs="Times New Roman"/>
          <w:sz w:val="32"/>
        </w:rPr>
        <w:t>项目资金情况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直属公立医院绩效考核项目财政预算批复1500万元，资金实际到位1415.35万元，资金实际使用1415.35万元。全部用于发放6家区属医院绩效考核奖励，其中：丰台医院补助215.00万元，丰台中西医结合医院补助217.85万元，丰台区中医医院补助254.50万元，丰台康复医院补助252.65万元，丰台区妇幼保健院补助231.95万元，丰台区心理卫生中心补助243.40万元。该项目资金截至2024年12月底，6家区属医院已全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imes New Roman"/>
          <w:sz w:val="32"/>
        </w:rPr>
      </w:pPr>
      <w:r>
        <w:rPr>
          <w:rFonts w:hint="eastAsia" w:ascii="黑体" w:hAnsi="黑体" w:eastAsia="黑体" w:cs="Times New Roman"/>
          <w:sz w:val="32"/>
        </w:rPr>
        <w:t>二、绩效评价情况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Times New Roman"/>
          <w:sz w:val="32"/>
        </w:rPr>
      </w:pPr>
      <w:r>
        <w:rPr>
          <w:rFonts w:hint="eastAsia" w:ascii="楷体_GB2312" w:hAnsi="楷体_GB2312" w:eastAsia="楷体_GB2312" w:cs="Times New Roman"/>
          <w:sz w:val="32"/>
        </w:rPr>
        <w:t>（一）绩效评价方法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rPr>
      </w:pPr>
      <w:r>
        <w:rPr>
          <w:rFonts w:hint="eastAsia" w:ascii="仿宋_GB2312" w:hAnsi="仿宋_GB2312" w:eastAsia="仿宋_GB2312" w:cs="Times New Roman"/>
          <w:sz w:val="32"/>
        </w:rPr>
        <w:t>本次绩效评价遵循“客观、公正、科学、规范”的原则，结合项目的特点，采用</w:t>
      </w:r>
      <w:r>
        <w:rPr>
          <w:rFonts w:hint="eastAsia" w:ascii="仿宋_GB2312" w:hAnsi="仿宋_GB2312" w:eastAsia="仿宋_GB2312" w:cs="仿宋_GB2312"/>
          <w:sz w:val="32"/>
          <w:szCs w:val="32"/>
        </w:rPr>
        <w:t>成本效益分析法、比较法、因素分析法、最低成本法、公众评判法、标杆管理法</w:t>
      </w:r>
      <w:r>
        <w:rPr>
          <w:rFonts w:hint="eastAsia" w:ascii="仿宋_GB2312" w:hAnsi="仿宋_GB2312" w:eastAsia="仿宋_GB2312" w:cs="Times New Roman"/>
          <w:sz w:val="32"/>
        </w:rPr>
        <w:t>等方法，定性与定量相结合，从决策管理、过程管理、项目产出、项目效益4 个方面对本项目开展绩效评价。绩效评价指标体系详见附件。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Times New Roman"/>
          <w:sz w:val="32"/>
        </w:rPr>
      </w:pPr>
      <w:r>
        <w:rPr>
          <w:rFonts w:hint="eastAsia" w:ascii="楷体_GB2312" w:hAnsi="楷体_GB2312" w:eastAsia="楷体_GB2312" w:cs="Times New Roman"/>
          <w:sz w:val="32"/>
        </w:rPr>
        <w:t>（二）绩效评价结果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rPr>
      </w:pPr>
      <w:r>
        <w:rPr>
          <w:rFonts w:hint="eastAsia" w:ascii="仿宋_GB2312" w:hAnsi="仿宋_GB2312" w:eastAsia="仿宋_GB2312" w:cs="Times New Roman"/>
          <w:sz w:val="32"/>
        </w:rPr>
        <w:t>经专家评议，该项目综合评价得分86.88分，绩效级别评定为“良”。其中：项目决策得分8.10分、项目过程得分18.08分、项目产出得分37.70分、项目效益得分23.00分。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rPr>
      </w:pPr>
      <w:r>
        <w:rPr>
          <w:rFonts w:hint="eastAsia" w:ascii="仿宋_GB2312" w:hAnsi="仿宋_GB2312" w:eastAsia="仿宋_GB2312" w:cs="Times New Roman"/>
          <w:sz w:val="32"/>
        </w:rPr>
        <w:t>评价结论：该项目立项依据充分，程序较为规范。项目实施、管理过程较为规范。需要改进的是：应根据绩效评价的要求，进一步完善和规范相关材料，完善细化绩效目标和绩效指标，提高绩效管理水平，使绩效考评依据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imes New Roman"/>
          <w:sz w:val="32"/>
        </w:rPr>
      </w:pPr>
      <w:r>
        <w:rPr>
          <w:rFonts w:hint="eastAsia" w:ascii="黑体" w:hAnsi="黑体" w:eastAsia="黑体" w:cs="Times New Roman"/>
          <w:sz w:val="32"/>
        </w:rPr>
        <w:t>三、项目产出及绩效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Times New Roman"/>
          <w:sz w:val="32"/>
        </w:rPr>
      </w:pPr>
      <w:r>
        <w:rPr>
          <w:rFonts w:hint="eastAsia" w:ascii="楷体_GB2312" w:hAnsi="楷体_GB2312" w:eastAsia="楷体_GB2312" w:cs="Times New Roman"/>
          <w:sz w:val="32"/>
        </w:rPr>
        <w:t>（一）项目产出情况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0" w:name="_Toc29698"/>
      <w:r>
        <w:rPr>
          <w:rFonts w:hint="eastAsia" w:ascii="仿宋_GB2312" w:hAnsi="仿宋_GB2312" w:eastAsia="仿宋_GB2312" w:cs="仿宋_GB2312"/>
          <w:b/>
          <w:bCs/>
          <w:sz w:val="32"/>
          <w:szCs w:val="32"/>
        </w:rPr>
        <w:t>1.产出数量</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该项目的绩效目标申报表，产出数量指标为“考核单位数量=6家”。此项目实质是一个补贴项目，但数量指标设置为“考核单位数量”，与补贴使用关系不大，设置不够合理。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1" w:name="_Toc7014"/>
      <w:r>
        <w:rPr>
          <w:rFonts w:hint="eastAsia" w:ascii="仿宋_GB2312" w:hAnsi="仿宋_GB2312" w:eastAsia="仿宋_GB2312" w:cs="仿宋_GB2312"/>
          <w:b/>
          <w:bCs/>
          <w:sz w:val="32"/>
          <w:szCs w:val="32"/>
        </w:rPr>
        <w:t>2.产出质量</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的绩效目标申报表，产出质量指标为“绩效考核完成率=100%”。该项目2024年已全部完成了相关绩效考核工作。但该项目质量设置不够合理和具体，仅就绩效考核完成情况不足以体现产出质量的好坏，未针对项目实际情况设置指标，项目的可衡量性不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2" w:name="_Toc9670"/>
      <w:r>
        <w:rPr>
          <w:rFonts w:hint="eastAsia" w:ascii="仿宋_GB2312" w:hAnsi="仿宋_GB2312" w:eastAsia="仿宋_GB2312" w:cs="仿宋_GB2312"/>
          <w:b/>
          <w:bCs/>
          <w:sz w:val="32"/>
          <w:szCs w:val="32"/>
        </w:rPr>
        <w:t>3.产出时效</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的绩效目标申报表，产出时效指标为“完成时间≤11月”。项目完成时效性不足，项目单位对各医院的绩效考核结果2024年11月通过主任办公会决议。项目整体时间安排不够合理，考核工作进度偏慢，未给后期预算执行留出充足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3" w:name="_Toc12912"/>
      <w:r>
        <w:rPr>
          <w:rFonts w:hint="eastAsia" w:ascii="仿宋_GB2312" w:hAnsi="仿宋_GB2312" w:eastAsia="仿宋_GB2312" w:cs="仿宋_GB2312"/>
          <w:b/>
          <w:bCs/>
          <w:sz w:val="32"/>
          <w:szCs w:val="32"/>
        </w:rPr>
        <w:t>4.产出成本</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该项目的绩效目标申报表，产出</w:t>
      </w:r>
      <w:r>
        <w:rPr>
          <w:rFonts w:ascii="仿宋_GB2312" w:hAnsi="仿宋_GB2312" w:eastAsia="仿宋_GB2312" w:cs="仿宋_GB2312"/>
          <w:sz w:val="32"/>
          <w:szCs w:val="32"/>
        </w:rPr>
        <w:t>成本指标</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ab/>
      </w:r>
      <w:r>
        <w:rPr>
          <w:rFonts w:ascii="仿宋_GB2312" w:hAnsi="仿宋_GB2312" w:eastAsia="仿宋_GB2312" w:cs="仿宋_GB2312"/>
          <w:sz w:val="32"/>
          <w:szCs w:val="32"/>
        </w:rPr>
        <w:t>项目总成本≤1500万元</w:t>
      </w:r>
      <w:r>
        <w:rPr>
          <w:rFonts w:hint="eastAsia" w:ascii="仿宋_GB2312" w:hAnsi="仿宋_GB2312" w:eastAsia="仿宋_GB2312" w:cs="仿宋_GB2312"/>
          <w:sz w:val="32"/>
          <w:szCs w:val="32"/>
        </w:rPr>
        <w:t>”。本项目实际支出1415.35万元，其中：丰台医院补助215.00万元，丰台中西医结合医院补助217.85万元，丰台区中医医院补助254.50万元，丰台康复医院补助252.65万元，丰台区妇幼保健院补助231.95万元，丰台区心理卫生中心补助243.40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Times New Roman"/>
          <w:sz w:val="32"/>
        </w:rPr>
      </w:pPr>
      <w:r>
        <w:rPr>
          <w:rFonts w:hint="eastAsia" w:ascii="楷体_GB2312" w:hAnsi="楷体_GB2312" w:eastAsia="楷体_GB2312" w:cs="Times New Roman"/>
          <w:sz w:val="32"/>
        </w:rPr>
        <w:t>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的绩效目标申报表，社会效益指标为“绩效考核结果，定性为良，内容为推动落实国家和北京市公立医院综合改革任务。巩固医药分开改革成果，完善公立医院运行新机制。实施医耗联动综合改革，完善医疗机构补偿机制，提升医务人员技术劳动价值，加强公益性，破除逐利性；建立健全现代医院管理制度，分级诊疗制度，改善就医秩序。”社会效益完成情况与绩效指标对应关系不够清晰。绩效报告和支撑资料对于效益集中于“在国家及北京市公立医院绩效考核中的成绩逐年向好”和“区属医院在临床重点专科建设方面持续发力”。可持续影响指标为“绩效考核周期=1年，内容为推动医院绩效管理体系建设”。一方面，绩效目标设置不清晰。另一方面，对可持续影响的挖掘不深入，呈现不明确、不细化，难以确定产生了哪些可持续影响，以及影响的具体程度，满意度指标为“医院满意度≥95%”，指标设定不够全面，未多维度多层次制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imes New Roman"/>
          <w:sz w:val="32"/>
          <w:highlight w:val="none"/>
        </w:rPr>
      </w:pPr>
      <w:r>
        <w:rPr>
          <w:rFonts w:hint="eastAsia" w:ascii="黑体" w:hAnsi="黑体" w:eastAsia="黑体" w:cs="Times New Roman"/>
          <w:sz w:val="32"/>
          <w:highlight w:val="none"/>
        </w:rPr>
        <w:t>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目标不够清晰。项目名称为“直属公立医院绩效考核”，项目绩效目标为“通过研究设定科学的综合绩效考核指标体系，以绩效考核为核心，促进丰台区直属公立医院建立科学规范的收入分配机制。推动落实国家和北京市公立医院综合改革任务。巩固医药分开改革成果，完善公立医院运行新机制。实施医耗联动综合改革，完善医疗机构补偿机制，提升医务人员技术劳动价值，加强公益性，破除逐利性；建立健全现代医院管理制度，分级诊疗制度，改善就医秩序。”对医院的绩效考核指标虽然内容很多，但与项目绩效目标对应并不明确。“推动落实国家和北京市公立医院综合改革任务”中的改革任务有哪些，与考核指标和补贴支出内容的对应关系，也不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部分绩效指标合理性不足。该项目实质是一个补贴项目，但数量指标设置为“考核单位数量”，不够合理。效益指标与绩效目标完全相同，未进行细化量化，缺乏可衡量性。可持续影响指标设定为“绩效考核周期”，指标值为“1年”，内容为“推动医院绩效管理体系建设”，要素之间不衔接，且未细化量化，缺乏可衡量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.项目完成时效性不足。项目单位对各医院的绩效考核结果2024年11月通过主任办公会决议，项目整体时间安排不够合理，考核工作进度偏慢。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.项目可持续影响指标完成情况不清晰。一方面，绩效目标设置不清晰。另一方面，对可持续影响的挖掘不深入，呈现不明确、不细化，难以确定产生了哪些可持续影响，以及影响的具体程度。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Times New Roman"/>
          <w:sz w:val="32"/>
          <w:highlight w:val="none"/>
        </w:rPr>
      </w:pPr>
      <w:r>
        <w:rPr>
          <w:rFonts w:ascii="黑体" w:hAnsi="黑体" w:eastAsia="黑体" w:cs="Times New Roman"/>
          <w:sz w:val="32"/>
          <w:highlight w:val="none"/>
        </w:rPr>
        <w:t>五、相关建议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完善绩效指标</w:t>
      </w:r>
      <w:r>
        <w:rPr>
          <w:rFonts w:hint="eastAsia" w:ascii="仿宋_GB2312" w:hAnsi="仿宋_GB2312" w:eastAsia="仿宋_GB2312" w:cs="仿宋_GB2312"/>
          <w:sz w:val="32"/>
          <w:szCs w:val="32"/>
        </w:rPr>
        <w:t>，随着对医院监管工作中心的调整，以及本单位工作重点和工作内容的变化，及时调整项目目标，在此基础上设计和完善项目内容、项目程序、项目组织、项目工作要求等，并保证项目名称、项目目标、项目内容的一致性和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高预算绩效意识，加强预算绩效管理，注重绩效目标的设定和绩效指标的细化。绩效目标应与项目目标、工作重点等保持衔接，并在此基础上细化绩效指标。绩效指标值设定应当在考虑以前年度情况的基础上，根据新的发展变化进行科学测算。社会效益指标和可持续影响指标应进一步细化量化，做到可衡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加快绩效考核</w:t>
      </w:r>
      <w:r>
        <w:rPr>
          <w:rFonts w:hint="eastAsia" w:ascii="仿宋_GB2312" w:hAnsi="仿宋_GB2312" w:eastAsia="仿宋_GB2312" w:cs="仿宋_GB2312"/>
          <w:sz w:val="32"/>
          <w:szCs w:val="32"/>
        </w:rPr>
        <w:t>进度。</w:t>
      </w:r>
      <w:r>
        <w:rPr>
          <w:rFonts w:hint="eastAsia" w:ascii="仿宋_GB2312" w:hAnsi="仿宋_GB2312" w:eastAsia="仿宋_GB2312" w:cs="仿宋_GB2312"/>
          <w:sz w:val="32"/>
          <w:szCs w:val="32"/>
          <w:lang w:eastAsia="zh-CN"/>
        </w:rPr>
        <w:t>区卫健委应加快</w:t>
      </w:r>
      <w:r>
        <w:rPr>
          <w:rFonts w:hint="eastAsia" w:ascii="仿宋_GB2312" w:hAnsi="仿宋_GB2312" w:eastAsia="仿宋_GB2312" w:cs="仿宋_GB2312"/>
          <w:sz w:val="32"/>
          <w:szCs w:val="32"/>
        </w:rPr>
        <w:t>对各医院的绩效考核</w:t>
      </w:r>
      <w:r>
        <w:rPr>
          <w:rFonts w:hint="eastAsia" w:ascii="仿宋_GB2312" w:hAnsi="仿宋_GB2312" w:eastAsia="仿宋_GB2312" w:cs="仿宋_GB2312"/>
          <w:sz w:val="32"/>
          <w:szCs w:val="32"/>
          <w:lang w:eastAsia="zh-CN"/>
        </w:rPr>
        <w:t>进程，</w:t>
      </w:r>
      <w:r>
        <w:rPr>
          <w:rFonts w:hint="eastAsia" w:ascii="仿宋_GB2312" w:hAnsi="仿宋_GB2312" w:eastAsia="仿宋_GB2312" w:cs="仿宋_GB2312"/>
          <w:sz w:val="32"/>
          <w:szCs w:val="32"/>
        </w:rPr>
        <w:t>为后期资金</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和预算执行留出更多时间。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进一步梳理项目能够达成的绩效，在完善绩效目标和绩效指标的同时，注重对绩效完成情况的总结和归纳。尤其对于社会效益和可持续影响等指标，应当对照设定的绩效目标认真梳理，逐项对应，并收集充足的支撑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附件：直属公立医院绩效考核项目绩效评价指标体系及评分情况表</w:t>
      </w:r>
    </w:p>
    <w:p>
      <w:pPr>
        <w:spacing w:line="560" w:lineRule="exact"/>
        <w:ind w:left="0" w:leftChars="0" w:firstLine="0" w:firstLineChars="0"/>
        <w:jc w:val="center"/>
        <w:rPr>
          <w:rFonts w:hint="eastAsia" w:ascii="黑体" w:hAnsi="黑体" w:eastAsia="黑体" w:cs="黑体"/>
          <w:sz w:val="32"/>
        </w:rPr>
      </w:pPr>
      <w:r>
        <w:rPr>
          <w:rFonts w:ascii="仿宋_GB2312" w:hAnsi="仿宋_GB2312" w:eastAsia="仿宋_GB2312" w:cs="仿宋_GB2312"/>
          <w:sz w:val="32"/>
        </w:rPr>
        <w:br w:type="page"/>
      </w:r>
      <w:r>
        <w:rPr>
          <w:rFonts w:hint="eastAsia" w:ascii="黑体" w:hAnsi="黑体" w:eastAsia="黑体" w:cs="黑体"/>
          <w:sz w:val="32"/>
        </w:rPr>
        <w:t>直属公立医院绩效考核项目绩效</w:t>
      </w:r>
    </w:p>
    <w:p>
      <w:pPr>
        <w:spacing w:line="560" w:lineRule="exact"/>
        <w:ind w:firstLine="0" w:firstLineChars="0"/>
        <w:jc w:val="center"/>
        <w:rPr>
          <w:rFonts w:hint="eastAsia" w:ascii="黑体" w:hAnsi="黑体" w:eastAsia="黑体" w:cs="黑体"/>
          <w:sz w:val="32"/>
        </w:rPr>
      </w:pPr>
      <w:r>
        <w:rPr>
          <w:rFonts w:hint="eastAsia" w:ascii="黑体" w:hAnsi="黑体" w:eastAsia="黑体" w:cs="黑体"/>
          <w:sz w:val="32"/>
        </w:rPr>
        <w:t>评价指标体系及评分情况表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95"/>
        <w:gridCol w:w="2295"/>
        <w:gridCol w:w="147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一级指标</w:t>
            </w:r>
          </w:p>
        </w:tc>
        <w:tc>
          <w:tcPr>
            <w:tcW w:w="1695"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二级指标</w:t>
            </w:r>
          </w:p>
        </w:tc>
        <w:tc>
          <w:tcPr>
            <w:tcW w:w="2295"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三级指标</w:t>
            </w:r>
          </w:p>
        </w:tc>
        <w:tc>
          <w:tcPr>
            <w:tcW w:w="1470"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分值</w:t>
            </w:r>
          </w:p>
        </w:tc>
        <w:tc>
          <w:tcPr>
            <w:tcW w:w="1552"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决策</w:t>
            </w: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项目立项</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立项依据充分性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1.5</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立项程序规范性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1.5</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绩效目标</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绩效目标合理性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2</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绩效指标明确性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2</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资金投入</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预算编制科学性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1.5</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资金分配合理性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1.5</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过程</w:t>
            </w: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资金管理</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资金到位率</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5</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预算执行率</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3</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资金使用合规性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4</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组织实施</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管理制度健全性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4</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制度执行有效性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4</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产出</w:t>
            </w:r>
          </w:p>
        </w:tc>
        <w:tc>
          <w:tcPr>
            <w:tcW w:w="16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产出数量</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实际完成率</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产出质量</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质量达标率</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产出时效</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完成及时性</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产出成本</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成本节约率</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效益</w:t>
            </w:r>
          </w:p>
        </w:tc>
        <w:tc>
          <w:tcPr>
            <w:tcW w:w="1695" w:type="dxa"/>
            <w:vMerge w:val="restart"/>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项目效益</w:t>
            </w: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实施效益</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20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1695" w:type="dxa"/>
            <w:vMerge w:val="continue"/>
            <w:noWrap w:val="0"/>
            <w:vAlign w:val="center"/>
          </w:tcPr>
          <w:p>
            <w:pPr>
              <w:spacing w:line="560" w:lineRule="exact"/>
              <w:ind w:firstLine="480" w:firstLineChars="200"/>
              <w:jc w:val="center"/>
              <w:rPr>
                <w:rFonts w:hint="eastAsia" w:ascii="仿宋" w:hAnsi="仿宋" w:eastAsia="仿宋" w:cs="仿宋"/>
                <w:sz w:val="24"/>
              </w:rPr>
            </w:pPr>
          </w:p>
        </w:tc>
        <w:tc>
          <w:tcPr>
            <w:tcW w:w="2295"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满意度</w:t>
            </w:r>
          </w:p>
        </w:tc>
        <w:tc>
          <w:tcPr>
            <w:tcW w:w="1470" w:type="dxa"/>
            <w:noWrap w:val="0"/>
            <w:vAlign w:val="center"/>
          </w:tcPr>
          <w:p>
            <w:pPr>
              <w:spacing w:line="560" w:lineRule="exact"/>
              <w:ind w:firstLine="0" w:firstLineChars="0"/>
              <w:jc w:val="center"/>
              <w:rPr>
                <w:rFonts w:hint="eastAsia" w:ascii="仿宋" w:hAnsi="仿宋" w:eastAsia="仿宋" w:cs="仿宋"/>
                <w:sz w:val="24"/>
              </w:rPr>
            </w:pPr>
            <w:r>
              <w:rPr>
                <w:rFonts w:hint="eastAsia" w:ascii="仿宋" w:hAnsi="仿宋" w:eastAsia="仿宋" w:cs="仿宋"/>
                <w:sz w:val="24"/>
              </w:rPr>
              <w:t>10</w:t>
            </w:r>
          </w:p>
        </w:tc>
        <w:tc>
          <w:tcPr>
            <w:tcW w:w="1552" w:type="dxa"/>
            <w:noWrap w:val="0"/>
            <w:vAlign w:val="center"/>
          </w:tcPr>
          <w:p>
            <w:pPr>
              <w:spacing w:line="560" w:lineRule="exact"/>
              <w:ind w:firstLine="0" w:firstLineChars="0"/>
              <w:jc w:val="center"/>
              <w:rPr>
                <w:rFonts w:ascii="仿宋" w:hAnsi="仿宋" w:eastAsia="仿宋" w:cs="仿宋"/>
                <w:sz w:val="24"/>
              </w:rPr>
            </w:pPr>
            <w:r>
              <w:rPr>
                <w:rFonts w:hint="eastAsia" w:ascii="仿宋" w:hAnsi="仿宋" w:eastAsia="仿宋" w:cs="仿宋"/>
                <w:sz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0" w:type="dxa"/>
            <w:gridSpan w:val="3"/>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b/>
                <w:bCs/>
                <w:sz w:val="24"/>
              </w:rPr>
              <w:t>合计</w:t>
            </w:r>
          </w:p>
        </w:tc>
        <w:tc>
          <w:tcPr>
            <w:tcW w:w="1470" w:type="dxa"/>
            <w:noWrap w:val="0"/>
            <w:vAlign w:val="center"/>
          </w:tcPr>
          <w:p>
            <w:pPr>
              <w:spacing w:line="560" w:lineRule="exact"/>
              <w:ind w:firstLine="0" w:firstLineChars="0"/>
              <w:jc w:val="center"/>
              <w:rPr>
                <w:rFonts w:ascii="仿宋" w:hAnsi="仿宋" w:eastAsia="仿宋" w:cs="仿宋"/>
                <w:b/>
                <w:bCs/>
                <w:sz w:val="24"/>
              </w:rPr>
            </w:pPr>
            <w:r>
              <w:rPr>
                <w:rFonts w:hint="eastAsia" w:ascii="仿宋" w:hAnsi="仿宋" w:eastAsia="仿宋" w:cs="仿宋"/>
                <w:b/>
                <w:bCs/>
                <w:sz w:val="24"/>
              </w:rPr>
              <w:t>100</w:t>
            </w:r>
          </w:p>
        </w:tc>
        <w:tc>
          <w:tcPr>
            <w:tcW w:w="1552" w:type="dxa"/>
            <w:noWrap w:val="0"/>
            <w:vAlign w:val="center"/>
          </w:tcPr>
          <w:p>
            <w:pPr>
              <w:spacing w:line="560" w:lineRule="exact"/>
              <w:ind w:firstLine="0" w:firstLineChars="0"/>
              <w:jc w:val="center"/>
              <w:rPr>
                <w:rFonts w:hint="eastAsia" w:ascii="仿宋" w:hAnsi="仿宋" w:eastAsia="仿宋" w:cs="仿宋"/>
                <w:b/>
                <w:bCs/>
                <w:sz w:val="24"/>
              </w:rPr>
            </w:pPr>
            <w:r>
              <w:rPr>
                <w:rFonts w:hint="eastAsia" w:ascii="仿宋" w:hAnsi="仿宋" w:eastAsia="仿宋" w:cs="仿宋"/>
                <w:sz w:val="24"/>
              </w:rPr>
              <w:t>86.88</w:t>
            </w:r>
          </w:p>
        </w:tc>
      </w:tr>
    </w:tbl>
    <w:p>
      <w:pPr>
        <w:rPr>
          <w:rFonts w:hint="eastAsia" w:ascii="仿宋_GB2312" w:hAnsi="仿宋_GB2312" w:eastAsia="仿宋_GB2312" w:cs="仿宋_GB2312"/>
          <w:sz w:val="32"/>
        </w:rPr>
      </w:pPr>
      <w:r>
        <w:rPr>
          <w:rFonts w:hint="eastAsia" w:ascii="仿宋_GB2312" w:hAnsi="仿宋_GB2312" w:eastAsia="仿宋_GB2312" w:cs="仿宋_GB2312"/>
          <w:sz w:val="32"/>
        </w:rPr>
        <w:br w:type="page"/>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eastAsia="zh-CN"/>
        </w:rPr>
        <w:t>北京市丰台区生态环境局</w:t>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地下水“双源”监管建设体系服务项目</w:t>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eastAsia="zh-CN"/>
        </w:rPr>
        <w:t>（二期）</w:t>
      </w:r>
      <w:r>
        <w:rPr>
          <w:rFonts w:hint="eastAsia" w:ascii="方正小标宋简体" w:hAnsi="方正小标宋简体" w:eastAsia="方正小标宋简体" w:cs="方正小标宋简体"/>
          <w:sz w:val="44"/>
          <w:szCs w:val="44"/>
          <w:lang w:val="en-US" w:eastAsia="zh-CN"/>
        </w:rPr>
        <w:t>绩效评价报告</w:t>
      </w:r>
    </w:p>
    <w:p>
      <w:pPr>
        <w:widowControl w:val="0"/>
        <w:spacing w:afterLines="0" w:afterAutospacing="0" w:line="560" w:lineRule="exact"/>
        <w:ind w:firstLine="880" w:firstLineChars="200"/>
        <w:jc w:val="both"/>
        <w:rPr>
          <w:rFonts w:hint="eastAsia" w:ascii="方正小标宋简体" w:hAnsi="方正小标宋简体" w:eastAsia="方正小标宋简体" w:cs="方正小标宋简体"/>
          <w:kern w:val="2"/>
          <w:sz w:val="44"/>
          <w:szCs w:val="44"/>
          <w:lang w:val="en-US" w:eastAsia="zh-CN" w:bidi="ar-SA"/>
        </w:rPr>
      </w:pP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为进一步提高财政支出管理水平，检验财政支出预期目标实现程度，考核财政支出效率和综合效果，为以后年度财政资金安排提供重要依据，根据《中华人民共和国预算法》、《中共北京市委北京市人民政府关于全面实施预算绩效管理的实施意见》（京发〔2019〕12 号）、《丰台区预算绩效管理办法》（丰财绩效〔2020〕374 号）以及《北京市丰台区项目支出绩效评价管理办法》（丰财绩效〔2021〕2526 号）等相关文件要求，北京市丰台区财政局成立了绩效评价工作组，对</w:t>
      </w:r>
      <w:r>
        <w:rPr>
          <w:rFonts w:hint="eastAsia" w:ascii="FangSong_GB2312" w:hAnsi="FangSong_GB2312" w:eastAsia="FangSong_GB2312" w:cs="Times New Roman"/>
          <w:sz w:val="32"/>
          <w:szCs w:val="24"/>
          <w:u w:val="none"/>
          <w:lang w:eastAsia="zh-CN"/>
        </w:rPr>
        <w:t>北京市丰台区生态环境局</w:t>
      </w:r>
      <w:r>
        <w:rPr>
          <w:rFonts w:hint="eastAsia" w:ascii="FangSong_GB2312" w:hAnsi="FangSong_GB2312" w:eastAsia="FangSong_GB2312" w:cs="Times New Roman"/>
          <w:sz w:val="32"/>
        </w:rPr>
        <w:t>“</w:t>
      </w:r>
      <w:r>
        <w:rPr>
          <w:rFonts w:hint="eastAsia" w:ascii="FangSong_GB2312" w:hAnsi="FangSong_GB2312" w:eastAsia="FangSong_GB2312" w:cs="Times New Roman"/>
          <w:sz w:val="32"/>
          <w:szCs w:val="24"/>
          <w:u w:val="none"/>
          <w:lang w:eastAsia="zh-CN"/>
        </w:rPr>
        <w:t>地下水“双源”监管建设体系服务项目（二期）</w:t>
      </w:r>
      <w:r>
        <w:rPr>
          <w:rFonts w:hint="eastAsia" w:ascii="FangSong_GB2312" w:hAnsi="FangSong_GB2312" w:eastAsia="FangSong_GB2312" w:cs="Times New Roman"/>
          <w:sz w:val="32"/>
        </w:rPr>
        <w:t>”开展了绩效评价。该项目评价结果为</w:t>
      </w:r>
      <w:r>
        <w:rPr>
          <w:rFonts w:hint="eastAsia" w:ascii="FangSong_GB2312" w:hAnsi="FangSong_GB2312" w:eastAsia="FangSong_GB2312" w:cs="Times New Roman"/>
          <w:color w:val="auto"/>
          <w:sz w:val="32"/>
          <w:szCs w:val="24"/>
          <w:lang w:val="en-US" w:eastAsia="zh-CN"/>
        </w:rPr>
        <w:t>84.90</w:t>
      </w:r>
      <w:r>
        <w:rPr>
          <w:rFonts w:hint="eastAsia" w:ascii="FangSong_GB2312" w:hAnsi="FangSong_GB2312" w:eastAsia="FangSong_GB2312" w:cs="Times New Roman"/>
          <w:sz w:val="32"/>
        </w:rPr>
        <w:t>分。有关情况如下。</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一、项目基本情况</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（一）项目背景</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1.项目立项依据</w:t>
      </w:r>
    </w:p>
    <w:p>
      <w:pPr>
        <w:spacing w:beforeLines="0" w:afterLines="0" w:line="560" w:lineRule="exact"/>
        <w:ind w:firstLine="640" w:firstLineChars="200"/>
        <w:jc w:val="both"/>
        <w:rPr>
          <w:rFonts w:hint="eastAsia" w:ascii="FangSong_GB2312" w:hAnsi="FangSong_GB2312" w:eastAsia="FangSong_GB2312" w:cs="Times New Roman"/>
          <w:sz w:val="32"/>
          <w:szCs w:val="24"/>
        </w:rPr>
      </w:pPr>
      <w:r>
        <w:rPr>
          <w:rFonts w:hint="eastAsia" w:ascii="FangSong_GB2312" w:hAnsi="FangSong_GB2312" w:eastAsia="FangSong_GB2312" w:cs="Times New Roman"/>
          <w:sz w:val="32"/>
          <w:szCs w:val="24"/>
        </w:rPr>
        <w:t>为落实《中共中央国务院关于全面加强生态环境保护坚决打好污染防治攻坚战的意见》中提出的“深化地下水污染防治”要求，落实关于《关于印发地下水污染防治实施方案的通知》（环土壤〔2019〕25号）“分区管理、分类防控”工作思路，从“强基础、建体系、控风险、保安全”四</w:t>
      </w:r>
      <w:r>
        <w:rPr>
          <w:rFonts w:hint="eastAsia" w:ascii="FangSong_GB2312" w:hAnsi="FangSong_GB2312" w:eastAsia="FangSong_GB2312" w:cs="Times New Roman"/>
          <w:sz w:val="32"/>
          <w:szCs w:val="24"/>
          <w:lang w:val="en-US" w:eastAsia="zh-CN"/>
        </w:rPr>
        <w:t>个</w:t>
      </w:r>
      <w:r>
        <w:rPr>
          <w:rFonts w:hint="eastAsia" w:ascii="FangSong_GB2312" w:hAnsi="FangSong_GB2312" w:eastAsia="FangSong_GB2312" w:cs="Times New Roman"/>
          <w:sz w:val="32"/>
          <w:szCs w:val="24"/>
        </w:rPr>
        <w:t>方面加快监管基础能力建设，加强污染源源头防治和风险管控，2021年11月，生态环境部印发了《关于同意开展地下水污染防治试验区建设的通知》</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环办便函〔20</w:t>
      </w:r>
      <w:r>
        <w:rPr>
          <w:rFonts w:hint="eastAsia" w:ascii="FangSong_GB2312" w:hAnsi="FangSong_GB2312" w:eastAsia="FangSong_GB2312" w:cs="Times New Roman"/>
          <w:sz w:val="32"/>
          <w:szCs w:val="24"/>
          <w:lang w:val="en-US" w:eastAsia="zh-CN"/>
        </w:rPr>
        <w:t>21</w:t>
      </w:r>
      <w:r>
        <w:rPr>
          <w:rFonts w:hint="eastAsia" w:ascii="FangSong_GB2312" w:hAnsi="FangSong_GB2312" w:eastAsia="FangSong_GB2312" w:cs="Times New Roman"/>
          <w:sz w:val="32"/>
          <w:szCs w:val="24"/>
        </w:rPr>
        <w:t>〕540号</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，提出在北京市丰台区等21个市</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区</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建设地下水污染防治试验区试点，以点带面，推动地下水污染防治工作，探索可复制、可推广的地下水生态环境管理和技术模式。</w:t>
      </w:r>
    </w:p>
    <w:p>
      <w:pPr>
        <w:widowControl/>
        <w:spacing w:beforeLines="0" w:afterLines="0" w:line="560" w:lineRule="exact"/>
        <w:ind w:firstLine="640" w:firstLineChars="200"/>
        <w:jc w:val="both"/>
        <w:rPr>
          <w:rFonts w:hint="eastAsia" w:ascii="FangSong_GB2312" w:hAnsi="FangSong_GB2312" w:eastAsia="FangSong_GB2312" w:cs="Times New Roman"/>
          <w:bCs w:val="0"/>
          <w:color w:val="auto"/>
          <w:sz w:val="32"/>
          <w:szCs w:val="24"/>
          <w:lang w:val="en-US" w:eastAsia="zh-CN"/>
        </w:rPr>
      </w:pPr>
      <w:r>
        <w:rPr>
          <w:rFonts w:hint="eastAsia" w:ascii="FangSong_GB2312" w:hAnsi="FangSong_GB2312" w:eastAsia="FangSong_GB2312" w:cs="Times New Roman"/>
          <w:sz w:val="32"/>
          <w:szCs w:val="24"/>
        </w:rPr>
        <w:t>2021年12月</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lang w:val="en-US" w:eastAsia="zh-CN"/>
        </w:rPr>
        <w:t>北京市</w:t>
      </w:r>
      <w:r>
        <w:rPr>
          <w:rFonts w:hint="eastAsia" w:ascii="FangSong_GB2312" w:hAnsi="FangSong_GB2312" w:eastAsia="FangSong_GB2312" w:cs="Times New Roman"/>
          <w:sz w:val="32"/>
          <w:szCs w:val="24"/>
        </w:rPr>
        <w:t>丰台区人民政府</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kern w:val="2"/>
          <w:sz w:val="32"/>
          <w:szCs w:val="24"/>
          <w:lang w:val="en-US" w:eastAsia="zh-CN"/>
        </w:rPr>
        <w:t>以下简称“区政府”</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印发《北京市丰台区地下水污染防治试验区建设方案》（丰政发〔20</w:t>
      </w:r>
      <w:r>
        <w:rPr>
          <w:rFonts w:hint="eastAsia" w:ascii="FangSong_GB2312" w:hAnsi="FangSong_GB2312" w:eastAsia="FangSong_GB2312" w:cs="Times New Roman"/>
          <w:sz w:val="32"/>
          <w:szCs w:val="24"/>
          <w:lang w:val="en-US" w:eastAsia="zh-CN"/>
        </w:rPr>
        <w:t>21</w:t>
      </w:r>
      <w:r>
        <w:rPr>
          <w:rFonts w:hint="eastAsia" w:ascii="FangSong_GB2312" w:hAnsi="FangSong_GB2312" w:eastAsia="FangSong_GB2312" w:cs="Times New Roman"/>
          <w:sz w:val="32"/>
          <w:szCs w:val="24"/>
        </w:rPr>
        <w:t>〕12号）</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结合丰台区实际情况和建设方案要求，2022年区生态环境局申报并开展丰台区地下水</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双源</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监管体系建设项目</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一期</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以下简称“‘双源’一期项目”</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。“双源”一期项目的总体目标是开展试验区建设第一阶段</w:t>
      </w:r>
      <w:r>
        <w:rPr>
          <w:rFonts w:hint="eastAsia" w:ascii="FangSong_GB2312" w:hAnsi="FangSong_GB2312" w:eastAsia="FangSong_GB2312" w:cs="Times New Roman"/>
          <w:sz w:val="32"/>
          <w:szCs w:val="24"/>
          <w:lang w:val="en-US" w:eastAsia="zh-CN"/>
        </w:rPr>
        <w:t>的</w:t>
      </w:r>
      <w:r>
        <w:rPr>
          <w:rFonts w:hint="eastAsia" w:ascii="FangSong_GB2312" w:hAnsi="FangSong_GB2312" w:eastAsia="FangSong_GB2312" w:cs="Times New Roman"/>
          <w:sz w:val="32"/>
          <w:szCs w:val="24"/>
        </w:rPr>
        <w:t>基础调查工作，初步建立以“双源”管控为抓手的地下水污染防治监督监管体系。为提高</w:t>
      </w:r>
      <w:r>
        <w:rPr>
          <w:rFonts w:hint="eastAsia" w:ascii="FangSong_GB2312" w:hAnsi="FangSong_GB2312" w:eastAsia="FangSong_GB2312" w:cs="Times New Roman"/>
          <w:sz w:val="32"/>
          <w:szCs w:val="24"/>
          <w:lang w:val="en-US" w:eastAsia="zh-CN"/>
        </w:rPr>
        <w:t>丰台</w:t>
      </w:r>
      <w:r>
        <w:rPr>
          <w:rFonts w:hint="eastAsia" w:ascii="FangSong_GB2312" w:hAnsi="FangSong_GB2312" w:eastAsia="FangSong_GB2312" w:cs="Times New Roman"/>
          <w:sz w:val="32"/>
          <w:szCs w:val="24"/>
        </w:rPr>
        <w:t>区地下水环境监管能力，应对新形势下地下水环境问题，</w:t>
      </w:r>
      <w:r>
        <w:rPr>
          <w:rFonts w:hint="eastAsia" w:ascii="FangSong_GB2312" w:hAnsi="FangSong_GB2312" w:eastAsia="FangSong_GB2312" w:cs="Times New Roman"/>
          <w:sz w:val="32"/>
          <w:szCs w:val="24"/>
          <w:lang w:val="en-US" w:eastAsia="zh-CN"/>
        </w:rPr>
        <w:t>在</w:t>
      </w:r>
      <w:r>
        <w:rPr>
          <w:rFonts w:hint="eastAsia" w:ascii="FangSong_GB2312" w:hAnsi="FangSong_GB2312" w:eastAsia="FangSong_GB2312" w:cs="Times New Roman"/>
          <w:sz w:val="32"/>
          <w:szCs w:val="24"/>
          <w:shd w:val="clear" w:color="auto" w:fill="auto"/>
        </w:rPr>
        <w:t>采用“双源”一期项目收集的“双源”工作成果、监测井和监测数据</w:t>
      </w:r>
      <w:r>
        <w:rPr>
          <w:rFonts w:hint="eastAsia" w:ascii="FangSong_GB2312" w:hAnsi="FangSong_GB2312" w:eastAsia="FangSong_GB2312" w:cs="Times New Roman"/>
          <w:sz w:val="32"/>
          <w:szCs w:val="24"/>
          <w:shd w:val="clear" w:color="auto" w:fill="auto"/>
          <w:lang w:val="en-US" w:eastAsia="zh-CN"/>
        </w:rPr>
        <w:t>的基础上</w:t>
      </w:r>
      <w:r>
        <w:rPr>
          <w:rFonts w:hint="eastAsia" w:ascii="FangSong_GB2312" w:hAnsi="FangSong_GB2312" w:eastAsia="FangSong_GB2312" w:cs="Times New Roman"/>
          <w:sz w:val="32"/>
          <w:szCs w:val="24"/>
          <w:shd w:val="clear" w:color="auto" w:fill="auto"/>
          <w:lang w:eastAsia="zh-CN"/>
        </w:rPr>
        <w:t>，</w:t>
      </w:r>
      <w:r>
        <w:rPr>
          <w:rFonts w:hint="eastAsia" w:ascii="FangSong_GB2312" w:hAnsi="FangSong_GB2312" w:eastAsia="FangSong_GB2312" w:cs="Times New Roman"/>
          <w:bCs w:val="0"/>
          <w:color w:val="auto"/>
          <w:sz w:val="32"/>
          <w:szCs w:val="24"/>
          <w:lang w:val="en-US" w:eastAsia="zh-CN"/>
        </w:rPr>
        <w:t>区生态环境局向</w:t>
      </w:r>
      <w:r>
        <w:rPr>
          <w:rFonts w:hint="eastAsia" w:ascii="FangSong_GB2312" w:hAnsi="FangSong_GB2312" w:eastAsia="FangSong_GB2312" w:cs="Times New Roman"/>
          <w:kern w:val="2"/>
          <w:sz w:val="32"/>
          <w:szCs w:val="24"/>
          <w:lang w:val="en-US" w:eastAsia="zh-CN"/>
        </w:rPr>
        <w:t>区政府</w:t>
      </w:r>
      <w:r>
        <w:rPr>
          <w:rFonts w:hint="eastAsia" w:ascii="FangSong_GB2312" w:hAnsi="FangSong_GB2312" w:eastAsia="FangSong_GB2312" w:cs="Times New Roman"/>
          <w:bCs w:val="0"/>
          <w:color w:val="auto"/>
          <w:sz w:val="32"/>
          <w:szCs w:val="24"/>
          <w:lang w:val="en-US" w:eastAsia="zh-CN"/>
        </w:rPr>
        <w:t>提交了《关于申报丰台区地下水“双源”监管体系建设项目（二期）纳入中央生态环境资金项目储备库的请示》（丰环文〔2022〕160号）。</w:t>
      </w:r>
    </w:p>
    <w:p>
      <w:pPr>
        <w:widowControl/>
        <w:spacing w:beforeLines="0" w:afterLines="0" w:line="560" w:lineRule="exact"/>
        <w:ind w:firstLine="640" w:firstLineChars="200"/>
        <w:jc w:val="both"/>
        <w:rPr>
          <w:rFonts w:hint="eastAsia" w:ascii="FangSong_GB2312" w:hAnsi="FangSong_GB2312" w:eastAsia="FangSong_GB2312" w:cs="Times New Roman"/>
          <w:sz w:val="32"/>
          <w:szCs w:val="24"/>
        </w:rPr>
      </w:pPr>
      <w:r>
        <w:rPr>
          <w:rFonts w:hint="eastAsia" w:ascii="FangSong_GB2312" w:hAnsi="FangSong_GB2312" w:eastAsia="FangSong_GB2312" w:cs="Times New Roman"/>
          <w:bCs w:val="0"/>
          <w:color w:val="auto"/>
          <w:sz w:val="32"/>
          <w:szCs w:val="24"/>
          <w:lang w:val="en-US" w:eastAsia="zh-CN"/>
        </w:rPr>
        <w:t>2022年9月，</w:t>
      </w:r>
      <w:r>
        <w:rPr>
          <w:rFonts w:hint="eastAsia" w:ascii="FangSong_GB2312" w:hAnsi="FangSong_GB2312" w:eastAsia="FangSong_GB2312" w:cs="Times New Roman"/>
          <w:kern w:val="2"/>
          <w:sz w:val="32"/>
          <w:szCs w:val="24"/>
          <w:lang w:val="en-US" w:eastAsia="zh-CN"/>
        </w:rPr>
        <w:t>区政府</w:t>
      </w:r>
      <w:r>
        <w:rPr>
          <w:rFonts w:hint="eastAsia" w:ascii="FangSong_GB2312" w:hAnsi="FangSong_GB2312" w:eastAsia="FangSong_GB2312" w:cs="Times New Roman"/>
          <w:bCs w:val="0"/>
          <w:color w:val="auto"/>
          <w:sz w:val="32"/>
          <w:szCs w:val="24"/>
          <w:lang w:val="en-US" w:eastAsia="zh-CN"/>
        </w:rPr>
        <w:t>发布了《关于丰台区地下水“双源”监管体系建设项目（二期）实施方案的批复》（丰政函〔2022〕426号），</w:t>
      </w:r>
      <w:r>
        <w:rPr>
          <w:rFonts w:hint="eastAsia" w:ascii="FangSong_GB2312" w:hAnsi="FangSong_GB2312" w:eastAsia="FangSong_GB2312" w:cs="Times New Roman"/>
          <w:kern w:val="2"/>
          <w:sz w:val="32"/>
          <w:szCs w:val="24"/>
          <w:lang w:val="en-US" w:eastAsia="zh-CN"/>
        </w:rPr>
        <w:t>区政府</w:t>
      </w:r>
      <w:r>
        <w:rPr>
          <w:rFonts w:hint="eastAsia" w:ascii="FangSong_GB2312" w:hAnsi="FangSong_GB2312" w:eastAsia="FangSong_GB2312" w:cs="Times New Roman"/>
          <w:bCs w:val="0"/>
          <w:color w:val="auto"/>
          <w:sz w:val="32"/>
          <w:szCs w:val="24"/>
          <w:lang w:val="en-US" w:eastAsia="zh-CN"/>
        </w:rPr>
        <w:t>原则同意《丰台区地下水“双源”监管体系建设项目（二期）实施方案》。为此，</w:t>
      </w:r>
      <w:r>
        <w:rPr>
          <w:rFonts w:hint="eastAsia" w:ascii="FangSong_GB2312" w:hAnsi="FangSong_GB2312" w:eastAsia="FangSong_GB2312" w:cs="Times New Roman"/>
          <w:sz w:val="32"/>
          <w:szCs w:val="24"/>
          <w:lang w:eastAsia="zh-CN"/>
        </w:rPr>
        <w:t>区生态环境局</w:t>
      </w:r>
      <w:r>
        <w:rPr>
          <w:rFonts w:hint="eastAsia" w:ascii="FangSong_GB2312" w:hAnsi="FangSong_GB2312" w:eastAsia="FangSong_GB2312" w:cs="Times New Roman"/>
          <w:sz w:val="32"/>
          <w:szCs w:val="24"/>
          <w:lang w:val="en-US" w:eastAsia="zh-CN"/>
        </w:rPr>
        <w:t>于2023年5月</w:t>
      </w:r>
      <w:r>
        <w:rPr>
          <w:rFonts w:hint="eastAsia" w:ascii="FangSong_GB2312" w:hAnsi="FangSong_GB2312" w:eastAsia="FangSong_GB2312" w:cs="Times New Roman"/>
          <w:sz w:val="32"/>
          <w:szCs w:val="24"/>
        </w:rPr>
        <w:t>申</w:t>
      </w:r>
      <w:r>
        <w:rPr>
          <w:rFonts w:hint="eastAsia" w:ascii="FangSong_GB2312" w:hAnsi="FangSong_GB2312" w:eastAsia="FangSong_GB2312" w:cs="Times New Roman"/>
          <w:sz w:val="32"/>
          <w:szCs w:val="24"/>
          <w:shd w:val="clear" w:color="auto" w:fill="auto"/>
          <w:lang w:val="en-US" w:eastAsia="zh-CN"/>
        </w:rPr>
        <w:t>报实施</w:t>
      </w:r>
      <w:r>
        <w:rPr>
          <w:rFonts w:hint="eastAsia" w:ascii="FangSong_GB2312" w:hAnsi="FangSong_GB2312" w:eastAsia="FangSong_GB2312" w:cs="Times New Roman"/>
          <w:sz w:val="32"/>
          <w:szCs w:val="24"/>
          <w:lang w:eastAsia="zh-CN"/>
        </w:rPr>
        <w:t>地下水“双源”监管建设体系服务项目（二期）</w:t>
      </w:r>
      <w:r>
        <w:rPr>
          <w:rFonts w:hint="eastAsia" w:ascii="FangSong_GB2312" w:hAnsi="FangSong_GB2312" w:eastAsia="FangSong_GB2312" w:cs="Times New Roman"/>
          <w:sz w:val="32"/>
          <w:szCs w:val="24"/>
          <w:shd w:val="clear" w:color="auto" w:fill="auto"/>
        </w:rPr>
        <w:t>（以下简称“该项目”）。</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2.项目实施主体</w:t>
      </w:r>
    </w:p>
    <w:p>
      <w:pPr>
        <w:spacing w:beforeLines="0" w:afterLines="0" w:line="560" w:lineRule="exact"/>
        <w:ind w:firstLine="640" w:firstLineChars="200"/>
        <w:jc w:val="both"/>
        <w:rPr>
          <w:rFonts w:hint="eastAsia" w:ascii="FangSong_GB2312" w:hAnsi="FangSong_GB2312" w:eastAsia="FangSong_GB2312" w:cs="Times New Roman"/>
          <w:sz w:val="32"/>
          <w:lang w:val="en-US"/>
        </w:rPr>
      </w:pPr>
      <w:r>
        <w:rPr>
          <w:rFonts w:hint="eastAsia" w:ascii="FangSong_GB2312" w:hAnsi="FangSong_GB2312" w:eastAsia="FangSong_GB2312" w:cs="Times New Roman"/>
          <w:sz w:val="32"/>
        </w:rPr>
        <w:t>该项目的实施主体为</w:t>
      </w:r>
      <w:r>
        <w:rPr>
          <w:rFonts w:hint="eastAsia" w:ascii="FangSong_GB2312" w:hAnsi="FangSong_GB2312" w:eastAsia="FangSong_GB2312" w:cs="Times New Roman"/>
          <w:sz w:val="32"/>
          <w:szCs w:val="24"/>
          <w:u w:val="none"/>
          <w:lang w:eastAsia="zh-CN"/>
        </w:rPr>
        <w:t>北京市丰台区生态环境局</w:t>
      </w:r>
      <w:r>
        <w:rPr>
          <w:rFonts w:hint="eastAsia" w:ascii="FangSong_GB2312" w:hAnsi="FangSong_GB2312" w:eastAsia="FangSong_GB2312" w:cs="Times New Roman"/>
          <w:sz w:val="32"/>
          <w:lang w:val="en-US" w:eastAsia="zh-CN"/>
        </w:rPr>
        <w:t>。</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（二）项目主要内容及目标</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1.项目主要内容</w:t>
      </w:r>
    </w:p>
    <w:p>
      <w:pPr>
        <w:widowControl/>
        <w:spacing w:beforeLines="0" w:afterLines="0" w:line="560" w:lineRule="exact"/>
        <w:ind w:firstLine="640" w:firstLineChars="200"/>
        <w:jc w:val="both"/>
        <w:rPr>
          <w:rFonts w:hint="eastAsia" w:ascii="FangSong_GB2312" w:hAnsi="FangSong_GB2312" w:eastAsia="FangSong_GB2312" w:cs="Times New Roman"/>
          <w:bCs w:val="0"/>
          <w:color w:val="auto"/>
          <w:sz w:val="32"/>
          <w:szCs w:val="24"/>
          <w:lang w:val="en-US" w:eastAsia="zh-CN"/>
        </w:rPr>
      </w:pPr>
      <w:r>
        <w:rPr>
          <w:rFonts w:hint="eastAsia" w:ascii="FangSong_GB2312" w:hAnsi="FangSong_GB2312" w:eastAsia="FangSong_GB2312" w:cs="Times New Roman"/>
          <w:bCs w:val="0"/>
          <w:color w:val="auto"/>
          <w:sz w:val="32"/>
          <w:szCs w:val="24"/>
          <w:lang w:val="en-US" w:eastAsia="zh-CN"/>
        </w:rPr>
        <w:t>2023年9月，北京市丰台区科学技术和信息化局《关于对〈丰台区地下水“双源”监管体系建设项目（二期）技术立项评审的函〉的复函》，明确主要建设内容包含两个方面：一是建立地下水环境管理信息平台1套，二是开展地下水环境自动监测试点工程建设（包括 74 套多参数在线分析仪的采购、安装及供电、数据传输等配套设施的建设）。</w:t>
      </w:r>
    </w:p>
    <w:p>
      <w:pPr>
        <w:widowControl/>
        <w:numPr>
          <w:ilvl w:val="0"/>
          <w:numId w:val="0"/>
        </w:numPr>
        <w:spacing w:beforeLines="0" w:afterLines="0" w:line="560" w:lineRule="exact"/>
        <w:ind w:firstLine="640" w:firstLineChars="200"/>
        <w:jc w:val="both"/>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pPr>
      <w:r>
        <w:rPr>
          <w:rFonts w:hint="eastAsia" w:ascii="FangSong_GB2312" w:hAnsi="FangSong_GB2312" w:eastAsia="FangSong_GB2312" w:cs="Times New Roman"/>
          <w:bCs w:val="0"/>
          <w:color w:val="auto"/>
          <w:sz w:val="32"/>
          <w:szCs w:val="24"/>
          <w:lang w:val="en-US" w:eastAsia="zh-CN"/>
        </w:rPr>
        <w:t>2023年12月，区生态环境局通过北京市政府采购网发布</w:t>
      </w:r>
      <w:r>
        <w:rPr>
          <w:rFonts w:hint="eastAsia" w:ascii="FangSong_GB2312" w:hAnsi="FangSong_GB2312" w:eastAsia="FangSong_GB2312" w:cs="Times New Roman"/>
          <w:bCs w:val="0"/>
          <w:i w:val="0"/>
          <w:iCs w:val="0"/>
          <w:caps w:val="0"/>
          <w:color w:val="auto"/>
          <w:spacing w:val="0"/>
          <w:sz w:val="32"/>
          <w:szCs w:val="24"/>
          <w:shd w:val="clear" w:color="auto" w:fill="auto"/>
        </w:rPr>
        <w:t>公开招标公告</w:t>
      </w:r>
      <w:r>
        <w:rPr>
          <w:rFonts w:hint="eastAsia" w:ascii="FangSong_GB2312" w:hAnsi="FangSong_GB2312" w:eastAsia="FangSong_GB2312" w:cs="Times New Roman"/>
          <w:bCs w:val="0"/>
          <w:i w:val="0"/>
          <w:iCs w:val="0"/>
          <w:caps w:val="0"/>
          <w:color w:val="auto"/>
          <w:spacing w:val="0"/>
          <w:sz w:val="32"/>
          <w:szCs w:val="24"/>
          <w:shd w:val="clear" w:color="auto" w:fill="auto"/>
          <w:lang w:eastAsia="zh-CN"/>
        </w:rPr>
        <w:t>，</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该项目</w:t>
      </w:r>
      <w:r>
        <w:rPr>
          <w:rFonts w:hint="eastAsia" w:ascii="FangSong_GB2312" w:hAnsi="FangSong_GB2312" w:eastAsia="FangSong_GB2312" w:cs="Times New Roman"/>
          <w:bCs w:val="0"/>
          <w:i w:val="0"/>
          <w:iCs w:val="0"/>
          <w:caps w:val="0"/>
          <w:color w:val="auto"/>
          <w:spacing w:val="0"/>
          <w:sz w:val="32"/>
          <w:szCs w:val="24"/>
          <w:shd w:val="clear" w:color="auto" w:fill="auto"/>
        </w:rPr>
        <w:t>预算金额</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为</w:t>
      </w:r>
      <w:r>
        <w:rPr>
          <w:rFonts w:hint="eastAsia" w:ascii="FangSong_GB2312" w:hAnsi="FangSong_GB2312" w:eastAsia="FangSong_GB2312" w:cs="Times New Roman"/>
          <w:bCs w:val="0"/>
          <w:i w:val="0"/>
          <w:iCs w:val="0"/>
          <w:caps w:val="0"/>
          <w:color w:val="auto"/>
          <w:spacing w:val="0"/>
          <w:sz w:val="32"/>
          <w:szCs w:val="24"/>
          <w:shd w:val="clear" w:color="auto" w:fill="auto"/>
        </w:rPr>
        <w:t>2</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w:t>
      </w:r>
      <w:r>
        <w:rPr>
          <w:rFonts w:hint="eastAsia" w:ascii="FangSong_GB2312" w:hAnsi="FangSong_GB2312" w:eastAsia="FangSong_GB2312" w:cs="Times New Roman"/>
          <w:bCs w:val="0"/>
          <w:i w:val="0"/>
          <w:iCs w:val="0"/>
          <w:caps w:val="0"/>
          <w:color w:val="auto"/>
          <w:spacing w:val="0"/>
          <w:sz w:val="32"/>
          <w:szCs w:val="24"/>
          <w:shd w:val="clear" w:color="auto" w:fill="auto"/>
        </w:rPr>
        <w:t>632.4</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9万元。经过公开招标程序，2024年1月11日，</w:t>
      </w:r>
      <w:r>
        <w:rPr>
          <w:rFonts w:hint="eastAsia" w:ascii="FangSong_GB2312" w:hAnsi="FangSong_GB2312" w:eastAsia="FangSong_GB2312" w:cs="Times New Roman"/>
          <w:bCs w:val="0"/>
          <w:color w:val="auto"/>
          <w:sz w:val="32"/>
          <w:szCs w:val="24"/>
          <w:lang w:val="en-US" w:eastAsia="zh-CN"/>
        </w:rPr>
        <w:t>区生态环境局</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公示了中标结果，由北京中环丰清环保科技有限公司（以下简称“中环丰清公司”）与深圳市南科环保科技有限公司（以下简称“南科公司”）联合体（以下简称“中环丰清公司和南科公司联合体”）中标，中标金额为2,626.68万元。</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2024年1月25日，</w:t>
      </w:r>
      <w:r>
        <w:rPr>
          <w:rFonts w:hint="eastAsia" w:ascii="FangSong_GB2312" w:hAnsi="FangSong_GB2312" w:eastAsia="FangSong_GB2312" w:cs="Times New Roman"/>
          <w:bCs w:val="0"/>
          <w:color w:val="auto"/>
          <w:sz w:val="32"/>
          <w:szCs w:val="24"/>
          <w:lang w:val="en-US" w:eastAsia="zh-CN"/>
        </w:rPr>
        <w:t>区生态环境局与</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中环丰清公司和南科公司联合体签订了《2023年丰台区地下水“双源”监管体系建设项目（二期）政府采购合同》，合同金额与中标金额一致。该项目主要涵盖</w:t>
      </w:r>
      <w:r>
        <w:rPr>
          <w:rFonts w:hint="eastAsia" w:ascii="FangSong_GB2312" w:hAnsi="FangSong_GB2312" w:eastAsia="FangSong_GB2312" w:cs="Times New Roman"/>
          <w:bCs w:val="0"/>
          <w:color w:val="auto"/>
          <w:sz w:val="32"/>
          <w:szCs w:val="24"/>
          <w:lang w:val="en-US" w:eastAsia="zh-CN"/>
        </w:rPr>
        <w:t>两项服务内容：</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一是建立丰台区地下水环境管理信息平台，二是优化丰台区地下水环境监测网，建立以“双源”为基础的地下水环境监测体系并开展地下水环境自动监测试点工程建设，根据重点污染源附近监测现状，</w:t>
      </w:r>
      <w:r>
        <w:rPr>
          <w:rFonts w:hint="eastAsia" w:ascii="FangSong_GB2312" w:hAnsi="FangSong_GB2312" w:eastAsia="FangSong_GB2312" w:cs="Times New Roman"/>
          <w:bCs w:val="0"/>
          <w:i w:val="0"/>
          <w:iCs w:val="0"/>
          <w:caps w:val="0"/>
          <w:color w:val="auto"/>
          <w:spacing w:val="0"/>
          <w:sz w:val="32"/>
          <w:szCs w:val="24"/>
          <w:highlight w:val="none"/>
          <w:shd w:val="clear" w:color="auto" w:fill="auto"/>
          <w:lang w:val="en-US" w:eastAsia="zh-CN"/>
        </w:rPr>
        <w:t>在已有监测井处安装地下水自动监测设备不少于 74 套。服务周期包括两部分：自合同签订之日起12个月内完成项目建设并通过验收，同时提供为期2年的运维服务保障。2024年1</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2月3日，区生态环境局组织专家对</w:t>
      </w:r>
      <w:r>
        <w:rPr>
          <w:rFonts w:hint="eastAsia" w:ascii="FangSong_GB2312" w:hAnsi="FangSong_GB2312" w:eastAsia="FangSong_GB2312" w:cs="Times New Roman"/>
          <w:bCs w:val="0"/>
          <w:color w:val="auto"/>
          <w:sz w:val="32"/>
          <w:szCs w:val="24"/>
        </w:rPr>
        <w:t>中环丰清公司开发的“丰台区地下水环境管理信息系统”</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进行技术评审，专家组同意该系统通过技术验收。</w:t>
      </w:r>
      <w:r>
        <w:rPr>
          <w:rFonts w:hint="eastAsia" w:ascii="FangSong_GB2312" w:hAnsi="FangSong_GB2312" w:eastAsia="FangSong_GB2312" w:cs="Times New Roman"/>
          <w:bCs w:val="0"/>
          <w:color w:val="auto"/>
          <w:sz w:val="32"/>
          <w:szCs w:val="24"/>
          <w:lang w:val="en-US" w:eastAsia="zh-CN"/>
        </w:rPr>
        <w:t>自</w:t>
      </w:r>
      <w:r>
        <w:rPr>
          <w:rFonts w:hint="eastAsia" w:ascii="FangSong_GB2312" w:hAnsi="FangSong_GB2312" w:eastAsia="FangSong_GB2312" w:cs="Times New Roman"/>
          <w:bCs w:val="0"/>
          <w:color w:val="auto"/>
          <w:sz w:val="32"/>
          <w:szCs w:val="24"/>
        </w:rPr>
        <w:t>2025年1月1日</w:t>
      </w:r>
      <w:r>
        <w:rPr>
          <w:rFonts w:hint="eastAsia" w:ascii="FangSong_GB2312" w:hAnsi="FangSong_GB2312" w:eastAsia="FangSong_GB2312" w:cs="Times New Roman"/>
          <w:bCs w:val="0"/>
          <w:color w:val="auto"/>
          <w:sz w:val="32"/>
          <w:szCs w:val="24"/>
          <w:lang w:val="en-US" w:eastAsia="zh-CN"/>
        </w:rPr>
        <w:t>起，该项目正式进入</w:t>
      </w:r>
      <w:r>
        <w:rPr>
          <w:rFonts w:hint="eastAsia" w:ascii="FangSong_GB2312" w:hAnsi="FangSong_GB2312" w:eastAsia="FangSong_GB2312" w:cs="Times New Roman"/>
          <w:bCs w:val="0"/>
          <w:color w:val="auto"/>
          <w:sz w:val="32"/>
          <w:szCs w:val="24"/>
        </w:rPr>
        <w:t>为期</w:t>
      </w:r>
      <w:r>
        <w:rPr>
          <w:rFonts w:hint="eastAsia" w:ascii="FangSong_GB2312" w:hAnsi="FangSong_GB2312" w:eastAsia="FangSong_GB2312" w:cs="Times New Roman"/>
          <w:bCs w:val="0"/>
          <w:color w:val="auto"/>
          <w:sz w:val="32"/>
          <w:szCs w:val="24"/>
          <w:lang w:val="en-US" w:eastAsia="zh-CN"/>
        </w:rPr>
        <w:t>两</w:t>
      </w:r>
      <w:r>
        <w:rPr>
          <w:rFonts w:hint="eastAsia" w:ascii="FangSong_GB2312" w:hAnsi="FangSong_GB2312" w:eastAsia="FangSong_GB2312" w:cs="Times New Roman"/>
          <w:bCs w:val="0"/>
          <w:color w:val="auto"/>
          <w:sz w:val="32"/>
          <w:szCs w:val="24"/>
        </w:rPr>
        <w:t>年的运维</w:t>
      </w:r>
      <w:r>
        <w:rPr>
          <w:rFonts w:hint="eastAsia" w:ascii="FangSong_GB2312" w:hAnsi="FangSong_GB2312" w:eastAsia="FangSong_GB2312" w:cs="Times New Roman"/>
          <w:bCs w:val="0"/>
          <w:color w:val="auto"/>
          <w:sz w:val="32"/>
          <w:szCs w:val="24"/>
          <w:lang w:val="en-US" w:eastAsia="zh-CN"/>
        </w:rPr>
        <w:t>服务阶段</w:t>
      </w:r>
      <w:r>
        <w:rPr>
          <w:rFonts w:hint="eastAsia" w:ascii="FangSong_GB2312" w:hAnsi="FangSong_GB2312" w:eastAsia="FangSong_GB2312" w:cs="Times New Roman"/>
          <w:bCs w:val="0"/>
          <w:color w:val="auto"/>
          <w:sz w:val="32"/>
          <w:szCs w:val="24"/>
        </w:rPr>
        <w:t>。</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lang w:val="en-US" w:eastAsia="zh-CN"/>
        </w:rPr>
        <w:t>2.</w:t>
      </w:r>
      <w:r>
        <w:rPr>
          <w:rFonts w:hint="eastAsia" w:ascii="FangSong_GB2312" w:hAnsi="FangSong_GB2312" w:eastAsia="FangSong_GB2312" w:cs="Times New Roman"/>
          <w:sz w:val="32"/>
        </w:rPr>
        <w:t>项目绩效年度目标</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bCs w:val="0"/>
          <w:sz w:val="32"/>
          <w:szCs w:val="24"/>
        </w:rPr>
        <w:t>在丰台区地下水“双源”监管体系建设项目（一期）工作成果的基础上，开展丰台区地下水环境监管能力提升建设工作。主要工作任务包括：优化丰台区地下水环境监测网，建立以“双源”为基础的地下水环境监测体系；建立丰台区地下水环境管理信息平台；开展地下水环境自动监测试点工程建设；筹备建立“地下水研究中心”和配套野外观测基地。</w:t>
      </w:r>
    </w:p>
    <w:p>
      <w:pPr>
        <w:numPr>
          <w:ilvl w:val="0"/>
          <w:numId w:val="0"/>
        </w:num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w:t>
      </w:r>
      <w:r>
        <w:rPr>
          <w:rFonts w:hint="eastAsia" w:ascii="KaiTi_GB2312" w:hAnsi="KaiTi_GB2312" w:eastAsia="KaiTi_GB2312" w:cs="Times New Roman"/>
          <w:sz w:val="32"/>
          <w:lang w:val="en-US" w:eastAsia="zh-CN"/>
        </w:rPr>
        <w:t>三</w:t>
      </w:r>
      <w:r>
        <w:rPr>
          <w:rFonts w:hint="eastAsia" w:ascii="KaiTi_GB2312" w:hAnsi="KaiTi_GB2312" w:eastAsia="KaiTi_GB2312" w:cs="Times New Roman"/>
          <w:sz w:val="32"/>
        </w:rPr>
        <w:t>）项目资金情况</w:t>
      </w:r>
    </w:p>
    <w:p>
      <w:pPr>
        <w:widowControl/>
        <w:spacing w:beforeLines="0" w:afterLines="0" w:line="560" w:lineRule="exact"/>
        <w:ind w:firstLine="640" w:firstLineChars="200"/>
        <w:jc w:val="both"/>
        <w:rPr>
          <w:rFonts w:hint="eastAsia" w:ascii="FangSong_GB2312" w:hAnsi="FangSong_GB2312" w:eastAsia="FangSong_GB2312" w:cs="Times New Roman"/>
          <w:bCs w:val="0"/>
          <w:color w:val="auto"/>
          <w:sz w:val="32"/>
          <w:szCs w:val="24"/>
          <w:lang w:val="en-US" w:eastAsia="zh-CN"/>
        </w:rPr>
      </w:pPr>
      <w:r>
        <w:rPr>
          <w:rFonts w:hint="eastAsia" w:ascii="FangSong_GB2312" w:hAnsi="FangSong_GB2312" w:eastAsia="FangSong_GB2312" w:cs="Times New Roman"/>
          <w:bCs w:val="0"/>
          <w:color w:val="auto"/>
          <w:sz w:val="32"/>
          <w:szCs w:val="24"/>
          <w:lang w:val="en-US" w:eastAsia="zh-CN"/>
        </w:rPr>
        <w:t>根据《丰台区财政局关于北京市丰台区生态环境局2024年部门预算的批复》（丰财公用年初批复〔2024〕220号），区财政局批复该项目年初预算金额</w:t>
      </w:r>
      <w:r>
        <w:rPr>
          <w:rFonts w:hint="eastAsia" w:ascii="FangSong_GB2312" w:hAnsi="FangSong_GB2312" w:eastAsia="FangSong_GB2312" w:cs="Times New Roman"/>
          <w:color w:val="auto"/>
          <w:sz w:val="32"/>
          <w:szCs w:val="24"/>
          <w:highlight w:val="none"/>
          <w:lang w:val="en-US" w:eastAsia="zh-CN"/>
        </w:rPr>
        <w:t>2,632.49</w:t>
      </w:r>
      <w:r>
        <w:rPr>
          <w:rFonts w:hint="eastAsia" w:ascii="FangSong_GB2312" w:hAnsi="FangSong_GB2312" w:eastAsia="FangSong_GB2312" w:cs="Times New Roman"/>
          <w:color w:val="auto"/>
          <w:sz w:val="32"/>
          <w:szCs w:val="24"/>
          <w:highlight w:val="none"/>
          <w:lang w:eastAsia="zh-CN"/>
        </w:rPr>
        <w:t>万元</w:t>
      </w:r>
      <w:r>
        <w:rPr>
          <w:rFonts w:hint="eastAsia" w:ascii="FangSong_GB2312" w:hAnsi="FangSong_GB2312" w:eastAsia="FangSong_GB2312" w:cs="Times New Roman"/>
          <w:bCs w:val="0"/>
          <w:color w:val="auto"/>
          <w:sz w:val="32"/>
          <w:szCs w:val="24"/>
          <w:lang w:val="en-US" w:eastAsia="zh-CN"/>
        </w:rPr>
        <w:t>。</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bCs w:val="0"/>
          <w:color w:val="auto"/>
          <w:sz w:val="32"/>
          <w:szCs w:val="24"/>
          <w:lang w:val="en-US" w:eastAsia="zh-CN"/>
        </w:rPr>
        <w:t>截至2024年12月31日，区财政局根据区生态环境局用款申请下达预算金额</w:t>
      </w:r>
      <w:r>
        <w:rPr>
          <w:rFonts w:hint="eastAsia" w:ascii="FangSong_GB2312" w:hAnsi="FangSong_GB2312" w:eastAsia="FangSong_GB2312" w:cs="Times New Roman"/>
          <w:color w:val="auto"/>
          <w:sz w:val="32"/>
          <w:szCs w:val="24"/>
          <w:highlight w:val="none"/>
          <w:lang w:val="en-US" w:eastAsia="zh-CN"/>
        </w:rPr>
        <w:t>2,632.49</w:t>
      </w:r>
      <w:r>
        <w:rPr>
          <w:rFonts w:hint="eastAsia" w:ascii="FangSong_GB2312" w:hAnsi="FangSong_GB2312" w:eastAsia="FangSong_GB2312" w:cs="Times New Roman"/>
          <w:bCs w:val="0"/>
          <w:color w:val="auto"/>
          <w:sz w:val="32"/>
          <w:szCs w:val="24"/>
          <w:lang w:val="en-US" w:eastAsia="zh-CN"/>
        </w:rPr>
        <w:t>万元，资金到位率为100%</w:t>
      </w:r>
      <w:r>
        <w:rPr>
          <w:rFonts w:hint="eastAsia" w:ascii="FangSong_GB2312" w:hAnsi="FangSong_GB2312" w:eastAsia="FangSong_GB2312" w:cs="Times New Roman"/>
          <w:bCs w:val="0"/>
          <w:color w:val="auto"/>
          <w:sz w:val="32"/>
          <w:szCs w:val="24"/>
          <w:lang w:eastAsia="zh-CN"/>
        </w:rPr>
        <w:t>。</w:t>
      </w:r>
      <w:r>
        <w:rPr>
          <w:rFonts w:hint="eastAsia" w:ascii="FangSong_GB2312" w:hAnsi="FangSong_GB2312" w:eastAsia="FangSong_GB2312" w:cs="Times New Roman"/>
          <w:bCs w:val="0"/>
          <w:color w:val="auto"/>
          <w:sz w:val="32"/>
          <w:szCs w:val="24"/>
          <w:lang w:val="en-US" w:eastAsia="zh-CN"/>
        </w:rPr>
        <w:t>截至2024年12月31日，该项目已累计向</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中环丰清公司支付合同款</w:t>
      </w:r>
      <w:r>
        <w:rPr>
          <w:rFonts w:hint="eastAsia" w:ascii="FangSong_GB2312" w:hAnsi="FangSong_GB2312" w:eastAsia="FangSong_GB2312" w:cs="Times New Roman"/>
          <w:bCs w:val="0"/>
          <w:color w:val="auto"/>
          <w:sz w:val="32"/>
          <w:szCs w:val="24"/>
        </w:rPr>
        <w:t>2</w:t>
      </w:r>
      <w:r>
        <w:rPr>
          <w:rFonts w:hint="eastAsia" w:ascii="FangSong_GB2312" w:hAnsi="FangSong_GB2312" w:eastAsia="FangSong_GB2312" w:cs="Times New Roman"/>
          <w:bCs w:val="0"/>
          <w:color w:val="auto"/>
          <w:sz w:val="32"/>
          <w:szCs w:val="24"/>
          <w:lang w:val="en-US" w:eastAsia="zh-CN"/>
        </w:rPr>
        <w:t>,</w:t>
      </w:r>
      <w:r>
        <w:rPr>
          <w:rFonts w:hint="eastAsia" w:ascii="FangSong_GB2312" w:hAnsi="FangSong_GB2312" w:eastAsia="FangSong_GB2312" w:cs="Times New Roman"/>
          <w:bCs w:val="0"/>
          <w:color w:val="auto"/>
          <w:sz w:val="32"/>
          <w:szCs w:val="24"/>
        </w:rPr>
        <w:t>626.68万元</w:t>
      </w:r>
      <w:r>
        <w:rPr>
          <w:rFonts w:hint="eastAsia" w:ascii="FangSong_GB2312" w:hAnsi="FangSong_GB2312" w:eastAsia="FangSong_GB2312" w:cs="Times New Roman"/>
          <w:bCs w:val="0"/>
          <w:color w:val="auto"/>
          <w:sz w:val="32"/>
          <w:szCs w:val="24"/>
          <w:lang w:eastAsia="zh-CN"/>
        </w:rPr>
        <w:t>（</w:t>
      </w:r>
      <w:r>
        <w:rPr>
          <w:rFonts w:hint="eastAsia" w:ascii="FangSong_GB2312" w:hAnsi="FangSong_GB2312" w:eastAsia="FangSong_GB2312" w:cs="Times New Roman"/>
          <w:bCs w:val="0"/>
          <w:color w:val="auto"/>
          <w:sz w:val="32"/>
          <w:szCs w:val="24"/>
          <w:lang w:val="en-US" w:eastAsia="zh-CN"/>
        </w:rPr>
        <w:t>依据合同由</w:t>
      </w:r>
      <w:r>
        <w:rPr>
          <w:rFonts w:hint="eastAsia" w:ascii="FangSong_GB2312" w:hAnsi="FangSong_GB2312" w:eastAsia="FangSong_GB2312" w:cs="Times New Roman"/>
          <w:bCs w:val="0"/>
          <w:i w:val="0"/>
          <w:iCs w:val="0"/>
          <w:caps w:val="0"/>
          <w:color w:val="auto"/>
          <w:spacing w:val="0"/>
          <w:sz w:val="32"/>
          <w:szCs w:val="24"/>
          <w:shd w:val="clear" w:color="auto" w:fill="auto"/>
          <w:lang w:val="en-US" w:eastAsia="zh-CN"/>
        </w:rPr>
        <w:t>中环丰清公司向中标联合体中的南科公司另行支付56.80万元</w:t>
      </w:r>
      <w:r>
        <w:rPr>
          <w:rFonts w:hint="eastAsia" w:ascii="FangSong_GB2312" w:hAnsi="FangSong_GB2312" w:eastAsia="FangSong_GB2312" w:cs="Times New Roman"/>
          <w:bCs w:val="0"/>
          <w:color w:val="auto"/>
          <w:sz w:val="32"/>
          <w:szCs w:val="24"/>
          <w:lang w:eastAsia="zh-CN"/>
        </w:rPr>
        <w:t>），</w:t>
      </w:r>
      <w:r>
        <w:rPr>
          <w:rFonts w:hint="eastAsia" w:ascii="FangSong_GB2312" w:hAnsi="FangSong_GB2312" w:eastAsia="FangSong_GB2312" w:cs="Times New Roman"/>
          <w:bCs w:val="0"/>
          <w:color w:val="auto"/>
          <w:sz w:val="32"/>
          <w:szCs w:val="24"/>
        </w:rPr>
        <w:t>项目资金执行率达</w:t>
      </w:r>
      <w:r>
        <w:rPr>
          <w:rFonts w:hint="eastAsia" w:ascii="FangSong_GB2312" w:hAnsi="FangSong_GB2312" w:eastAsia="FangSong_GB2312" w:cs="Times New Roman"/>
          <w:bCs w:val="0"/>
          <w:color w:val="auto"/>
          <w:sz w:val="32"/>
          <w:szCs w:val="24"/>
          <w:lang w:val="en-US" w:eastAsia="zh-CN"/>
        </w:rPr>
        <w:t>99.78%</w:t>
      </w:r>
      <w:r>
        <w:rPr>
          <w:rFonts w:hint="eastAsia" w:ascii="FangSong_GB2312" w:hAnsi="FangSong_GB2312" w:eastAsia="FangSong_GB2312" w:cs="Times New Roman"/>
          <w:bCs w:val="0"/>
          <w:color w:val="auto"/>
          <w:sz w:val="32"/>
          <w:szCs w:val="24"/>
          <w:lang w:eastAsia="zh-CN"/>
        </w:rPr>
        <w:t>。</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二、绩效评价情况</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（一）绩效评价方法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rPr>
        <w:t>本次绩效评价遵循“客观、公正、科学、规范”的原则，结合项目的特点，采用目标预定与实施效果比较法、专家评议法等方法，定性与定量相结合，从决策管理、过程管理、项目产出、项目效益4 个方面对本项目开展绩效评价。绩效评价指标体系详见附件。</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（二）绩效评价结果</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经专家评议，该项目综合评价得分</w:t>
      </w:r>
      <w:r>
        <w:rPr>
          <w:rFonts w:hint="eastAsia" w:ascii="FangSong_GB2312" w:hAnsi="FangSong_GB2312" w:eastAsia="FangSong_GB2312" w:cs="Times New Roman"/>
          <w:color w:val="auto"/>
          <w:sz w:val="32"/>
          <w:szCs w:val="24"/>
          <w:lang w:val="en-US" w:eastAsia="zh-CN"/>
        </w:rPr>
        <w:t>84.90</w:t>
      </w:r>
      <w:r>
        <w:rPr>
          <w:rFonts w:hint="eastAsia" w:ascii="FangSong_GB2312" w:hAnsi="FangSong_GB2312" w:eastAsia="FangSong_GB2312" w:cs="Times New Roman"/>
          <w:sz w:val="32"/>
        </w:rPr>
        <w:t>分，绩效级别评定为“</w:t>
      </w:r>
      <w:r>
        <w:rPr>
          <w:rFonts w:hint="eastAsia" w:ascii="FangSong_GB2312" w:hAnsi="FangSong_GB2312" w:eastAsia="FangSong_GB2312" w:cs="Times New Roman"/>
          <w:sz w:val="32"/>
          <w:szCs w:val="24"/>
          <w:lang w:val="en-US" w:eastAsia="zh-CN"/>
        </w:rPr>
        <w:t>良</w:t>
      </w:r>
      <w:r>
        <w:rPr>
          <w:rFonts w:hint="eastAsia" w:ascii="FangSong_GB2312" w:hAnsi="FangSong_GB2312" w:eastAsia="FangSong_GB2312" w:cs="Times New Roman"/>
          <w:sz w:val="32"/>
        </w:rPr>
        <w:t>”。其中：项目决策得分</w:t>
      </w:r>
      <w:r>
        <w:rPr>
          <w:rFonts w:hint="eastAsia" w:ascii="FangSong_GB2312" w:hAnsi="FangSong_GB2312" w:eastAsia="FangSong_GB2312" w:cs="Times New Roman"/>
          <w:color w:val="auto"/>
          <w:sz w:val="32"/>
          <w:szCs w:val="24"/>
          <w:lang w:val="en-US" w:eastAsia="zh-CN"/>
        </w:rPr>
        <w:t>8.09</w:t>
      </w:r>
      <w:r>
        <w:rPr>
          <w:rFonts w:hint="eastAsia" w:ascii="FangSong_GB2312" w:hAnsi="FangSong_GB2312" w:eastAsia="FangSong_GB2312" w:cs="Times New Roman"/>
          <w:sz w:val="32"/>
        </w:rPr>
        <w:t>分、项目过程得分</w:t>
      </w:r>
      <w:r>
        <w:rPr>
          <w:rFonts w:hint="eastAsia" w:ascii="FangSong_GB2312" w:hAnsi="FangSong_GB2312" w:eastAsia="FangSong_GB2312" w:cs="Times New Roman"/>
          <w:sz w:val="32"/>
          <w:szCs w:val="24"/>
          <w:lang w:val="en-US" w:eastAsia="zh-CN"/>
        </w:rPr>
        <w:t>17.19</w:t>
      </w:r>
      <w:r>
        <w:rPr>
          <w:rFonts w:hint="eastAsia" w:ascii="FangSong_GB2312" w:hAnsi="FangSong_GB2312" w:eastAsia="FangSong_GB2312" w:cs="Times New Roman"/>
          <w:sz w:val="32"/>
        </w:rPr>
        <w:t>分、项目产出得分</w:t>
      </w:r>
      <w:r>
        <w:rPr>
          <w:rFonts w:hint="eastAsia" w:ascii="FangSong_GB2312" w:hAnsi="FangSong_GB2312" w:eastAsia="FangSong_GB2312" w:cs="Times New Roman"/>
          <w:sz w:val="32"/>
          <w:szCs w:val="24"/>
          <w:lang w:val="en-US" w:eastAsia="zh-CN"/>
        </w:rPr>
        <w:t>35.52</w:t>
      </w:r>
      <w:r>
        <w:rPr>
          <w:rFonts w:hint="eastAsia" w:ascii="FangSong_GB2312" w:hAnsi="FangSong_GB2312" w:eastAsia="FangSong_GB2312" w:cs="Times New Roman"/>
          <w:sz w:val="32"/>
        </w:rPr>
        <w:t>分、项目效益得分</w:t>
      </w:r>
      <w:r>
        <w:rPr>
          <w:rFonts w:hint="eastAsia" w:ascii="FangSong_GB2312" w:hAnsi="FangSong_GB2312" w:eastAsia="FangSong_GB2312" w:cs="Times New Roman"/>
          <w:sz w:val="32"/>
          <w:szCs w:val="24"/>
          <w:lang w:val="en-US" w:eastAsia="zh-CN"/>
        </w:rPr>
        <w:t>24.10</w:t>
      </w:r>
      <w:r>
        <w:rPr>
          <w:rFonts w:hint="eastAsia" w:ascii="FangSong_GB2312" w:hAnsi="FangSong_GB2312" w:eastAsia="FangSong_GB2312" w:cs="Times New Roman"/>
          <w:sz w:val="32"/>
        </w:rPr>
        <w:t>分。</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评价结论：</w:t>
      </w:r>
      <w:r>
        <w:rPr>
          <w:rFonts w:hint="eastAsia" w:ascii="FangSong_GB2312" w:hAnsi="FangSong_GB2312" w:eastAsia="FangSong_GB2312" w:cs="Times New Roman"/>
          <w:sz w:val="32"/>
          <w:szCs w:val="24"/>
        </w:rPr>
        <w:t>“</w:t>
      </w:r>
      <w:r>
        <w:rPr>
          <w:rFonts w:hint="eastAsia" w:ascii="FangSong_GB2312" w:hAnsi="FangSong_GB2312" w:eastAsia="FangSong_GB2312" w:cs="Times New Roman"/>
          <w:sz w:val="32"/>
          <w:szCs w:val="24"/>
          <w:lang w:val="en-US" w:eastAsia="zh-CN"/>
        </w:rPr>
        <w:t>良</w:t>
      </w:r>
      <w:r>
        <w:rPr>
          <w:rFonts w:hint="eastAsia" w:ascii="FangSong_GB2312" w:hAnsi="FangSong_GB2312" w:eastAsia="FangSong_GB2312" w:cs="Times New Roman"/>
          <w:sz w:val="32"/>
          <w:szCs w:val="24"/>
        </w:rPr>
        <w:t>”</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三、项目产出及绩效</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（一）项目产出情况</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bookmarkStart w:id="4" w:name="_Toc14209"/>
      <w:r>
        <w:rPr>
          <w:rFonts w:hint="eastAsia" w:ascii="FangSong_GB2312" w:hAnsi="FangSong_GB2312" w:eastAsia="FangSong_GB2312" w:cs="Times New Roman"/>
          <w:kern w:val="2"/>
          <w:sz w:val="32"/>
          <w:szCs w:val="24"/>
        </w:rPr>
        <w:t>1.产出数量情况分析</w:t>
      </w:r>
    </w:p>
    <w:p>
      <w:pPr>
        <w:spacing w:beforeLines="0" w:afterLines="0" w:line="560" w:lineRule="exact"/>
        <w:ind w:firstLine="640" w:firstLineChars="200"/>
        <w:jc w:val="both"/>
        <w:rPr>
          <w:rFonts w:hint="eastAsia" w:ascii="FangSong_GB2312" w:hAnsi="FangSong_GB2312" w:eastAsia="FangSong_GB2312" w:cs="Times New Roman"/>
          <w:sz w:val="32"/>
          <w:szCs w:val="24"/>
          <w:lang w:eastAsia="zh-CN"/>
        </w:rPr>
      </w:pPr>
      <w:r>
        <w:rPr>
          <w:rFonts w:hint="eastAsia" w:ascii="FangSong_GB2312" w:hAnsi="FangSong_GB2312" w:eastAsia="FangSong_GB2312" w:cs="Times New Roman"/>
          <w:sz w:val="32"/>
          <w:szCs w:val="24"/>
          <w:lang w:val="en-US" w:eastAsia="zh-CN"/>
        </w:rPr>
        <w:t>该项目较好地完成了</w:t>
      </w:r>
      <w:r>
        <w:rPr>
          <w:rFonts w:hint="eastAsia" w:ascii="FangSong_GB2312" w:hAnsi="FangSong_GB2312" w:eastAsia="FangSong_GB2312" w:cs="Times New Roman"/>
          <w:kern w:val="2"/>
          <w:sz w:val="32"/>
          <w:szCs w:val="24"/>
        </w:rPr>
        <w:t>产出数量</w:t>
      </w:r>
      <w:r>
        <w:rPr>
          <w:rFonts w:hint="eastAsia" w:ascii="FangSong_GB2312" w:hAnsi="FangSong_GB2312" w:eastAsia="FangSong_GB2312" w:cs="Times New Roman"/>
          <w:kern w:val="2"/>
          <w:sz w:val="32"/>
          <w:szCs w:val="24"/>
          <w:lang w:val="en-US" w:eastAsia="zh-CN"/>
        </w:rPr>
        <w:t>指标，一是</w:t>
      </w:r>
      <w:r>
        <w:rPr>
          <w:rFonts w:hint="eastAsia" w:ascii="FangSong_GB2312" w:hAnsi="FangSong_GB2312" w:eastAsia="FangSong_GB2312" w:cs="Times New Roman"/>
          <w:sz w:val="32"/>
          <w:szCs w:val="24"/>
        </w:rPr>
        <w:t>2024年</w:t>
      </w:r>
      <w:r>
        <w:rPr>
          <w:rFonts w:hint="eastAsia" w:ascii="FangSong_GB2312" w:hAnsi="FangSong_GB2312" w:eastAsia="FangSong_GB2312" w:cs="Times New Roman"/>
          <w:sz w:val="32"/>
          <w:szCs w:val="24"/>
          <w:lang w:val="en-US" w:eastAsia="zh-CN"/>
        </w:rPr>
        <w:t>将</w:t>
      </w:r>
      <w:r>
        <w:rPr>
          <w:rFonts w:hint="eastAsia" w:ascii="FangSong_GB2312" w:hAnsi="FangSong_GB2312" w:eastAsia="FangSong_GB2312" w:cs="Times New Roman"/>
          <w:sz w:val="32"/>
          <w:szCs w:val="24"/>
        </w:rPr>
        <w:t>195口监测井纳入丰台区地下水环境监测网</w:t>
      </w:r>
      <w:r>
        <w:rPr>
          <w:rFonts w:hint="eastAsia" w:ascii="FangSong_GB2312" w:hAnsi="FangSong_GB2312" w:eastAsia="FangSong_GB2312" w:cs="Times New Roman"/>
          <w:sz w:val="32"/>
          <w:szCs w:val="24"/>
          <w:lang w:eastAsia="zh-CN"/>
        </w:rPr>
        <w:t>，为掌握地下水环境动态提供了基础数据支撑</w:t>
      </w:r>
      <w:r>
        <w:rPr>
          <w:rFonts w:hint="eastAsia" w:ascii="FangSong_GB2312" w:hAnsi="FangSong_GB2312" w:eastAsia="FangSong_GB2312" w:cs="Times New Roman"/>
          <w:sz w:val="32"/>
          <w:szCs w:val="24"/>
          <w:lang w:val="en-US" w:eastAsia="zh-CN"/>
        </w:rPr>
        <w:t>；二是同步建成</w:t>
      </w:r>
      <w:r>
        <w:rPr>
          <w:rFonts w:hint="eastAsia" w:ascii="FangSong_GB2312" w:hAnsi="FangSong_GB2312" w:eastAsia="FangSong_GB2312" w:cs="Times New Roman"/>
          <w:sz w:val="32"/>
          <w:szCs w:val="24"/>
        </w:rPr>
        <w:t>74口地下水自动化监测井</w:t>
      </w:r>
      <w:r>
        <w:rPr>
          <w:rFonts w:hint="eastAsia" w:ascii="FangSong_GB2312" w:hAnsi="FangSong_GB2312" w:eastAsia="FangSong_GB2312" w:cs="Times New Roman"/>
          <w:sz w:val="32"/>
          <w:szCs w:val="24"/>
          <w:lang w:eastAsia="zh-CN"/>
        </w:rPr>
        <w:t>，提升了监测效率与数据采集的实时</w:t>
      </w:r>
      <w:r>
        <w:rPr>
          <w:rFonts w:hint="eastAsia" w:ascii="FangSong_GB2312" w:hAnsi="FangSong_GB2312" w:eastAsia="FangSong_GB2312" w:cs="Times New Roman"/>
          <w:sz w:val="32"/>
          <w:szCs w:val="24"/>
          <w:lang w:val="en-US" w:eastAsia="zh-CN"/>
        </w:rPr>
        <w:t>性；三是完成</w:t>
      </w:r>
      <w:r>
        <w:rPr>
          <w:rFonts w:hint="eastAsia" w:ascii="FangSong_GB2312" w:hAnsi="FangSong_GB2312" w:eastAsia="FangSong_GB2312" w:cs="Times New Roman"/>
          <w:sz w:val="32"/>
          <w:szCs w:val="24"/>
        </w:rPr>
        <w:t>1套丰台区地下水环境管理信息系统</w:t>
      </w:r>
      <w:r>
        <w:rPr>
          <w:rFonts w:hint="eastAsia" w:ascii="FangSong_GB2312" w:hAnsi="FangSong_GB2312" w:eastAsia="FangSong_GB2312" w:cs="Times New Roman"/>
          <w:sz w:val="32"/>
          <w:szCs w:val="24"/>
          <w:lang w:eastAsia="zh-CN"/>
        </w:rPr>
        <w:t>，为科学决策提供了信息化平台</w:t>
      </w:r>
      <w:r>
        <w:rPr>
          <w:rFonts w:hint="eastAsia" w:ascii="FangSong_GB2312" w:hAnsi="FangSong_GB2312" w:eastAsia="FangSong_GB2312" w:cs="Times New Roman"/>
          <w:sz w:val="32"/>
          <w:szCs w:val="24"/>
          <w:lang w:val="en-US" w:eastAsia="zh-CN"/>
        </w:rPr>
        <w:t>；四是</w:t>
      </w:r>
      <w:r>
        <w:rPr>
          <w:rFonts w:hint="eastAsia" w:ascii="FangSong_GB2312" w:hAnsi="FangSong_GB2312" w:eastAsia="FangSong_GB2312" w:cs="Times New Roman"/>
          <w:sz w:val="32"/>
          <w:szCs w:val="24"/>
        </w:rPr>
        <w:t>完成了地下水研究中心和野外观测基地设计方案</w:t>
      </w:r>
      <w:r>
        <w:rPr>
          <w:rFonts w:hint="eastAsia" w:ascii="FangSong_GB2312" w:hAnsi="FangSong_GB2312" w:eastAsia="FangSong_GB2312" w:cs="Times New Roman"/>
          <w:sz w:val="32"/>
          <w:szCs w:val="24"/>
          <w:lang w:eastAsia="zh-CN"/>
        </w:rPr>
        <w:t>，推动地下水科研与观测能力提升</w:t>
      </w:r>
      <w:r>
        <w:rPr>
          <w:rFonts w:hint="eastAsia" w:ascii="FangSong_GB2312" w:hAnsi="FangSong_GB2312" w:eastAsia="FangSong_GB2312" w:cs="Times New Roman"/>
          <w:sz w:val="32"/>
          <w:szCs w:val="24"/>
          <w:lang w:val="en-US" w:eastAsia="zh-CN"/>
        </w:rPr>
        <w:t>；五是</w:t>
      </w:r>
      <w:r>
        <w:rPr>
          <w:rFonts w:hint="eastAsia" w:ascii="FangSong_GB2312" w:hAnsi="FangSong_GB2312" w:eastAsia="FangSong_GB2312" w:cs="Times New Roman"/>
          <w:sz w:val="32"/>
          <w:szCs w:val="24"/>
        </w:rPr>
        <w:t>每月定期</w:t>
      </w:r>
      <w:r>
        <w:rPr>
          <w:rFonts w:hint="eastAsia" w:ascii="FangSong_GB2312" w:hAnsi="FangSong_GB2312" w:eastAsia="FangSong_GB2312" w:cs="Times New Roman"/>
          <w:sz w:val="32"/>
          <w:szCs w:val="24"/>
          <w:lang w:val="en-US" w:eastAsia="zh-CN"/>
        </w:rPr>
        <w:t>开展</w:t>
      </w:r>
      <w:r>
        <w:rPr>
          <w:rFonts w:hint="eastAsia" w:ascii="FangSong_GB2312" w:hAnsi="FangSong_GB2312" w:eastAsia="FangSong_GB2312" w:cs="Times New Roman"/>
          <w:sz w:val="32"/>
          <w:szCs w:val="24"/>
        </w:rPr>
        <w:t>自动监测设备巡检工作，全年累计完成12次巡检任务，保障监测工作的持续性</w:t>
      </w:r>
      <w:r>
        <w:rPr>
          <w:rFonts w:hint="eastAsia" w:ascii="FangSong_GB2312" w:hAnsi="FangSong_GB2312" w:eastAsia="FangSong_GB2312" w:cs="Times New Roman"/>
          <w:sz w:val="32"/>
          <w:szCs w:val="24"/>
          <w:lang w:eastAsia="zh-CN"/>
        </w:rPr>
        <w:t>。</w:t>
      </w:r>
    </w:p>
    <w:p>
      <w:pPr>
        <w:spacing w:beforeLines="0" w:afterLines="0" w:line="560" w:lineRule="exact"/>
        <w:ind w:firstLine="640" w:firstLineChars="200"/>
        <w:jc w:val="both"/>
        <w:rPr>
          <w:rFonts w:hint="eastAsia" w:ascii="FangSong_GB2312" w:hAnsi="FangSong_GB2312" w:eastAsia="FangSong_GB2312" w:cs="Times New Roman"/>
          <w:sz w:val="32"/>
          <w:szCs w:val="24"/>
          <w:lang w:val="en-US" w:eastAsia="zh-CN"/>
        </w:rPr>
      </w:pPr>
      <w:r>
        <w:rPr>
          <w:rFonts w:hint="eastAsia" w:ascii="FangSong_GB2312" w:hAnsi="FangSong_GB2312" w:eastAsia="FangSong_GB2312" w:cs="Times New Roman"/>
          <w:sz w:val="32"/>
          <w:szCs w:val="24"/>
          <w:lang w:val="en-US" w:eastAsia="zh-CN"/>
        </w:rPr>
        <w:t>综上，评价认为该项目较好地完成了</w:t>
      </w:r>
      <w:r>
        <w:rPr>
          <w:rFonts w:hint="eastAsia" w:ascii="FangSong_GB2312" w:hAnsi="FangSong_GB2312" w:eastAsia="FangSong_GB2312" w:cs="Times New Roman"/>
          <w:kern w:val="2"/>
          <w:sz w:val="32"/>
          <w:szCs w:val="24"/>
        </w:rPr>
        <w:t>产出数量</w:t>
      </w:r>
      <w:r>
        <w:rPr>
          <w:rFonts w:hint="eastAsia" w:ascii="FangSong_GB2312" w:hAnsi="FangSong_GB2312" w:eastAsia="FangSong_GB2312" w:cs="Times New Roman"/>
          <w:kern w:val="2"/>
          <w:sz w:val="32"/>
          <w:szCs w:val="24"/>
          <w:lang w:val="en-US" w:eastAsia="zh-CN"/>
        </w:rPr>
        <w:t>指标，但未能提供自动监测设备巡检记录，</w:t>
      </w:r>
      <w:r>
        <w:rPr>
          <w:rFonts w:hint="eastAsia" w:ascii="FangSong_GB2312" w:hAnsi="FangSong_GB2312" w:eastAsia="FangSong_GB2312" w:cs="Times New Roman"/>
          <w:sz w:val="32"/>
          <w:szCs w:val="24"/>
        </w:rPr>
        <w:t>影响</w:t>
      </w:r>
      <w:r>
        <w:rPr>
          <w:rFonts w:hint="eastAsia" w:ascii="FangSong_GB2312" w:hAnsi="FangSong_GB2312" w:eastAsia="FangSong_GB2312" w:cs="Times New Roman"/>
          <w:sz w:val="32"/>
          <w:szCs w:val="24"/>
          <w:lang w:val="en-US" w:eastAsia="zh-CN"/>
        </w:rPr>
        <w:t>了</w:t>
      </w:r>
      <w:r>
        <w:rPr>
          <w:rFonts w:hint="eastAsia" w:ascii="FangSong_GB2312" w:hAnsi="FangSong_GB2312" w:eastAsia="FangSong_GB2312" w:cs="Times New Roman"/>
          <w:sz w:val="32"/>
          <w:szCs w:val="24"/>
        </w:rPr>
        <w:t>实际</w:t>
      </w:r>
      <w:r>
        <w:rPr>
          <w:rFonts w:hint="eastAsia" w:ascii="FangSong_GB2312" w:hAnsi="FangSong_GB2312" w:eastAsia="FangSong_GB2312" w:cs="Times New Roman"/>
          <w:sz w:val="32"/>
          <w:szCs w:val="24"/>
          <w:lang w:val="en-US" w:eastAsia="zh-CN"/>
        </w:rPr>
        <w:t>数量</w:t>
      </w:r>
      <w:r>
        <w:rPr>
          <w:rFonts w:hint="eastAsia" w:ascii="FangSong_GB2312" w:hAnsi="FangSong_GB2312" w:eastAsia="FangSong_GB2312" w:cs="Times New Roman"/>
          <w:sz w:val="32"/>
          <w:szCs w:val="24"/>
        </w:rPr>
        <w:t>指标完成情况的评价</w:t>
      </w:r>
      <w:r>
        <w:rPr>
          <w:rFonts w:hint="eastAsia" w:ascii="FangSong_GB2312" w:hAnsi="FangSong_GB2312" w:eastAsia="FangSong_GB2312" w:cs="Times New Roman"/>
          <w:sz w:val="32"/>
          <w:szCs w:val="24"/>
          <w:lang w:val="en-US" w:eastAsia="zh-CN"/>
        </w:rPr>
        <w:t>。</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2.产出质量情况分析</w:t>
      </w:r>
    </w:p>
    <w:p>
      <w:pPr>
        <w:spacing w:beforeLines="0" w:afterLines="0" w:line="560" w:lineRule="exact"/>
        <w:ind w:firstLine="640" w:firstLineChars="200"/>
        <w:jc w:val="both"/>
        <w:rPr>
          <w:rFonts w:hint="eastAsia" w:ascii="FangSong_GB2312" w:hAnsi="FangSong_GB2312" w:eastAsia="FangSong_GB2312" w:cs="Times New Roman"/>
          <w:sz w:val="32"/>
          <w:szCs w:val="24"/>
          <w:lang w:val="en-US" w:eastAsia="zh-CN"/>
        </w:rPr>
      </w:pPr>
      <w:r>
        <w:rPr>
          <w:rFonts w:hint="eastAsia" w:ascii="FangSong_GB2312" w:hAnsi="FangSong_GB2312" w:eastAsia="FangSong_GB2312" w:cs="Times New Roman"/>
          <w:sz w:val="32"/>
          <w:szCs w:val="24"/>
        </w:rPr>
        <w:t>该项目建立</w:t>
      </w:r>
      <w:r>
        <w:rPr>
          <w:rFonts w:hint="eastAsia" w:ascii="FangSong_GB2312" w:hAnsi="FangSong_GB2312" w:eastAsia="FangSong_GB2312" w:cs="Times New Roman"/>
          <w:sz w:val="32"/>
          <w:szCs w:val="24"/>
          <w:lang w:val="en-US" w:eastAsia="zh-CN"/>
        </w:rPr>
        <w:t>了</w:t>
      </w:r>
      <w:r>
        <w:rPr>
          <w:rFonts w:hint="eastAsia" w:ascii="FangSong_GB2312" w:hAnsi="FangSong_GB2312" w:eastAsia="FangSong_GB2312" w:cs="Times New Roman"/>
          <w:sz w:val="32"/>
          <w:szCs w:val="24"/>
        </w:rPr>
        <w:t>丰台区地下水环境管理信息平台</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lang w:val="en-US" w:eastAsia="zh-CN"/>
        </w:rPr>
        <w:t>2024年12月</w:t>
      </w:r>
      <w:r>
        <w:rPr>
          <w:rFonts w:hint="eastAsia" w:ascii="FangSong_GB2312" w:hAnsi="FangSong_GB2312" w:eastAsia="FangSong_GB2312" w:cs="Times New Roman"/>
          <w:sz w:val="32"/>
          <w:szCs w:val="24"/>
        </w:rPr>
        <w:t>通过了行业专家评审</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lang w:val="en-US" w:eastAsia="zh-CN"/>
        </w:rPr>
        <w:t>并完成了项目验收；编制了</w:t>
      </w:r>
      <w:r>
        <w:rPr>
          <w:rFonts w:hint="eastAsia" w:ascii="FangSong_GB2312" w:hAnsi="FangSong_GB2312" w:eastAsia="FangSong_GB2312" w:cs="Times New Roman"/>
          <w:sz w:val="32"/>
          <w:szCs w:val="24"/>
        </w:rPr>
        <w:t>《丰台区地下水环境管理信息系统使用说明》《丰台区地下水环境管理信息系统运营报告》</w:t>
      </w:r>
      <w:r>
        <w:rPr>
          <w:rFonts w:hint="eastAsia" w:ascii="FangSong_GB2312" w:hAnsi="FangSong_GB2312" w:eastAsia="FangSong_GB2312" w:cs="Times New Roman"/>
          <w:sz w:val="32"/>
          <w:szCs w:val="24"/>
          <w:lang w:val="en-US" w:eastAsia="zh-CN"/>
        </w:rPr>
        <w:t>等成果资料。</w:t>
      </w:r>
    </w:p>
    <w:p>
      <w:pPr>
        <w:spacing w:beforeLines="0" w:afterLines="0" w:line="560" w:lineRule="exact"/>
        <w:ind w:firstLine="640" w:firstLineChars="200"/>
        <w:jc w:val="both"/>
        <w:rPr>
          <w:rFonts w:hint="eastAsia" w:ascii="FangSong_GB2312" w:hAnsi="FangSong_GB2312" w:eastAsia="FangSong_GB2312" w:cs="Times New Roman"/>
          <w:sz w:val="32"/>
          <w:szCs w:val="24"/>
          <w:lang w:eastAsia="zh-CN"/>
        </w:rPr>
      </w:pPr>
      <w:r>
        <w:rPr>
          <w:rFonts w:hint="eastAsia" w:ascii="FangSong_GB2312" w:hAnsi="FangSong_GB2312" w:eastAsia="FangSong_GB2312" w:cs="Times New Roman"/>
          <w:sz w:val="32"/>
          <w:szCs w:val="24"/>
          <w:lang w:val="en-US" w:eastAsia="zh-CN"/>
        </w:rPr>
        <w:t>综上，评价认为该项目较好的完成了产出质量指标的要求，但</w:t>
      </w:r>
      <w:r>
        <w:rPr>
          <w:rFonts w:hint="eastAsia" w:ascii="FangSong_GB2312" w:hAnsi="FangSong_GB2312" w:eastAsia="FangSong_GB2312" w:cs="Times New Roman"/>
          <w:kern w:val="2"/>
          <w:sz w:val="32"/>
          <w:szCs w:val="24"/>
          <w:lang w:val="en-US" w:eastAsia="zh-CN"/>
        </w:rPr>
        <w:t>平台测试报告中有12项测试结果为空和未按合同约定的时间及时取得验收合格证明文件</w:t>
      </w:r>
      <w:r>
        <w:rPr>
          <w:rFonts w:hint="eastAsia" w:ascii="FangSong_GB2312" w:hAnsi="FangSong_GB2312" w:eastAsia="FangSong_GB2312" w:cs="Times New Roman"/>
          <w:sz w:val="32"/>
          <w:szCs w:val="24"/>
        </w:rPr>
        <w:t>，影响</w:t>
      </w:r>
      <w:r>
        <w:rPr>
          <w:rFonts w:hint="eastAsia" w:ascii="FangSong_GB2312" w:hAnsi="FangSong_GB2312" w:eastAsia="FangSong_GB2312" w:cs="Times New Roman"/>
          <w:sz w:val="32"/>
          <w:szCs w:val="24"/>
          <w:lang w:val="en-US" w:eastAsia="zh-CN"/>
        </w:rPr>
        <w:t>了</w:t>
      </w:r>
      <w:r>
        <w:rPr>
          <w:rFonts w:hint="eastAsia" w:ascii="FangSong_GB2312" w:hAnsi="FangSong_GB2312" w:eastAsia="FangSong_GB2312" w:cs="Times New Roman"/>
          <w:sz w:val="32"/>
          <w:szCs w:val="24"/>
        </w:rPr>
        <w:t>实际质量指标完成情况的评价</w:t>
      </w:r>
      <w:r>
        <w:rPr>
          <w:rFonts w:hint="eastAsia" w:ascii="FangSong_GB2312" w:hAnsi="FangSong_GB2312" w:eastAsia="FangSong_GB2312" w:cs="Times New Roman"/>
          <w:sz w:val="32"/>
          <w:szCs w:val="24"/>
          <w:lang w:eastAsia="zh-CN"/>
        </w:rPr>
        <w:t>。</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3.产出时效情况分析</w:t>
      </w:r>
    </w:p>
    <w:p>
      <w:pPr>
        <w:spacing w:beforeLines="0" w:afterLines="0" w:line="560" w:lineRule="exact"/>
        <w:ind w:firstLine="640" w:firstLineChars="200"/>
        <w:jc w:val="both"/>
        <w:rPr>
          <w:rFonts w:hint="eastAsia" w:ascii="FangSong_GB2312" w:hAnsi="FangSong_GB2312" w:eastAsia="FangSong_GB2312" w:cs="Times New Roman"/>
          <w:sz w:val="32"/>
          <w:szCs w:val="24"/>
          <w:lang w:val="en-US" w:eastAsia="zh-CN"/>
        </w:rPr>
      </w:pPr>
      <w:r>
        <w:rPr>
          <w:rFonts w:hint="eastAsia" w:ascii="FangSong_GB2312" w:hAnsi="FangSong_GB2312" w:eastAsia="FangSong_GB2312" w:cs="Times New Roman"/>
          <w:sz w:val="32"/>
          <w:szCs w:val="24"/>
        </w:rPr>
        <w:t>该项目</w:t>
      </w:r>
      <w:r>
        <w:rPr>
          <w:rFonts w:hint="eastAsia" w:ascii="FangSong_GB2312" w:hAnsi="FangSong_GB2312" w:eastAsia="FangSong_GB2312" w:cs="Times New Roman"/>
          <w:sz w:val="32"/>
          <w:szCs w:val="24"/>
          <w:lang w:val="en-US" w:eastAsia="zh-CN"/>
        </w:rPr>
        <w:t>于</w:t>
      </w:r>
      <w:r>
        <w:rPr>
          <w:rFonts w:hint="eastAsia" w:ascii="FangSong_GB2312" w:hAnsi="FangSong_GB2312" w:eastAsia="FangSong_GB2312" w:cs="Times New Roman"/>
          <w:sz w:val="32"/>
          <w:szCs w:val="24"/>
        </w:rPr>
        <w:t>202</w:t>
      </w:r>
      <w:r>
        <w:rPr>
          <w:rFonts w:hint="eastAsia" w:ascii="FangSong_GB2312" w:hAnsi="FangSong_GB2312" w:eastAsia="FangSong_GB2312" w:cs="Times New Roman"/>
          <w:sz w:val="32"/>
          <w:szCs w:val="24"/>
          <w:lang w:val="en-US" w:eastAsia="zh-CN"/>
        </w:rPr>
        <w:t>4</w:t>
      </w:r>
      <w:r>
        <w:rPr>
          <w:rFonts w:hint="eastAsia" w:ascii="FangSong_GB2312" w:hAnsi="FangSong_GB2312" w:eastAsia="FangSong_GB2312" w:cs="Times New Roman"/>
          <w:sz w:val="32"/>
          <w:szCs w:val="24"/>
        </w:rPr>
        <w:t>年</w:t>
      </w:r>
      <w:r>
        <w:rPr>
          <w:rFonts w:hint="eastAsia" w:ascii="FangSong_GB2312" w:hAnsi="FangSong_GB2312" w:eastAsia="FangSong_GB2312" w:cs="Times New Roman"/>
          <w:sz w:val="32"/>
          <w:szCs w:val="24"/>
          <w:lang w:val="en-US" w:eastAsia="zh-CN"/>
        </w:rPr>
        <w:t>1</w:t>
      </w:r>
      <w:r>
        <w:rPr>
          <w:rFonts w:hint="eastAsia" w:ascii="FangSong_GB2312" w:hAnsi="FangSong_GB2312" w:eastAsia="FangSong_GB2312" w:cs="Times New Roman"/>
          <w:sz w:val="32"/>
          <w:szCs w:val="24"/>
        </w:rPr>
        <w:t>月</w:t>
      </w:r>
      <w:r>
        <w:rPr>
          <w:rFonts w:hint="eastAsia" w:ascii="FangSong_GB2312" w:hAnsi="FangSong_GB2312" w:eastAsia="FangSong_GB2312" w:cs="Times New Roman"/>
          <w:sz w:val="32"/>
          <w:szCs w:val="24"/>
          <w:lang w:val="en-US" w:eastAsia="zh-CN"/>
        </w:rPr>
        <w:t>正式</w:t>
      </w:r>
      <w:r>
        <w:rPr>
          <w:rFonts w:hint="eastAsia" w:ascii="FangSong_GB2312" w:hAnsi="FangSong_GB2312" w:eastAsia="FangSong_GB2312" w:cs="Times New Roman"/>
          <w:sz w:val="32"/>
          <w:szCs w:val="24"/>
        </w:rPr>
        <w:t>启动</w:t>
      </w:r>
      <w:r>
        <w:rPr>
          <w:rFonts w:hint="eastAsia" w:ascii="FangSong_GB2312" w:hAnsi="FangSong_GB2312" w:eastAsia="FangSong_GB2312" w:cs="Times New Roman"/>
          <w:sz w:val="32"/>
          <w:szCs w:val="24"/>
          <w:lang w:val="en-US" w:eastAsia="zh-CN"/>
        </w:rPr>
        <w:t>建设，</w:t>
      </w:r>
      <w:r>
        <w:rPr>
          <w:rFonts w:hint="eastAsia" w:ascii="FangSong_GB2312" w:hAnsi="FangSong_GB2312" w:eastAsia="FangSong_GB2312" w:cs="Times New Roman"/>
          <w:sz w:val="32"/>
          <w:szCs w:val="24"/>
        </w:rPr>
        <w:t>2024年</w:t>
      </w:r>
      <w:r>
        <w:rPr>
          <w:rFonts w:hint="eastAsia" w:ascii="FangSong_GB2312" w:hAnsi="FangSong_GB2312" w:eastAsia="FangSong_GB2312" w:cs="Times New Roman"/>
          <w:sz w:val="32"/>
          <w:szCs w:val="24"/>
          <w:lang w:val="en-US" w:eastAsia="zh-CN"/>
        </w:rPr>
        <w:t>12</w:t>
      </w:r>
      <w:r>
        <w:rPr>
          <w:rFonts w:hint="eastAsia" w:ascii="FangSong_GB2312" w:hAnsi="FangSong_GB2312" w:eastAsia="FangSong_GB2312" w:cs="Times New Roman"/>
          <w:sz w:val="32"/>
          <w:szCs w:val="24"/>
        </w:rPr>
        <w:t>月完成了</w:t>
      </w:r>
      <w:r>
        <w:rPr>
          <w:rFonts w:hint="eastAsia" w:ascii="FangSong_GB2312" w:hAnsi="FangSong_GB2312" w:eastAsia="FangSong_GB2312" w:cs="Times New Roman"/>
          <w:sz w:val="32"/>
          <w:szCs w:val="24"/>
          <w:lang w:val="en-US" w:eastAsia="zh-CN"/>
        </w:rPr>
        <w:t>项目</w:t>
      </w:r>
      <w:r>
        <w:rPr>
          <w:rFonts w:hint="eastAsia" w:ascii="FangSong_GB2312" w:hAnsi="FangSong_GB2312" w:eastAsia="FangSong_GB2312" w:cs="Times New Roman"/>
          <w:sz w:val="32"/>
          <w:szCs w:val="24"/>
        </w:rPr>
        <w:t>验收</w:t>
      </w:r>
      <w:r>
        <w:rPr>
          <w:rFonts w:hint="eastAsia" w:ascii="FangSong_GB2312" w:hAnsi="FangSong_GB2312" w:eastAsia="FangSong_GB2312" w:cs="Times New Roman"/>
          <w:sz w:val="32"/>
          <w:szCs w:val="24"/>
          <w:lang w:val="en-US" w:eastAsia="zh-CN"/>
        </w:rPr>
        <w:t>，符合“地下水环境监测网、自动监测体系、环境管理信息系统建设期12个月”的指标要求。</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4.产出成本情况分析</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lang w:val="en-US" w:eastAsia="zh-CN"/>
        </w:rPr>
        <w:t>该项目在实施过程中，</w:t>
      </w:r>
      <w:r>
        <w:rPr>
          <w:rFonts w:hint="eastAsia" w:ascii="FangSong_GB2312" w:hAnsi="FangSong_GB2312" w:eastAsia="FangSong_GB2312" w:cs="Times New Roman"/>
          <w:kern w:val="2"/>
          <w:sz w:val="32"/>
          <w:szCs w:val="24"/>
          <w:lang w:eastAsia="zh-CN"/>
        </w:rPr>
        <w:t>区生态环境局</w:t>
      </w:r>
      <w:r>
        <w:rPr>
          <w:rFonts w:hint="eastAsia" w:ascii="FangSong_GB2312" w:hAnsi="FangSong_GB2312" w:eastAsia="FangSong_GB2312" w:cs="Times New Roman"/>
          <w:kern w:val="2"/>
          <w:sz w:val="32"/>
          <w:szCs w:val="24"/>
          <w:lang w:val="en-US" w:eastAsia="zh-CN"/>
        </w:rPr>
        <w:t>履行</w:t>
      </w:r>
      <w:r>
        <w:rPr>
          <w:rFonts w:hint="eastAsia" w:ascii="FangSong_GB2312" w:hAnsi="FangSong_GB2312" w:eastAsia="FangSong_GB2312" w:cs="Times New Roman"/>
          <w:kern w:val="2"/>
          <w:sz w:val="32"/>
          <w:szCs w:val="24"/>
        </w:rPr>
        <w:t>公开招标程序</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通过招标结余财政资金538.71万元，成本控制基本有效。但未提供项目实施过程中的</w:t>
      </w:r>
      <w:r>
        <w:rPr>
          <w:rFonts w:hint="eastAsia" w:ascii="FangSong_GB2312" w:hAnsi="FangSong_GB2312" w:eastAsia="FangSong_GB2312" w:cs="Times New Roman"/>
          <w:kern w:val="2"/>
          <w:sz w:val="32"/>
          <w:szCs w:val="24"/>
        </w:rPr>
        <w:t>成本管理支撑材料</w:t>
      </w:r>
      <w:r>
        <w:rPr>
          <w:rFonts w:hint="eastAsia" w:ascii="FangSong_GB2312" w:hAnsi="FangSong_GB2312" w:eastAsia="FangSong_GB2312" w:cs="Times New Roman"/>
          <w:kern w:val="2"/>
          <w:sz w:val="32"/>
          <w:szCs w:val="24"/>
          <w:lang w:val="en-US" w:eastAsia="zh-CN"/>
        </w:rPr>
        <w:t>，如</w:t>
      </w:r>
      <w:r>
        <w:rPr>
          <w:rFonts w:hint="eastAsia" w:ascii="FangSong_GB2312" w:hAnsi="FangSong_GB2312" w:eastAsia="FangSong_GB2312" w:cs="Times New Roman"/>
          <w:kern w:val="2"/>
          <w:sz w:val="32"/>
          <w:szCs w:val="24"/>
        </w:rPr>
        <w:t>成本动态监控记录</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如</w:t>
      </w:r>
      <w:r>
        <w:rPr>
          <w:rFonts w:hint="eastAsia" w:ascii="FangSong_GB2312" w:hAnsi="FangSong_GB2312" w:eastAsia="FangSong_GB2312" w:cs="Times New Roman"/>
          <w:kern w:val="2"/>
          <w:sz w:val="32"/>
          <w:szCs w:val="24"/>
        </w:rPr>
        <w:t>预算执行分析、</w:t>
      </w:r>
      <w:r>
        <w:rPr>
          <w:rFonts w:hint="eastAsia" w:ascii="FangSong_GB2312" w:hAnsi="FangSong_GB2312" w:eastAsia="FangSong_GB2312" w:cs="Times New Roman"/>
          <w:kern w:val="2"/>
          <w:sz w:val="32"/>
          <w:szCs w:val="24"/>
          <w:lang w:val="en-US" w:eastAsia="zh-CN"/>
        </w:rPr>
        <w:t>预算</w:t>
      </w:r>
      <w:r>
        <w:rPr>
          <w:rFonts w:hint="eastAsia" w:ascii="FangSong_GB2312" w:hAnsi="FangSong_GB2312" w:eastAsia="FangSong_GB2312" w:cs="Times New Roman"/>
          <w:kern w:val="2"/>
          <w:sz w:val="32"/>
          <w:szCs w:val="24"/>
        </w:rPr>
        <w:t>调整审批</w:t>
      </w:r>
      <w:r>
        <w:rPr>
          <w:rFonts w:hint="eastAsia" w:ascii="FangSong_GB2312" w:hAnsi="FangSong_GB2312" w:eastAsia="FangSong_GB2312" w:cs="Times New Roman"/>
          <w:kern w:val="2"/>
          <w:sz w:val="32"/>
          <w:szCs w:val="24"/>
          <w:lang w:val="en-US" w:eastAsia="zh-CN"/>
        </w:rPr>
        <w:t>资料</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工程量变更</w:t>
      </w:r>
      <w:r>
        <w:rPr>
          <w:rFonts w:hint="eastAsia" w:ascii="FangSong_GB2312" w:hAnsi="FangSong_GB2312" w:eastAsia="FangSong_GB2312" w:cs="Times New Roman"/>
          <w:kern w:val="2"/>
          <w:sz w:val="32"/>
          <w:szCs w:val="24"/>
          <w:lang w:val="en-US" w:eastAsia="zh-CN"/>
        </w:rPr>
        <w:t>单、</w:t>
      </w:r>
      <w:r>
        <w:rPr>
          <w:rFonts w:hint="eastAsia" w:ascii="FangSong_GB2312" w:hAnsi="FangSong_GB2312" w:eastAsia="FangSong_GB2312" w:cs="Times New Roman"/>
          <w:kern w:val="2"/>
          <w:sz w:val="32"/>
          <w:szCs w:val="24"/>
        </w:rPr>
        <w:t>工程量确认单</w:t>
      </w:r>
      <w:r>
        <w:rPr>
          <w:rFonts w:hint="eastAsia" w:ascii="FangSong_GB2312" w:hAnsi="FangSong_GB2312" w:eastAsia="FangSong_GB2312" w:cs="Times New Roman"/>
          <w:kern w:val="2"/>
          <w:sz w:val="32"/>
          <w:szCs w:val="24"/>
          <w:lang w:val="en-US" w:eastAsia="zh-CN"/>
        </w:rPr>
        <w:t>等</w:t>
      </w:r>
      <w:r>
        <w:rPr>
          <w:rFonts w:hint="eastAsia" w:ascii="FangSong_GB2312" w:hAnsi="FangSong_GB2312" w:eastAsia="FangSong_GB2312" w:cs="Times New Roman"/>
          <w:kern w:val="2"/>
          <w:sz w:val="32"/>
          <w:szCs w:val="24"/>
        </w:rPr>
        <w:t>。</w:t>
      </w:r>
    </w:p>
    <w:bookmarkEnd w:id="4"/>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（二）项目效益情况</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bookmarkStart w:id="5" w:name="_Toc956"/>
      <w:r>
        <w:rPr>
          <w:rFonts w:hint="eastAsia" w:ascii="FangSong_GB2312" w:hAnsi="FangSong_GB2312" w:eastAsia="FangSong_GB2312" w:cs="Times New Roman"/>
          <w:kern w:val="2"/>
          <w:sz w:val="32"/>
          <w:szCs w:val="24"/>
        </w:rPr>
        <w:t>1.项目实施效益</w:t>
      </w:r>
    </w:p>
    <w:p>
      <w:pPr>
        <w:spacing w:beforeLines="0" w:afterLines="0" w:line="560" w:lineRule="exact"/>
        <w:ind w:left="0" w:leftChars="0" w:firstLine="640" w:firstLineChars="200"/>
        <w:jc w:val="both"/>
        <w:rPr>
          <w:rFonts w:hint="eastAsia" w:ascii="FangSong_GB2312" w:hAnsi="FangSong_GB2312" w:eastAsia="FangSong_GB2312" w:cs="Times New Roman"/>
          <w:kern w:val="2"/>
          <w:sz w:val="32"/>
          <w:szCs w:val="24"/>
          <w:lang w:val="en-US" w:eastAsia="zh-CN"/>
        </w:rPr>
      </w:pPr>
      <w:bookmarkStart w:id="6" w:name="OLE_LINK23"/>
      <w:r>
        <w:rPr>
          <w:rFonts w:hint="eastAsia" w:ascii="FangSong_GB2312" w:hAnsi="FangSong_GB2312" w:eastAsia="FangSong_GB2312" w:cs="Times New Roman"/>
          <w:kern w:val="2"/>
          <w:sz w:val="32"/>
          <w:szCs w:val="24"/>
          <w:lang w:val="en-US" w:eastAsia="zh-CN"/>
        </w:rPr>
        <w:t>该项目较好地实现了</w:t>
      </w:r>
      <w:r>
        <w:rPr>
          <w:rFonts w:hint="eastAsia" w:ascii="FangSong_GB2312" w:hAnsi="FangSong_GB2312" w:eastAsia="FangSong_GB2312" w:cs="Times New Roman"/>
          <w:kern w:val="2"/>
          <w:sz w:val="32"/>
          <w:szCs w:val="24"/>
        </w:rPr>
        <w:t>社会指标</w:t>
      </w:r>
      <w:r>
        <w:rPr>
          <w:rFonts w:hint="eastAsia" w:ascii="FangSong_GB2312" w:hAnsi="FangSong_GB2312" w:eastAsia="FangSong_GB2312" w:cs="Times New Roman"/>
          <w:kern w:val="2"/>
          <w:sz w:val="32"/>
          <w:szCs w:val="24"/>
          <w:lang w:val="en-US" w:eastAsia="zh-CN"/>
        </w:rPr>
        <w:t>和生态</w:t>
      </w:r>
      <w:r>
        <w:rPr>
          <w:rFonts w:hint="eastAsia" w:ascii="FangSong_GB2312" w:hAnsi="FangSong_GB2312" w:eastAsia="FangSong_GB2312" w:cs="Times New Roman"/>
          <w:kern w:val="2"/>
          <w:sz w:val="32"/>
          <w:szCs w:val="24"/>
        </w:rPr>
        <w:t>指标</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但缺少可持续指标完成情况的支撑资料</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具体分析如下：</w:t>
      </w:r>
    </w:p>
    <w:p>
      <w:pPr>
        <w:spacing w:beforeLines="0" w:afterLines="0" w:line="560" w:lineRule="exact"/>
        <w:ind w:left="0" w:leftChars="0" w:firstLine="640" w:firstLineChars="200"/>
        <w:jc w:val="both"/>
        <w:rPr>
          <w:rFonts w:hint="eastAsia" w:ascii="FangSong_GB2312" w:hAnsi="FangSong_GB2312" w:eastAsia="FangSong_GB2312" w:cs="Times New Roman"/>
          <w:kern w:val="2"/>
          <w:sz w:val="32"/>
          <w:szCs w:val="24"/>
          <w:lang w:eastAsia="zh-CN"/>
        </w:rPr>
      </w:pPr>
      <w:r>
        <w:rPr>
          <w:rFonts w:hint="eastAsia" w:ascii="FangSong_GB2312" w:hAnsi="FangSong_GB2312" w:eastAsia="FangSong_GB2312" w:cs="Times New Roman"/>
          <w:kern w:val="2"/>
          <w:sz w:val="32"/>
          <w:szCs w:val="24"/>
          <w:lang w:val="en-US" w:eastAsia="zh-CN"/>
        </w:rPr>
        <w:t>一是该项目</w:t>
      </w:r>
      <w:r>
        <w:rPr>
          <w:rFonts w:hint="eastAsia" w:ascii="FangSong_GB2312" w:hAnsi="FangSong_GB2312" w:eastAsia="FangSong_GB2312" w:cs="Times New Roman"/>
          <w:kern w:val="2"/>
          <w:sz w:val="32"/>
          <w:szCs w:val="24"/>
        </w:rPr>
        <w:t>通过丰台区地下水“双源”监管体系建设，实现分类分区管控、监管成本下降、环境风险可控、治理模式创新，形成“科技驱动+制度保障”的监管“丰台模式”</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该项目</w:t>
      </w:r>
      <w:r>
        <w:rPr>
          <w:rFonts w:hint="eastAsia" w:ascii="FangSong_GB2312" w:hAnsi="FangSong_GB2312" w:eastAsia="FangSong_GB2312" w:cs="Times New Roman"/>
          <w:kern w:val="2"/>
          <w:sz w:val="32"/>
          <w:szCs w:val="24"/>
        </w:rPr>
        <w:t>挂牌成立了地下水研究中心及配套野外观测基地，承办“六五”生态环境日主题发布会等大型活动2次，承办“局长话水”科普活动1次，支持“八一五”全国生态日主题活动以及“九二三”美丽丰台大家谈活动等大型活动，承办各类会议10余次，累计接待人次达300人。</w:t>
      </w:r>
      <w:bookmarkEnd w:id="6"/>
      <w:r>
        <w:rPr>
          <w:rFonts w:hint="eastAsia" w:ascii="FangSong_GB2312" w:hAnsi="FangSong_GB2312" w:eastAsia="FangSong_GB2312" w:cs="Times New Roman"/>
          <w:kern w:val="2"/>
          <w:sz w:val="32"/>
          <w:szCs w:val="24"/>
        </w:rPr>
        <w:t>很好</w:t>
      </w:r>
      <w:r>
        <w:rPr>
          <w:rFonts w:hint="eastAsia" w:ascii="FangSong_GB2312" w:hAnsi="FangSong_GB2312" w:eastAsia="FangSong_GB2312" w:cs="Times New Roman"/>
          <w:kern w:val="2"/>
          <w:sz w:val="32"/>
          <w:szCs w:val="24"/>
          <w:lang w:eastAsia="zh-CN"/>
        </w:rPr>
        <w:t>地</w:t>
      </w:r>
      <w:r>
        <w:rPr>
          <w:rFonts w:hint="eastAsia" w:ascii="FangSong_GB2312" w:hAnsi="FangSong_GB2312" w:eastAsia="FangSong_GB2312" w:cs="Times New Roman"/>
          <w:kern w:val="2"/>
          <w:sz w:val="32"/>
          <w:szCs w:val="24"/>
        </w:rPr>
        <w:t>履行了社会宣传教育保护职能，提升了社会对地下水环境保护的参与度</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该项目较好地实现了</w:t>
      </w:r>
      <w:r>
        <w:rPr>
          <w:rFonts w:hint="eastAsia" w:ascii="FangSong_GB2312" w:hAnsi="FangSong_GB2312" w:eastAsia="FangSong_GB2312" w:cs="Times New Roman"/>
          <w:kern w:val="2"/>
          <w:sz w:val="32"/>
          <w:szCs w:val="24"/>
        </w:rPr>
        <w:t>社会</w:t>
      </w:r>
      <w:r>
        <w:rPr>
          <w:rFonts w:hint="eastAsia" w:ascii="FangSong_GB2312" w:hAnsi="FangSong_GB2312" w:eastAsia="FangSong_GB2312" w:cs="Times New Roman"/>
          <w:kern w:val="2"/>
          <w:sz w:val="32"/>
          <w:szCs w:val="24"/>
          <w:lang w:val="en-US" w:eastAsia="zh-CN"/>
        </w:rPr>
        <w:t>效益和生态效益</w:t>
      </w:r>
      <w:r>
        <w:rPr>
          <w:rFonts w:hint="eastAsia" w:ascii="FangSong_GB2312" w:hAnsi="FangSong_GB2312" w:eastAsia="FangSong_GB2312" w:cs="Times New Roman"/>
          <w:kern w:val="2"/>
          <w:sz w:val="32"/>
          <w:szCs w:val="24"/>
          <w:lang w:eastAsia="zh-CN"/>
        </w:rPr>
        <w:t>。</w:t>
      </w:r>
    </w:p>
    <w:p>
      <w:pPr>
        <w:spacing w:beforeLines="0" w:afterLines="0" w:line="560" w:lineRule="exact"/>
        <w:ind w:left="0" w:leftChars="0" w:firstLine="640" w:firstLineChars="200"/>
        <w:jc w:val="both"/>
        <w:rPr>
          <w:rFonts w:hint="eastAsia" w:ascii="FangSong_GB2312" w:hAnsi="FangSong_GB2312" w:eastAsia="FangSong_GB2312" w:cs="Times New Roman"/>
          <w:kern w:val="2"/>
          <w:sz w:val="32"/>
          <w:szCs w:val="24"/>
          <w:lang w:val="en-US" w:eastAsia="zh-CN"/>
        </w:rPr>
      </w:pPr>
      <w:r>
        <w:rPr>
          <w:rFonts w:hint="eastAsia" w:ascii="FangSong_GB2312" w:hAnsi="FangSong_GB2312" w:eastAsia="FangSong_GB2312" w:cs="Times New Roman"/>
          <w:kern w:val="2"/>
          <w:sz w:val="32"/>
          <w:szCs w:val="24"/>
          <w:lang w:val="en-US" w:eastAsia="zh-CN"/>
        </w:rPr>
        <w:t>二是该项目缺少</w:t>
      </w:r>
      <w:r>
        <w:rPr>
          <w:rFonts w:hint="eastAsia" w:ascii="FangSong_GB2312" w:hAnsi="FangSong_GB2312" w:eastAsia="FangSong_GB2312" w:cs="Times New Roman"/>
          <w:sz w:val="32"/>
          <w:szCs w:val="24"/>
        </w:rPr>
        <w:t>可持续</w:t>
      </w:r>
      <w:r>
        <w:rPr>
          <w:rFonts w:hint="eastAsia" w:ascii="FangSong_GB2312" w:hAnsi="FangSong_GB2312" w:eastAsia="FangSong_GB2312" w:cs="Times New Roman"/>
          <w:sz w:val="32"/>
          <w:szCs w:val="24"/>
          <w:lang w:val="en-US" w:eastAsia="zh-CN"/>
        </w:rPr>
        <w:t>发展方面的支撑资料，如未能提供</w:t>
      </w:r>
      <w:r>
        <w:rPr>
          <w:rFonts w:hint="eastAsia" w:ascii="FangSong_GB2312" w:hAnsi="FangSong_GB2312" w:eastAsia="FangSong_GB2312" w:cs="Times New Roman"/>
          <w:sz w:val="32"/>
          <w:szCs w:val="24"/>
        </w:rPr>
        <w:t>系统、设备运营维护期</w:t>
      </w:r>
      <w:r>
        <w:rPr>
          <w:rFonts w:hint="eastAsia" w:ascii="FangSong_GB2312" w:hAnsi="FangSong_GB2312" w:eastAsia="FangSong_GB2312" w:cs="Times New Roman"/>
          <w:sz w:val="32"/>
          <w:szCs w:val="24"/>
          <w:lang w:val="en-US" w:eastAsia="zh-CN"/>
        </w:rPr>
        <w:t>满后的</w:t>
      </w:r>
      <w:r>
        <w:rPr>
          <w:rFonts w:hint="eastAsia" w:ascii="FangSong_GB2312" w:hAnsi="FangSong_GB2312" w:eastAsia="FangSong_GB2312" w:cs="Times New Roman"/>
          <w:sz w:val="32"/>
          <w:szCs w:val="24"/>
        </w:rPr>
        <w:t>运维模式、资金来源</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成本测算、</w:t>
      </w:r>
      <w:r>
        <w:rPr>
          <w:rFonts w:hint="eastAsia" w:ascii="FangSong_GB2312" w:hAnsi="FangSong_GB2312" w:eastAsia="FangSong_GB2312" w:cs="Times New Roman"/>
          <w:sz w:val="32"/>
          <w:szCs w:val="24"/>
          <w:lang w:val="en-US" w:eastAsia="zh-CN"/>
        </w:rPr>
        <w:t>系统更新迭代</w:t>
      </w:r>
      <w:r>
        <w:rPr>
          <w:rFonts w:hint="eastAsia" w:ascii="FangSong_GB2312" w:hAnsi="FangSong_GB2312" w:eastAsia="FangSong_GB2312" w:cs="Times New Roman"/>
          <w:sz w:val="32"/>
          <w:szCs w:val="24"/>
        </w:rPr>
        <w:t>等</w:t>
      </w:r>
      <w:r>
        <w:rPr>
          <w:rFonts w:hint="eastAsia" w:ascii="FangSong_GB2312" w:hAnsi="FangSong_GB2312" w:eastAsia="FangSong_GB2312" w:cs="Times New Roman"/>
          <w:sz w:val="32"/>
          <w:szCs w:val="24"/>
          <w:lang w:val="en-US" w:eastAsia="zh-CN"/>
        </w:rPr>
        <w:t>方面的规划，</w:t>
      </w:r>
      <w:r>
        <w:rPr>
          <w:rFonts w:hint="eastAsia" w:ascii="FangSong_GB2312" w:hAnsi="FangSong_GB2312" w:eastAsia="FangSong_GB2312" w:cs="Times New Roman"/>
          <w:kern w:val="2"/>
          <w:sz w:val="32"/>
          <w:szCs w:val="24"/>
          <w:lang w:val="en-US" w:eastAsia="zh-CN"/>
        </w:rPr>
        <w:t>可持续方面的效益展现不充分。</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2.服务对象满意度</w:t>
      </w:r>
    </w:p>
    <w:p>
      <w:pPr>
        <w:widowControl/>
        <w:spacing w:beforeLines="0" w:afterLines="0" w:line="560" w:lineRule="exact"/>
        <w:ind w:firstLine="640" w:firstLineChars="200"/>
        <w:jc w:val="both"/>
        <w:rPr>
          <w:rFonts w:hint="eastAsia" w:ascii="FangSong_GB2312" w:hAnsi="FangSong_GB2312" w:eastAsia="FangSong_GB2312" w:cs="Times New Roman"/>
          <w:kern w:val="2"/>
          <w:sz w:val="32"/>
          <w:szCs w:val="24"/>
          <w:lang w:val="en-US" w:eastAsia="zh-CN"/>
        </w:rPr>
      </w:pPr>
      <w:r>
        <w:rPr>
          <w:rFonts w:hint="eastAsia" w:ascii="FangSong_GB2312" w:hAnsi="FangSong_GB2312" w:eastAsia="FangSong_GB2312" w:cs="Times New Roman"/>
          <w:sz w:val="32"/>
          <w:szCs w:val="24"/>
          <w:lang w:val="en-US" w:eastAsia="zh-CN"/>
        </w:rPr>
        <w:t>该</w:t>
      </w:r>
      <w:r>
        <w:rPr>
          <w:rFonts w:hint="eastAsia" w:ascii="FangSong_GB2312" w:hAnsi="FangSong_GB2312" w:eastAsia="FangSong_GB2312" w:cs="Times New Roman"/>
          <w:sz w:val="32"/>
          <w:szCs w:val="24"/>
        </w:rPr>
        <w:t>项目满意度调查指标设置</w:t>
      </w:r>
      <w:r>
        <w:rPr>
          <w:rFonts w:hint="eastAsia" w:ascii="FangSong_GB2312" w:hAnsi="FangSong_GB2312" w:eastAsia="FangSong_GB2312" w:cs="Times New Roman"/>
          <w:sz w:val="32"/>
          <w:szCs w:val="24"/>
          <w:lang w:val="en-US" w:eastAsia="zh-CN"/>
        </w:rPr>
        <w:t>不够科学</w:t>
      </w:r>
      <w:r>
        <w:rPr>
          <w:rFonts w:hint="eastAsia" w:ascii="FangSong_GB2312" w:hAnsi="FangSong_GB2312" w:eastAsia="FangSong_GB2312" w:cs="Times New Roman"/>
          <w:sz w:val="32"/>
          <w:szCs w:val="24"/>
        </w:rPr>
        <w:t>。具体分析如下：</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kern w:val="2"/>
          <w:sz w:val="32"/>
          <w:szCs w:val="24"/>
          <w:lang w:val="en-US" w:eastAsia="zh-CN"/>
        </w:rPr>
        <w:t>该</w:t>
      </w:r>
      <w:r>
        <w:rPr>
          <w:rFonts w:hint="eastAsia" w:ascii="FangSong_GB2312" w:hAnsi="FangSong_GB2312" w:eastAsia="FangSong_GB2312" w:cs="Times New Roman"/>
          <w:kern w:val="2"/>
          <w:sz w:val="32"/>
          <w:szCs w:val="24"/>
        </w:rPr>
        <w:t>项目</w:t>
      </w:r>
      <w:r>
        <w:rPr>
          <w:rFonts w:hint="eastAsia" w:ascii="FangSong_GB2312" w:hAnsi="FangSong_GB2312" w:eastAsia="FangSong_GB2312" w:cs="Times New Roman"/>
          <w:kern w:val="2"/>
          <w:sz w:val="32"/>
          <w:szCs w:val="24"/>
          <w:lang w:val="en-US" w:eastAsia="zh-CN"/>
        </w:rPr>
        <w:t>验收</w:t>
      </w:r>
      <w:r>
        <w:rPr>
          <w:rFonts w:hint="eastAsia" w:ascii="FangSong_GB2312" w:hAnsi="FangSong_GB2312" w:eastAsia="FangSong_GB2312" w:cs="Times New Roman"/>
          <w:kern w:val="2"/>
          <w:sz w:val="32"/>
          <w:szCs w:val="24"/>
        </w:rPr>
        <w:t>后，</w:t>
      </w:r>
      <w:r>
        <w:rPr>
          <w:rFonts w:hint="eastAsia" w:ascii="FangSong_GB2312" w:hAnsi="FangSong_GB2312" w:eastAsia="FangSong_GB2312" w:cs="Times New Roman"/>
          <w:kern w:val="2"/>
          <w:sz w:val="32"/>
          <w:szCs w:val="24"/>
          <w:lang w:eastAsia="zh-CN"/>
        </w:rPr>
        <w:t>区生态环境局</w:t>
      </w:r>
      <w:r>
        <w:rPr>
          <w:rFonts w:hint="eastAsia" w:ascii="FangSong_GB2312" w:hAnsi="FangSong_GB2312" w:eastAsia="FangSong_GB2312" w:cs="Times New Roman"/>
          <w:kern w:val="2"/>
          <w:sz w:val="32"/>
          <w:szCs w:val="24"/>
          <w:lang w:val="en-US" w:eastAsia="zh-CN"/>
        </w:rPr>
        <w:t>开展</w:t>
      </w:r>
      <w:r>
        <w:rPr>
          <w:rFonts w:hint="eastAsia" w:ascii="FangSong_GB2312" w:hAnsi="FangSong_GB2312" w:eastAsia="FangSong_GB2312" w:cs="Times New Roman"/>
          <w:kern w:val="2"/>
          <w:sz w:val="32"/>
          <w:szCs w:val="24"/>
        </w:rPr>
        <w:t>了满意度调查</w:t>
      </w:r>
      <w:r>
        <w:rPr>
          <w:rFonts w:hint="eastAsia" w:ascii="FangSong_GB2312" w:hAnsi="FangSong_GB2312" w:eastAsia="FangSong_GB2312" w:cs="Times New Roman"/>
          <w:kern w:val="2"/>
          <w:sz w:val="32"/>
          <w:szCs w:val="24"/>
          <w:lang w:val="en-US" w:eastAsia="zh-CN"/>
        </w:rPr>
        <w:t>工作</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提供了10份满意度调查表，其中政府部门满意度2份、公众满意度4份、培训满意度4份。但满意度调查科学性不足：一是样本量偏少，覆盖范围有限，无法真实完整反映实际情况，存在统计偏差风险；二是未能</w:t>
      </w:r>
      <w:r>
        <w:rPr>
          <w:rFonts w:hint="eastAsia" w:ascii="FangSong_GB2312" w:hAnsi="FangSong_GB2312" w:eastAsia="FangSong_GB2312" w:cs="Times New Roman"/>
          <w:kern w:val="2"/>
          <w:sz w:val="32"/>
          <w:szCs w:val="24"/>
        </w:rPr>
        <w:t>基于调查</w:t>
      </w:r>
      <w:r>
        <w:rPr>
          <w:rFonts w:hint="eastAsia" w:ascii="FangSong_GB2312" w:hAnsi="FangSong_GB2312" w:eastAsia="FangSong_GB2312" w:cs="Times New Roman"/>
          <w:kern w:val="2"/>
          <w:sz w:val="32"/>
          <w:szCs w:val="24"/>
          <w:lang w:val="en-US" w:eastAsia="zh-CN"/>
        </w:rPr>
        <w:t>进行分析，通过</w:t>
      </w:r>
      <w:r>
        <w:rPr>
          <w:rFonts w:hint="eastAsia" w:ascii="FangSong_GB2312" w:hAnsi="FangSong_GB2312" w:eastAsia="FangSong_GB2312" w:cs="Times New Roman"/>
          <w:kern w:val="2"/>
          <w:sz w:val="32"/>
          <w:szCs w:val="24"/>
        </w:rPr>
        <w:t>识别系统短板，</w:t>
      </w:r>
      <w:r>
        <w:rPr>
          <w:rFonts w:hint="eastAsia" w:ascii="FangSong_GB2312" w:hAnsi="FangSong_GB2312" w:eastAsia="FangSong_GB2312" w:cs="Times New Roman"/>
          <w:kern w:val="2"/>
          <w:sz w:val="32"/>
          <w:szCs w:val="24"/>
          <w:lang w:val="en-US" w:eastAsia="zh-CN"/>
        </w:rPr>
        <w:t>获取</w:t>
      </w:r>
      <w:r>
        <w:rPr>
          <w:rFonts w:hint="eastAsia" w:ascii="FangSong_GB2312" w:hAnsi="FangSong_GB2312" w:eastAsia="FangSong_GB2312" w:cs="Times New Roman"/>
          <w:kern w:val="2"/>
          <w:sz w:val="32"/>
          <w:szCs w:val="24"/>
        </w:rPr>
        <w:t>问题清单</w:t>
      </w:r>
      <w:r>
        <w:rPr>
          <w:rFonts w:hint="eastAsia" w:ascii="FangSong_GB2312" w:hAnsi="FangSong_GB2312" w:eastAsia="FangSong_GB2312" w:cs="Times New Roman"/>
          <w:kern w:val="2"/>
          <w:sz w:val="32"/>
          <w:szCs w:val="24"/>
          <w:lang w:val="en-US" w:eastAsia="zh-CN"/>
        </w:rPr>
        <w:t>；三是未能</w:t>
      </w:r>
      <w:r>
        <w:rPr>
          <w:rFonts w:hint="eastAsia" w:ascii="FangSong_GB2312" w:hAnsi="FangSong_GB2312" w:eastAsia="FangSong_GB2312" w:cs="Times New Roman"/>
          <w:kern w:val="2"/>
          <w:sz w:val="32"/>
          <w:szCs w:val="24"/>
        </w:rPr>
        <w:t>将问题清单转化为</w:t>
      </w:r>
      <w:r>
        <w:rPr>
          <w:rFonts w:hint="eastAsia" w:ascii="FangSong_GB2312" w:hAnsi="FangSong_GB2312" w:eastAsia="FangSong_GB2312" w:cs="Times New Roman"/>
          <w:kern w:val="2"/>
          <w:sz w:val="32"/>
          <w:szCs w:val="24"/>
          <w:lang w:val="en-US" w:eastAsia="zh-CN"/>
        </w:rPr>
        <w:t>整改</w:t>
      </w:r>
      <w:r>
        <w:rPr>
          <w:rFonts w:hint="eastAsia" w:ascii="FangSong_GB2312" w:hAnsi="FangSong_GB2312" w:eastAsia="FangSong_GB2312" w:cs="Times New Roman"/>
          <w:kern w:val="2"/>
          <w:sz w:val="32"/>
          <w:szCs w:val="24"/>
        </w:rPr>
        <w:t>计划</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未能</w:t>
      </w:r>
      <w:r>
        <w:rPr>
          <w:rFonts w:hint="eastAsia" w:ascii="FangSong_GB2312" w:hAnsi="FangSong_GB2312" w:eastAsia="FangSong_GB2312" w:cs="Times New Roman"/>
          <w:kern w:val="2"/>
          <w:sz w:val="32"/>
          <w:szCs w:val="24"/>
        </w:rPr>
        <w:t>实现“以评促改”的闭环管理目标‌。</w:t>
      </w:r>
      <w:bookmarkEnd w:id="5"/>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四、存在的主要问题</w:t>
      </w:r>
    </w:p>
    <w:p>
      <w:pPr>
        <w:spacing w:beforeLines="0" w:afterLines="0" w:line="560" w:lineRule="exact"/>
        <w:ind w:firstLine="640" w:firstLineChars="200"/>
        <w:jc w:val="both"/>
        <w:rPr>
          <w:rFonts w:hint="eastAsia" w:ascii="FangSong_GB2312" w:hAnsi="FangSong_GB2312" w:eastAsia="FangSong_GB2312" w:cs="Times New Roman"/>
          <w:sz w:val="32"/>
          <w:szCs w:val="24"/>
          <w:lang w:val="en-US" w:eastAsia="zh-CN"/>
        </w:rPr>
      </w:pPr>
      <w:r>
        <w:rPr>
          <w:rFonts w:hint="eastAsia" w:ascii="FangSong_GB2312" w:hAnsi="FangSong_GB2312" w:eastAsia="FangSong_GB2312" w:cs="Times New Roman"/>
          <w:kern w:val="2"/>
          <w:sz w:val="32"/>
          <w:szCs w:val="24"/>
        </w:rPr>
        <w:t>1.</w:t>
      </w:r>
      <w:r>
        <w:rPr>
          <w:rFonts w:hint="eastAsia" w:ascii="FangSong_GB2312" w:hAnsi="FangSong_GB2312" w:eastAsia="FangSong_GB2312" w:cs="Times New Roman"/>
          <w:kern w:val="2"/>
          <w:sz w:val="32"/>
          <w:szCs w:val="24"/>
          <w:lang w:val="en-US" w:eastAsia="zh-CN"/>
        </w:rPr>
        <w:t>立项程序规范性不足</w:t>
      </w:r>
      <w:r>
        <w:rPr>
          <w:rFonts w:hint="eastAsia" w:ascii="FangSong_GB2312" w:hAnsi="FangSong_GB2312" w:eastAsia="FangSong_GB2312" w:cs="Times New Roman"/>
          <w:sz w:val="32"/>
          <w:szCs w:val="24"/>
          <w:lang w:val="en-US" w:eastAsia="zh-CN"/>
        </w:rPr>
        <w:t>，缺少</w:t>
      </w:r>
      <w:r>
        <w:rPr>
          <w:rFonts w:hint="eastAsia" w:ascii="FangSong_GB2312" w:hAnsi="FangSong_GB2312" w:eastAsia="FangSong_GB2312" w:cs="Times New Roman"/>
          <w:sz w:val="32"/>
          <w:szCs w:val="24"/>
        </w:rPr>
        <w:t>可持续发展规划</w:t>
      </w:r>
    </w:p>
    <w:p>
      <w:pPr>
        <w:numPr>
          <w:ilvl w:val="0"/>
          <w:numId w:val="0"/>
        </w:numPr>
        <w:spacing w:beforeLines="0" w:afterLines="0" w:line="560" w:lineRule="exact"/>
        <w:ind w:firstLine="640" w:firstLineChars="200"/>
        <w:jc w:val="both"/>
        <w:rPr>
          <w:rFonts w:hint="eastAsia" w:ascii="FangSong_GB2312" w:hAnsi="FangSong_GB2312" w:eastAsia="FangSong_GB2312" w:cs="Times New Roman"/>
          <w:i w:val="0"/>
          <w:iCs w:val="0"/>
          <w:caps w:val="0"/>
          <w:spacing w:val="0"/>
          <w:sz w:val="32"/>
          <w:szCs w:val="24"/>
          <w:shd w:val="clear" w:color="auto" w:fill="auto"/>
          <w:lang w:eastAsia="zh-CN"/>
        </w:rPr>
      </w:pPr>
      <w:r>
        <w:rPr>
          <w:rFonts w:hint="eastAsia" w:ascii="FangSong_GB2312" w:hAnsi="FangSong_GB2312" w:eastAsia="FangSong_GB2312" w:cs="Times New Roman"/>
          <w:sz w:val="32"/>
          <w:szCs w:val="24"/>
          <w:lang w:val="en-US" w:eastAsia="zh-CN"/>
        </w:rPr>
        <w:t>一是</w:t>
      </w:r>
      <w:r>
        <w:rPr>
          <w:rFonts w:hint="eastAsia" w:ascii="FangSong_GB2312" w:hAnsi="FangSong_GB2312" w:eastAsia="FangSong_GB2312" w:cs="Times New Roman"/>
          <w:sz w:val="32"/>
          <w:szCs w:val="24"/>
        </w:rPr>
        <w:t>《地下水环境管理信息平台软件需求规格说明书》由中环丰清公司编制，</w:t>
      </w:r>
      <w:r>
        <w:rPr>
          <w:rFonts w:hint="eastAsia" w:ascii="FangSong_GB2312" w:hAnsi="FangSong_GB2312" w:eastAsia="FangSong_GB2312" w:cs="Times New Roman"/>
          <w:sz w:val="32"/>
          <w:szCs w:val="24"/>
          <w:lang w:val="en-US" w:eastAsia="zh-CN"/>
        </w:rPr>
        <w:t>但</w:t>
      </w:r>
      <w:r>
        <w:rPr>
          <w:rFonts w:hint="eastAsia" w:ascii="FangSong_GB2312" w:hAnsi="FangSong_GB2312" w:eastAsia="FangSong_GB2312" w:cs="Times New Roman"/>
          <w:sz w:val="32"/>
          <w:szCs w:val="24"/>
        </w:rPr>
        <w:t>区生态环境局未</w:t>
      </w:r>
      <w:r>
        <w:rPr>
          <w:rFonts w:hint="eastAsia" w:ascii="FangSong_GB2312" w:hAnsi="FangSong_GB2312" w:eastAsia="FangSong_GB2312" w:cs="Times New Roman"/>
          <w:sz w:val="32"/>
          <w:szCs w:val="24"/>
          <w:lang w:val="en-US" w:eastAsia="zh-CN"/>
        </w:rPr>
        <w:t>提供</w:t>
      </w:r>
      <w:r>
        <w:rPr>
          <w:rFonts w:hint="eastAsia" w:ascii="FangSong_GB2312" w:hAnsi="FangSong_GB2312" w:eastAsia="FangSong_GB2312" w:cs="Times New Roman"/>
          <w:sz w:val="32"/>
          <w:szCs w:val="24"/>
        </w:rPr>
        <w:t>对需求内容</w:t>
      </w:r>
      <w:r>
        <w:rPr>
          <w:rFonts w:hint="eastAsia" w:ascii="FangSong_GB2312" w:hAnsi="FangSong_GB2312" w:eastAsia="FangSong_GB2312" w:cs="Times New Roman"/>
          <w:sz w:val="32"/>
          <w:szCs w:val="24"/>
          <w:lang w:val="en-US" w:eastAsia="zh-CN"/>
        </w:rPr>
        <w:t>进行</w:t>
      </w:r>
      <w:r>
        <w:rPr>
          <w:rFonts w:hint="eastAsia" w:ascii="FangSong_GB2312" w:hAnsi="FangSong_GB2312" w:eastAsia="FangSong_GB2312" w:cs="Times New Roman"/>
          <w:sz w:val="32"/>
          <w:szCs w:val="24"/>
        </w:rPr>
        <w:t>书面确认</w:t>
      </w:r>
      <w:r>
        <w:rPr>
          <w:rFonts w:hint="eastAsia" w:ascii="FangSong_GB2312" w:hAnsi="FangSong_GB2312" w:eastAsia="FangSong_GB2312" w:cs="Times New Roman"/>
          <w:sz w:val="32"/>
          <w:szCs w:val="24"/>
          <w:lang w:val="en-US" w:eastAsia="zh-CN"/>
        </w:rPr>
        <w:t>的</w:t>
      </w:r>
      <w:r>
        <w:rPr>
          <w:rFonts w:hint="eastAsia" w:ascii="FangSong_GB2312" w:hAnsi="FangSong_GB2312" w:eastAsia="FangSong_GB2312" w:cs="Times New Roman"/>
          <w:sz w:val="32"/>
          <w:szCs w:val="24"/>
        </w:rPr>
        <w:t>记录</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i w:val="0"/>
          <w:iCs w:val="0"/>
          <w:caps w:val="0"/>
          <w:spacing w:val="0"/>
          <w:sz w:val="32"/>
          <w:szCs w:val="24"/>
          <w:shd w:val="clear" w:color="auto" w:fill="auto"/>
          <w:lang w:val="en-US" w:eastAsia="zh-CN"/>
        </w:rPr>
        <w:t>二是</w:t>
      </w:r>
      <w:r>
        <w:rPr>
          <w:rFonts w:hint="eastAsia" w:ascii="FangSong_GB2312" w:hAnsi="FangSong_GB2312" w:eastAsia="FangSong_GB2312" w:cs="Times New Roman"/>
          <w:sz w:val="32"/>
          <w:szCs w:val="24"/>
        </w:rPr>
        <w:t>2023年4月区生态环境局通过会议原则同意项目启动，但在后续预算申报、资金支付等关键环节，未</w:t>
      </w:r>
      <w:r>
        <w:rPr>
          <w:rFonts w:hint="eastAsia" w:ascii="FangSong_GB2312" w:hAnsi="FangSong_GB2312" w:eastAsia="FangSong_GB2312" w:cs="Times New Roman"/>
          <w:sz w:val="32"/>
          <w:szCs w:val="24"/>
          <w:lang w:val="en-US" w:eastAsia="zh-CN"/>
        </w:rPr>
        <w:t>见</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三重一大</w:t>
      </w:r>
      <w:r>
        <w:rPr>
          <w:rFonts w:hint="eastAsia" w:ascii="FangSong_GB2312" w:hAnsi="FangSong_GB2312" w:eastAsia="FangSong_GB2312" w:cs="Times New Roman"/>
          <w:sz w:val="32"/>
          <w:szCs w:val="24"/>
          <w:lang w:eastAsia="zh-CN"/>
        </w:rPr>
        <w:t>”</w:t>
      </w:r>
      <w:r>
        <w:rPr>
          <w:rFonts w:hint="eastAsia" w:ascii="FangSong_GB2312" w:hAnsi="FangSong_GB2312" w:eastAsia="FangSong_GB2312" w:cs="Times New Roman"/>
          <w:sz w:val="32"/>
          <w:szCs w:val="24"/>
        </w:rPr>
        <w:t>集体决策的会议纪要或审批文件，</w:t>
      </w:r>
      <w:r>
        <w:rPr>
          <w:rFonts w:hint="eastAsia" w:ascii="FangSong_GB2312" w:hAnsi="FangSong_GB2312" w:eastAsia="FangSong_GB2312" w:cs="Times New Roman"/>
          <w:sz w:val="32"/>
          <w:szCs w:val="24"/>
          <w:lang w:val="en-US" w:eastAsia="zh-CN"/>
        </w:rPr>
        <w:t>该项目立项程序规范性存在不足</w:t>
      </w:r>
      <w:r>
        <w:rPr>
          <w:rFonts w:hint="eastAsia" w:ascii="FangSong_GB2312" w:hAnsi="FangSong_GB2312" w:eastAsia="FangSong_GB2312" w:cs="Times New Roman"/>
          <w:i w:val="0"/>
          <w:iCs w:val="0"/>
          <w:caps w:val="0"/>
          <w:spacing w:val="0"/>
          <w:sz w:val="32"/>
          <w:szCs w:val="24"/>
          <w:shd w:val="clear" w:color="auto" w:fill="auto"/>
          <w:lang w:eastAsia="zh-CN"/>
        </w:rPr>
        <w:t>。</w:t>
      </w:r>
    </w:p>
    <w:p>
      <w:pPr>
        <w:numPr>
          <w:ilvl w:val="0"/>
          <w:numId w:val="0"/>
        </w:num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sz w:val="32"/>
          <w:szCs w:val="24"/>
          <w:lang w:val="en-US" w:eastAsia="zh-CN"/>
        </w:rPr>
        <w:t>该项目</w:t>
      </w:r>
      <w:r>
        <w:rPr>
          <w:rFonts w:hint="eastAsia" w:ascii="FangSong_GB2312" w:hAnsi="FangSong_GB2312" w:eastAsia="FangSong_GB2312" w:cs="Times New Roman"/>
          <w:sz w:val="32"/>
          <w:szCs w:val="24"/>
        </w:rPr>
        <w:t>虽然完成了专家论证，</w:t>
      </w:r>
      <w:r>
        <w:rPr>
          <w:rFonts w:hint="eastAsia" w:ascii="FangSong_GB2312" w:hAnsi="FangSong_GB2312" w:eastAsia="FangSong_GB2312" w:cs="Times New Roman"/>
          <w:sz w:val="32"/>
          <w:szCs w:val="24"/>
          <w:lang w:val="en-US" w:eastAsia="zh-CN"/>
        </w:rPr>
        <w:t>但</w:t>
      </w:r>
      <w:r>
        <w:rPr>
          <w:rFonts w:hint="eastAsia" w:ascii="FangSong_GB2312" w:hAnsi="FangSong_GB2312" w:eastAsia="FangSong_GB2312" w:cs="Times New Roman"/>
          <w:sz w:val="32"/>
          <w:szCs w:val="24"/>
        </w:rPr>
        <w:t>可持续发展论证不足，对项目建成后的运维模式、资金来源等关键问题缺乏系统规划。</w:t>
      </w:r>
    </w:p>
    <w:p>
      <w:pPr>
        <w:spacing w:beforeLines="0" w:afterLines="0" w:line="560" w:lineRule="exact"/>
        <w:ind w:firstLine="640" w:firstLineChars="200"/>
        <w:jc w:val="both"/>
        <w:rPr>
          <w:rFonts w:hint="eastAsia" w:ascii="FangSong_GB2312" w:hAnsi="FangSong_GB2312" w:eastAsia="FangSong_GB2312" w:cs="Times New Roman"/>
          <w:bCs w:val="0"/>
          <w:sz w:val="32"/>
          <w:szCs w:val="24"/>
          <w:lang w:val="en-US" w:eastAsia="zh-CN"/>
        </w:rPr>
      </w:pPr>
      <w:r>
        <w:rPr>
          <w:rFonts w:hint="eastAsia" w:ascii="FangSong_GB2312" w:hAnsi="FangSong_GB2312" w:eastAsia="FangSong_GB2312" w:cs="Times New Roman"/>
          <w:kern w:val="2"/>
          <w:sz w:val="32"/>
          <w:szCs w:val="24"/>
        </w:rPr>
        <w:t>2.</w:t>
      </w:r>
      <w:r>
        <w:rPr>
          <w:rFonts w:hint="eastAsia" w:ascii="FangSong_GB2312" w:hAnsi="FangSong_GB2312" w:eastAsia="FangSong_GB2312" w:cs="Times New Roman"/>
          <w:bCs w:val="0"/>
          <w:sz w:val="32"/>
          <w:szCs w:val="24"/>
        </w:rPr>
        <w:t>绩效指标</w:t>
      </w:r>
      <w:r>
        <w:rPr>
          <w:rFonts w:hint="eastAsia" w:ascii="FangSong_GB2312" w:hAnsi="FangSong_GB2312" w:eastAsia="FangSong_GB2312" w:cs="Times New Roman"/>
          <w:bCs w:val="0"/>
          <w:sz w:val="32"/>
          <w:szCs w:val="24"/>
          <w:lang w:val="en-US" w:eastAsia="zh-CN"/>
        </w:rPr>
        <w:t>设置</w:t>
      </w:r>
      <w:r>
        <w:rPr>
          <w:rFonts w:hint="eastAsia" w:ascii="FangSong_GB2312" w:hAnsi="FangSong_GB2312" w:eastAsia="FangSong_GB2312" w:cs="Times New Roman"/>
          <w:bCs w:val="0"/>
          <w:sz w:val="32"/>
          <w:szCs w:val="24"/>
        </w:rPr>
        <w:t>不</w:t>
      </w:r>
      <w:r>
        <w:rPr>
          <w:rFonts w:hint="eastAsia" w:ascii="FangSong_GB2312" w:hAnsi="FangSong_GB2312" w:eastAsia="FangSong_GB2312" w:cs="Times New Roman"/>
          <w:bCs w:val="0"/>
          <w:sz w:val="32"/>
          <w:szCs w:val="24"/>
          <w:lang w:val="en-US" w:eastAsia="zh-CN"/>
        </w:rPr>
        <w:t>够</w:t>
      </w:r>
      <w:r>
        <w:rPr>
          <w:rFonts w:hint="eastAsia" w:ascii="FangSong_GB2312" w:hAnsi="FangSong_GB2312" w:eastAsia="FangSong_GB2312" w:cs="Times New Roman"/>
          <w:bCs w:val="0"/>
          <w:sz w:val="32"/>
          <w:szCs w:val="24"/>
        </w:rPr>
        <w:t>科学</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kern w:val="2"/>
          <w:sz w:val="32"/>
          <w:szCs w:val="24"/>
        </w:rPr>
        <w:t>预算编制</w:t>
      </w:r>
      <w:r>
        <w:rPr>
          <w:rFonts w:hint="eastAsia" w:ascii="FangSong_GB2312" w:hAnsi="FangSong_GB2312" w:eastAsia="FangSong_GB2312" w:cs="Times New Roman"/>
          <w:kern w:val="2"/>
          <w:sz w:val="32"/>
          <w:szCs w:val="24"/>
          <w:lang w:val="en-US" w:eastAsia="zh-CN"/>
        </w:rPr>
        <w:t>精准度尚有不足</w:t>
      </w:r>
    </w:p>
    <w:p>
      <w:pPr>
        <w:spacing w:beforeLines="0" w:afterLines="0" w:line="560" w:lineRule="exact"/>
        <w:ind w:firstLine="640" w:firstLineChars="200"/>
        <w:jc w:val="both"/>
        <w:rPr>
          <w:rFonts w:hint="eastAsia" w:ascii="FangSong_GB2312" w:hAnsi="FangSong_GB2312" w:eastAsia="FangSong_GB2312" w:cs="Times New Roman"/>
          <w:kern w:val="2"/>
          <w:sz w:val="32"/>
          <w:szCs w:val="24"/>
          <w:lang w:eastAsia="zh-CN"/>
        </w:rPr>
      </w:pPr>
      <w:r>
        <w:rPr>
          <w:rFonts w:hint="eastAsia" w:ascii="FangSong_GB2312" w:hAnsi="FangSong_GB2312" w:eastAsia="FangSong_GB2312" w:cs="Times New Roman"/>
          <w:bCs w:val="0"/>
          <w:sz w:val="32"/>
          <w:szCs w:val="24"/>
          <w:lang w:val="en-US" w:eastAsia="zh-CN"/>
        </w:rPr>
        <w:t>一是</w:t>
      </w:r>
      <w:r>
        <w:rPr>
          <w:rFonts w:hint="eastAsia" w:ascii="FangSong_GB2312" w:hAnsi="FangSong_GB2312" w:eastAsia="FangSong_GB2312" w:cs="Times New Roman"/>
          <w:bCs w:val="0"/>
          <w:sz w:val="32"/>
          <w:szCs w:val="24"/>
        </w:rPr>
        <w:t>绩效指标设置</w:t>
      </w:r>
      <w:r>
        <w:rPr>
          <w:rFonts w:hint="eastAsia" w:ascii="FangSong_GB2312" w:hAnsi="FangSong_GB2312" w:eastAsia="FangSong_GB2312" w:cs="Times New Roman"/>
          <w:bCs w:val="0"/>
          <w:sz w:val="32"/>
          <w:szCs w:val="24"/>
          <w:lang w:val="en-US" w:eastAsia="zh-CN"/>
        </w:rPr>
        <w:t>不合理，科学性不足。</w:t>
      </w:r>
      <w:r>
        <w:rPr>
          <w:rFonts w:hint="eastAsia" w:ascii="FangSong_GB2312" w:hAnsi="FangSong_GB2312" w:eastAsia="FangSong_GB2312" w:cs="Times New Roman"/>
          <w:bCs w:val="0"/>
          <w:sz w:val="32"/>
          <w:szCs w:val="24"/>
        </w:rPr>
        <w:t>产出指标过多过细（达17个），但质量指标</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lang w:val="en-US" w:eastAsia="zh-CN"/>
        </w:rPr>
        <w:t>1个</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rPr>
        <w:t>却过于笼统</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lang w:val="en-US" w:eastAsia="zh-CN"/>
        </w:rPr>
        <w:t>二是</w:t>
      </w:r>
      <w:r>
        <w:rPr>
          <w:rFonts w:hint="eastAsia" w:ascii="FangSong_GB2312" w:hAnsi="FangSong_GB2312" w:eastAsia="FangSong_GB2312" w:cs="Times New Roman"/>
          <w:bCs w:val="0"/>
          <w:sz w:val="32"/>
          <w:szCs w:val="24"/>
        </w:rPr>
        <w:t>时效指标未</w:t>
      </w:r>
      <w:r>
        <w:rPr>
          <w:rFonts w:hint="eastAsia" w:ascii="FangSong_GB2312" w:hAnsi="FangSong_GB2312" w:eastAsia="FangSong_GB2312" w:cs="Times New Roman"/>
          <w:bCs w:val="0"/>
          <w:sz w:val="32"/>
          <w:szCs w:val="24"/>
          <w:lang w:val="en-US" w:eastAsia="zh-CN"/>
        </w:rPr>
        <w:t>能</w:t>
      </w:r>
      <w:r>
        <w:rPr>
          <w:rFonts w:hint="eastAsia" w:ascii="FangSong_GB2312" w:hAnsi="FangSong_GB2312" w:eastAsia="FangSong_GB2312" w:cs="Times New Roman"/>
          <w:bCs w:val="0"/>
          <w:sz w:val="32"/>
          <w:szCs w:val="24"/>
        </w:rPr>
        <w:t>对设计审批、信息平台投入</w:t>
      </w:r>
      <w:r>
        <w:rPr>
          <w:rFonts w:hint="eastAsia" w:ascii="FangSong_GB2312" w:hAnsi="FangSong_GB2312" w:eastAsia="FangSong_GB2312" w:cs="Times New Roman"/>
          <w:bCs w:val="0"/>
          <w:sz w:val="32"/>
          <w:szCs w:val="24"/>
          <w:lang w:val="en-US" w:eastAsia="zh-CN"/>
        </w:rPr>
        <w:t>试运行、</w:t>
      </w:r>
      <w:r>
        <w:rPr>
          <w:rFonts w:hint="eastAsia" w:ascii="FangSong_GB2312" w:hAnsi="FangSong_GB2312" w:eastAsia="FangSong_GB2312" w:cs="Times New Roman"/>
          <w:bCs w:val="0"/>
          <w:sz w:val="32"/>
          <w:szCs w:val="24"/>
        </w:rPr>
        <w:t>信息平台投入正式运行</w:t>
      </w:r>
      <w:r>
        <w:rPr>
          <w:rFonts w:hint="eastAsia" w:ascii="FangSong_GB2312" w:hAnsi="FangSong_GB2312" w:eastAsia="FangSong_GB2312" w:cs="Times New Roman"/>
          <w:bCs w:val="0"/>
          <w:sz w:val="32"/>
          <w:szCs w:val="24"/>
          <w:lang w:val="en-US" w:eastAsia="zh-CN"/>
        </w:rPr>
        <w:t>等</w:t>
      </w:r>
      <w:r>
        <w:rPr>
          <w:rFonts w:hint="eastAsia" w:ascii="FangSong_GB2312" w:hAnsi="FangSong_GB2312" w:eastAsia="FangSong_GB2312" w:cs="Times New Roman"/>
          <w:bCs w:val="0"/>
          <w:sz w:val="32"/>
          <w:szCs w:val="24"/>
        </w:rPr>
        <w:t>关键节点进行细化管控</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lang w:val="en-US" w:eastAsia="zh-CN"/>
        </w:rPr>
        <w:t>三是</w:t>
      </w:r>
      <w:r>
        <w:rPr>
          <w:rFonts w:hint="eastAsia" w:ascii="FangSong_GB2312" w:hAnsi="FangSong_GB2312" w:eastAsia="FangSong_GB2312" w:cs="Times New Roman"/>
          <w:bCs w:val="0"/>
          <w:sz w:val="32"/>
          <w:szCs w:val="24"/>
        </w:rPr>
        <w:t>社会效益和生态效益</w:t>
      </w:r>
      <w:r>
        <w:rPr>
          <w:rFonts w:hint="eastAsia" w:ascii="FangSong_GB2312" w:hAnsi="FangSong_GB2312" w:eastAsia="FangSong_GB2312" w:cs="Times New Roman"/>
          <w:bCs w:val="0"/>
          <w:sz w:val="32"/>
          <w:szCs w:val="24"/>
          <w:lang w:val="en-US" w:eastAsia="zh-CN"/>
        </w:rPr>
        <w:t>缺乏量化标准</w:t>
      </w:r>
      <w:r>
        <w:rPr>
          <w:rFonts w:hint="eastAsia" w:ascii="FangSong_GB2312" w:hAnsi="FangSong_GB2312" w:eastAsia="FangSong_GB2312" w:cs="Times New Roman"/>
          <w:bCs w:val="0"/>
          <w:sz w:val="32"/>
          <w:szCs w:val="24"/>
        </w:rPr>
        <w:t>，难以客观评估项目成效</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lang w:val="en-US" w:eastAsia="zh-CN"/>
        </w:rPr>
        <w:t>四是</w:t>
      </w:r>
      <w:r>
        <w:rPr>
          <w:rFonts w:hint="eastAsia" w:ascii="FangSong_GB2312" w:hAnsi="FangSong_GB2312" w:eastAsia="FangSong_GB2312" w:cs="Times New Roman"/>
          <w:bCs w:val="0"/>
          <w:sz w:val="32"/>
          <w:szCs w:val="24"/>
        </w:rPr>
        <w:t>可持续指标设置仅关注建设完成情况，未考虑后期运维保障和能力建设</w:t>
      </w:r>
      <w:r>
        <w:rPr>
          <w:rFonts w:hint="eastAsia" w:ascii="FangSong_GB2312" w:hAnsi="FangSong_GB2312" w:eastAsia="FangSong_GB2312" w:cs="Times New Roman"/>
          <w:bCs w:val="0"/>
          <w:sz w:val="32"/>
          <w:szCs w:val="24"/>
          <w:lang w:val="en-US" w:eastAsia="zh-CN"/>
        </w:rPr>
        <w:t>。</w:t>
      </w:r>
    </w:p>
    <w:p>
      <w:pPr>
        <w:spacing w:beforeLines="0" w:afterLines="0" w:line="560" w:lineRule="exact"/>
        <w:ind w:firstLine="640" w:firstLineChars="200"/>
        <w:jc w:val="both"/>
        <w:rPr>
          <w:rFonts w:hint="eastAsia" w:ascii="FangSong_GB2312" w:hAnsi="FangSong_GB2312" w:eastAsia="FangSong_GB2312" w:cs="Times New Roman"/>
          <w:bCs w:val="0"/>
          <w:sz w:val="32"/>
          <w:szCs w:val="24"/>
        </w:rPr>
      </w:pPr>
      <w:r>
        <w:rPr>
          <w:rFonts w:hint="eastAsia" w:ascii="FangSong_GB2312" w:hAnsi="FangSong_GB2312" w:eastAsia="FangSong_GB2312" w:cs="Times New Roman"/>
          <w:kern w:val="2"/>
          <w:sz w:val="32"/>
          <w:szCs w:val="24"/>
          <w:lang w:val="en-US" w:eastAsia="zh-CN"/>
        </w:rPr>
        <w:t>二是</w:t>
      </w:r>
      <w:r>
        <w:rPr>
          <w:rFonts w:hint="eastAsia" w:ascii="FangSong_GB2312" w:hAnsi="FangSong_GB2312" w:eastAsia="FangSong_GB2312" w:cs="Times New Roman"/>
          <w:kern w:val="2"/>
          <w:sz w:val="32"/>
          <w:szCs w:val="24"/>
        </w:rPr>
        <w:t>预算编制</w:t>
      </w:r>
      <w:r>
        <w:rPr>
          <w:rFonts w:hint="eastAsia" w:ascii="FangSong_GB2312" w:hAnsi="FangSong_GB2312" w:eastAsia="FangSong_GB2312" w:cs="Times New Roman"/>
          <w:kern w:val="2"/>
          <w:sz w:val="32"/>
          <w:szCs w:val="24"/>
          <w:lang w:val="en-US" w:eastAsia="zh-CN"/>
        </w:rPr>
        <w:t>的精准度有待提高。</w:t>
      </w:r>
      <w:r>
        <w:rPr>
          <w:rFonts w:hint="eastAsia" w:ascii="FangSong_GB2312" w:hAnsi="FangSong_GB2312" w:eastAsia="FangSong_GB2312" w:cs="Times New Roman"/>
          <w:kern w:val="2"/>
          <w:sz w:val="32"/>
          <w:szCs w:val="24"/>
          <w:lang w:eastAsia="zh-CN"/>
        </w:rPr>
        <w:t>预算申请金额（3</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lang w:eastAsia="zh-CN"/>
        </w:rPr>
        <w:t>165.39万元）与实际中标金额（2</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lang w:eastAsia="zh-CN"/>
        </w:rPr>
        <w:t>626.68万元）偏差</w:t>
      </w:r>
      <w:r>
        <w:rPr>
          <w:rFonts w:hint="eastAsia" w:ascii="FangSong_GB2312" w:hAnsi="FangSong_GB2312" w:eastAsia="FangSong_GB2312" w:cs="Times New Roman"/>
          <w:kern w:val="2"/>
          <w:sz w:val="32"/>
          <w:szCs w:val="24"/>
          <w:lang w:val="en-US" w:eastAsia="zh-CN"/>
        </w:rPr>
        <w:t>高</w:t>
      </w:r>
      <w:r>
        <w:rPr>
          <w:rFonts w:hint="eastAsia" w:ascii="FangSong_GB2312" w:hAnsi="FangSong_GB2312" w:eastAsia="FangSong_GB2312" w:cs="Times New Roman"/>
          <w:kern w:val="2"/>
          <w:sz w:val="32"/>
          <w:szCs w:val="24"/>
          <w:lang w:eastAsia="zh-CN"/>
        </w:rPr>
        <w:t>达17.02%，</w:t>
      </w:r>
      <w:r>
        <w:rPr>
          <w:rFonts w:hint="eastAsia" w:ascii="FangSong_GB2312" w:hAnsi="FangSong_GB2312" w:eastAsia="FangSong_GB2312" w:cs="Times New Roman"/>
          <w:kern w:val="2"/>
          <w:sz w:val="32"/>
          <w:szCs w:val="24"/>
          <w:lang w:val="en-US" w:eastAsia="zh-CN"/>
        </w:rPr>
        <w:t>预算编制水平有待提升</w:t>
      </w:r>
      <w:r>
        <w:rPr>
          <w:rFonts w:hint="eastAsia" w:ascii="FangSong_GB2312" w:hAnsi="FangSong_GB2312" w:eastAsia="FangSong_GB2312" w:cs="Times New Roman"/>
          <w:bCs w:val="0"/>
          <w:sz w:val="32"/>
          <w:szCs w:val="24"/>
        </w:rPr>
        <w:t>。</w:t>
      </w:r>
    </w:p>
    <w:p>
      <w:pPr>
        <w:spacing w:beforeLines="0" w:afterLines="0" w:line="560" w:lineRule="exact"/>
        <w:ind w:firstLine="640" w:firstLineChars="200"/>
        <w:jc w:val="both"/>
        <w:rPr>
          <w:rFonts w:hint="eastAsia" w:ascii="FangSong_GB2312" w:hAnsi="FangSong_GB2312" w:eastAsia="FangSong_GB2312" w:cs="Times New Roman"/>
          <w:bCs w:val="0"/>
          <w:sz w:val="32"/>
          <w:szCs w:val="24"/>
          <w:lang w:val="en-US" w:eastAsia="zh-CN"/>
        </w:rPr>
      </w:pPr>
      <w:r>
        <w:rPr>
          <w:rFonts w:hint="eastAsia" w:ascii="FangSong_GB2312" w:hAnsi="FangSong_GB2312" w:eastAsia="FangSong_GB2312" w:cs="Times New Roman"/>
          <w:bCs w:val="0"/>
          <w:sz w:val="32"/>
          <w:szCs w:val="24"/>
          <w:lang w:val="en-US" w:eastAsia="zh-CN"/>
        </w:rPr>
        <w:t>3.</w:t>
      </w:r>
      <w:r>
        <w:rPr>
          <w:rFonts w:hint="eastAsia" w:ascii="FangSong_GB2312" w:hAnsi="FangSong_GB2312" w:eastAsia="FangSong_GB2312" w:cs="Times New Roman"/>
          <w:bCs w:val="0"/>
          <w:sz w:val="32"/>
          <w:szCs w:val="24"/>
          <w:lang w:eastAsia="zh-CN"/>
        </w:rPr>
        <w:t>管理制度不</w:t>
      </w:r>
      <w:r>
        <w:rPr>
          <w:rFonts w:hint="eastAsia" w:ascii="FangSong_GB2312" w:hAnsi="FangSong_GB2312" w:eastAsia="FangSong_GB2312" w:cs="Times New Roman"/>
          <w:bCs w:val="0"/>
          <w:sz w:val="32"/>
          <w:szCs w:val="24"/>
          <w:lang w:val="en-US" w:eastAsia="zh-CN"/>
        </w:rPr>
        <w:t>够</w:t>
      </w:r>
      <w:r>
        <w:rPr>
          <w:rFonts w:hint="eastAsia" w:ascii="FangSong_GB2312" w:hAnsi="FangSong_GB2312" w:eastAsia="FangSong_GB2312" w:cs="Times New Roman"/>
          <w:bCs w:val="0"/>
          <w:sz w:val="32"/>
          <w:szCs w:val="24"/>
          <w:lang w:eastAsia="zh-CN"/>
        </w:rPr>
        <w:t>健全，</w:t>
      </w:r>
      <w:r>
        <w:rPr>
          <w:rFonts w:hint="eastAsia" w:ascii="FangSong_GB2312" w:hAnsi="FangSong_GB2312" w:eastAsia="FangSong_GB2312" w:cs="Times New Roman"/>
          <w:bCs w:val="0"/>
          <w:sz w:val="32"/>
          <w:szCs w:val="24"/>
          <w:lang w:val="en-US" w:eastAsia="zh-CN"/>
        </w:rPr>
        <w:t>过程管理存在缺失</w:t>
      </w:r>
    </w:p>
    <w:p>
      <w:pPr>
        <w:spacing w:beforeLines="0" w:afterLines="0" w:line="560" w:lineRule="exact"/>
        <w:ind w:firstLine="640" w:firstLineChars="200"/>
        <w:jc w:val="both"/>
        <w:rPr>
          <w:rFonts w:hint="eastAsia" w:ascii="FangSong_GB2312" w:hAnsi="FangSong_GB2312" w:eastAsia="FangSong_GB2312" w:cs="Times New Roman"/>
          <w:bCs w:val="0"/>
          <w:sz w:val="32"/>
          <w:szCs w:val="24"/>
          <w:lang w:eastAsia="zh-CN"/>
        </w:rPr>
      </w:pPr>
      <w:r>
        <w:rPr>
          <w:rFonts w:hint="eastAsia" w:ascii="FangSong_GB2312" w:hAnsi="FangSong_GB2312" w:eastAsia="FangSong_GB2312" w:cs="Times New Roman"/>
          <w:bCs w:val="0"/>
          <w:sz w:val="32"/>
          <w:szCs w:val="24"/>
          <w:lang w:eastAsia="zh-CN"/>
        </w:rPr>
        <w:t>管理制度</w:t>
      </w:r>
      <w:r>
        <w:rPr>
          <w:rFonts w:hint="eastAsia" w:ascii="FangSong_GB2312" w:hAnsi="FangSong_GB2312" w:eastAsia="FangSong_GB2312" w:cs="Times New Roman"/>
          <w:bCs w:val="0"/>
          <w:sz w:val="32"/>
          <w:szCs w:val="24"/>
          <w:lang w:val="en-US" w:eastAsia="zh-CN"/>
        </w:rPr>
        <w:t>不够完善</w:t>
      </w:r>
      <w:r>
        <w:rPr>
          <w:rFonts w:hint="eastAsia" w:ascii="FangSong_GB2312" w:hAnsi="FangSong_GB2312" w:eastAsia="FangSong_GB2312" w:cs="Times New Roman"/>
          <w:bCs w:val="0"/>
          <w:sz w:val="32"/>
          <w:szCs w:val="24"/>
          <w:lang w:eastAsia="zh-CN"/>
        </w:rPr>
        <w:t>，</w:t>
      </w:r>
      <w:r>
        <w:rPr>
          <w:rFonts w:hint="eastAsia" w:ascii="FangSong_GB2312" w:hAnsi="FangSong_GB2312" w:eastAsia="FangSong_GB2312" w:cs="Times New Roman"/>
          <w:bCs w:val="0"/>
          <w:sz w:val="32"/>
          <w:szCs w:val="24"/>
          <w:lang w:val="en-US" w:eastAsia="zh-CN"/>
        </w:rPr>
        <w:t>主要是缺少</w:t>
      </w:r>
      <w:r>
        <w:rPr>
          <w:rFonts w:hint="eastAsia" w:ascii="FangSong_GB2312" w:hAnsi="FangSong_GB2312" w:eastAsia="FangSong_GB2312" w:cs="Times New Roman"/>
          <w:bCs w:val="0"/>
          <w:sz w:val="32"/>
          <w:szCs w:val="24"/>
          <w:lang w:eastAsia="zh-CN"/>
        </w:rPr>
        <w:t>资产管理制度。</w:t>
      </w:r>
      <w:r>
        <w:rPr>
          <w:rFonts w:hint="eastAsia" w:ascii="FangSong_GB2312" w:hAnsi="FangSong_GB2312" w:eastAsia="FangSong_GB2312" w:cs="Times New Roman"/>
          <w:bCs w:val="0"/>
          <w:sz w:val="32"/>
          <w:szCs w:val="24"/>
          <w:lang w:val="en-US" w:eastAsia="zh-CN"/>
        </w:rPr>
        <w:t>过程管理存在不足，具体如下：一是</w:t>
      </w:r>
      <w:r>
        <w:rPr>
          <w:rFonts w:hint="eastAsia" w:ascii="FangSong_GB2312" w:hAnsi="FangSong_GB2312" w:eastAsia="FangSong_GB2312" w:cs="Times New Roman"/>
          <w:kern w:val="2"/>
          <w:sz w:val="32"/>
          <w:szCs w:val="24"/>
          <w:lang w:eastAsia="zh-CN"/>
        </w:rPr>
        <w:t>该项目2024年12月底前已经完成了验收，</w:t>
      </w:r>
      <w:r>
        <w:rPr>
          <w:rFonts w:hint="eastAsia" w:ascii="FangSong_GB2312" w:hAnsi="FangSong_GB2312" w:eastAsia="FangSong_GB2312" w:cs="Times New Roman"/>
          <w:kern w:val="2"/>
          <w:sz w:val="32"/>
          <w:szCs w:val="24"/>
          <w:lang w:val="en-US" w:eastAsia="zh-CN"/>
        </w:rPr>
        <w:t>但未能及时办理资产入库手续；二是中环丰清公司委托第三方开展等级测评工作，但</w:t>
      </w:r>
      <w:r>
        <w:rPr>
          <w:rFonts w:hint="eastAsia" w:ascii="FangSong_GB2312" w:hAnsi="FangSong_GB2312" w:eastAsia="FangSong_GB2312" w:cs="Times New Roman"/>
          <w:kern w:val="2"/>
          <w:sz w:val="32"/>
          <w:szCs w:val="24"/>
          <w:lang w:eastAsia="zh-CN"/>
        </w:rPr>
        <w:t>区生态环境局</w:t>
      </w:r>
      <w:r>
        <w:rPr>
          <w:rFonts w:hint="eastAsia" w:ascii="FangSong_GB2312" w:hAnsi="FangSong_GB2312" w:eastAsia="FangSong_GB2312" w:cs="Times New Roman"/>
          <w:kern w:val="2"/>
          <w:sz w:val="32"/>
          <w:szCs w:val="24"/>
          <w:lang w:val="en-US" w:eastAsia="zh-CN"/>
        </w:rPr>
        <w:t>作为</w:t>
      </w:r>
      <w:r>
        <w:rPr>
          <w:rFonts w:hint="eastAsia" w:ascii="FangSong_GB2312" w:hAnsi="FangSong_GB2312" w:eastAsia="FangSong_GB2312" w:cs="Times New Roman"/>
          <w:kern w:val="2"/>
          <w:sz w:val="32"/>
          <w:szCs w:val="24"/>
          <w:lang w:eastAsia="zh-CN"/>
        </w:rPr>
        <w:t>产权</w:t>
      </w:r>
      <w:r>
        <w:rPr>
          <w:rFonts w:hint="eastAsia" w:ascii="FangSong_GB2312" w:hAnsi="FangSong_GB2312" w:eastAsia="FangSong_GB2312" w:cs="Times New Roman"/>
          <w:kern w:val="2"/>
          <w:sz w:val="32"/>
          <w:szCs w:val="24"/>
          <w:lang w:val="en-US" w:eastAsia="zh-CN"/>
        </w:rPr>
        <w:t>方，应该是被测评单位，等级测评报告显示被测评单位是中环丰清公司，</w:t>
      </w:r>
      <w:r>
        <w:rPr>
          <w:rFonts w:hint="eastAsia" w:ascii="FangSong_GB2312" w:hAnsi="FangSong_GB2312" w:eastAsia="FangSong_GB2312" w:cs="Times New Roman"/>
          <w:kern w:val="2"/>
          <w:sz w:val="32"/>
          <w:szCs w:val="24"/>
        </w:rPr>
        <w:t>责任边界</w:t>
      </w:r>
      <w:r>
        <w:rPr>
          <w:rFonts w:hint="eastAsia" w:ascii="FangSong_GB2312" w:hAnsi="FangSong_GB2312" w:eastAsia="FangSong_GB2312" w:cs="Times New Roman"/>
          <w:kern w:val="2"/>
          <w:sz w:val="32"/>
          <w:szCs w:val="24"/>
          <w:lang w:val="en-US" w:eastAsia="zh-CN"/>
        </w:rPr>
        <w:t>不清晰。三是合同验收条款中未能按《</w:t>
      </w:r>
      <w:r>
        <w:rPr>
          <w:rFonts w:hint="eastAsia" w:ascii="FangSong_GB2312" w:hAnsi="FangSong_GB2312" w:eastAsia="FangSong_GB2312" w:cs="Times New Roman"/>
          <w:kern w:val="2"/>
          <w:sz w:val="32"/>
          <w:szCs w:val="24"/>
          <w:lang w:val="en-US" w:eastAsia="zh-CN" w:bidi="ar"/>
        </w:rPr>
        <w:t>政府信息系统安全管理规范》验收要求对</w:t>
      </w:r>
      <w:r>
        <w:rPr>
          <w:rFonts w:hint="eastAsia" w:ascii="FangSong_GB2312" w:hAnsi="FangSong_GB2312" w:eastAsia="FangSong_GB2312" w:cs="Times New Roman"/>
          <w:kern w:val="2"/>
          <w:sz w:val="32"/>
          <w:szCs w:val="24"/>
        </w:rPr>
        <w:t>等级保护</w:t>
      </w:r>
      <w:r>
        <w:rPr>
          <w:rFonts w:hint="eastAsia" w:ascii="FangSong_GB2312" w:hAnsi="FangSong_GB2312" w:eastAsia="FangSong_GB2312" w:cs="Times New Roman"/>
          <w:kern w:val="2"/>
          <w:sz w:val="32"/>
          <w:szCs w:val="24"/>
          <w:lang w:val="en-US" w:eastAsia="zh-CN"/>
        </w:rPr>
        <w:t>测评事项进行约定。四是</w:t>
      </w:r>
      <w:r>
        <w:rPr>
          <w:rFonts w:hint="eastAsia" w:ascii="FangSong_GB2312" w:hAnsi="FangSong_GB2312" w:eastAsia="FangSong_GB2312" w:cs="Times New Roman"/>
          <w:kern w:val="2"/>
          <w:sz w:val="32"/>
          <w:szCs w:val="24"/>
        </w:rPr>
        <w:t>合同尾款</w:t>
      </w:r>
      <w:r>
        <w:rPr>
          <w:rFonts w:hint="eastAsia" w:ascii="FangSong_GB2312" w:hAnsi="FangSong_GB2312" w:eastAsia="FangSong_GB2312" w:cs="Times New Roman"/>
          <w:kern w:val="2"/>
          <w:sz w:val="32"/>
          <w:szCs w:val="24"/>
          <w:lang w:val="en-US" w:eastAsia="zh-CN"/>
        </w:rPr>
        <w:t>支付时间</w:t>
      </w:r>
      <w:r>
        <w:rPr>
          <w:rFonts w:hint="eastAsia" w:ascii="FangSong_GB2312" w:hAnsi="FangSong_GB2312" w:eastAsia="FangSong_GB2312" w:cs="Times New Roman"/>
          <w:kern w:val="2"/>
          <w:sz w:val="32"/>
          <w:szCs w:val="24"/>
        </w:rPr>
        <w:t>早于</w:t>
      </w:r>
      <w:r>
        <w:rPr>
          <w:rFonts w:hint="eastAsia" w:ascii="FangSong_GB2312" w:hAnsi="FangSong_GB2312" w:eastAsia="FangSong_GB2312" w:cs="Times New Roman"/>
          <w:kern w:val="2"/>
          <w:sz w:val="32"/>
          <w:szCs w:val="24"/>
          <w:lang w:val="en-US" w:eastAsia="zh-CN"/>
        </w:rPr>
        <w:t>等级</w:t>
      </w:r>
      <w:r>
        <w:rPr>
          <w:rFonts w:hint="eastAsia" w:ascii="FangSong_GB2312" w:hAnsi="FangSong_GB2312" w:eastAsia="FangSong_GB2312" w:cs="Times New Roman"/>
          <w:kern w:val="2"/>
          <w:sz w:val="32"/>
          <w:szCs w:val="24"/>
        </w:rPr>
        <w:t>保护测评报告</w:t>
      </w:r>
      <w:r>
        <w:rPr>
          <w:rFonts w:hint="eastAsia" w:ascii="FangSong_GB2312" w:hAnsi="FangSong_GB2312" w:eastAsia="FangSong_GB2312" w:cs="Times New Roman"/>
          <w:kern w:val="2"/>
          <w:sz w:val="32"/>
          <w:szCs w:val="24"/>
          <w:lang w:val="en-US" w:eastAsia="zh-CN"/>
        </w:rPr>
        <w:t>出具时间。五是未按合同约定的时间及时取得验收合格证明文件。六是</w:t>
      </w:r>
      <w:r>
        <w:rPr>
          <w:rFonts w:hint="eastAsia" w:ascii="FangSong_GB2312" w:hAnsi="FangSong_GB2312" w:eastAsia="FangSong_GB2312" w:cs="Times New Roman"/>
          <w:bCs w:val="0"/>
          <w:sz w:val="32"/>
          <w:szCs w:val="24"/>
          <w:lang w:eastAsia="zh-CN"/>
        </w:rPr>
        <w:t>测试报告存在12项内容缺失，</w:t>
      </w:r>
      <w:r>
        <w:rPr>
          <w:rFonts w:hint="eastAsia" w:ascii="FangSong_GB2312" w:hAnsi="FangSong_GB2312" w:eastAsia="FangSong_GB2312" w:cs="Times New Roman"/>
          <w:bCs w:val="0"/>
          <w:sz w:val="32"/>
          <w:szCs w:val="24"/>
          <w:lang w:val="en-US" w:eastAsia="zh-CN"/>
        </w:rPr>
        <w:t>且</w:t>
      </w:r>
      <w:r>
        <w:rPr>
          <w:rFonts w:hint="eastAsia" w:ascii="FangSong_GB2312" w:hAnsi="FangSong_GB2312" w:eastAsia="FangSong_GB2312" w:cs="Times New Roman"/>
          <w:sz w:val="32"/>
          <w:szCs w:val="24"/>
        </w:rPr>
        <w:t>自动监测设备巡检</w:t>
      </w:r>
      <w:r>
        <w:rPr>
          <w:rFonts w:hint="eastAsia" w:ascii="FangSong_GB2312" w:hAnsi="FangSong_GB2312" w:eastAsia="FangSong_GB2312" w:cs="Times New Roman"/>
          <w:sz w:val="32"/>
          <w:szCs w:val="24"/>
          <w:lang w:val="en-US" w:eastAsia="zh-CN"/>
        </w:rPr>
        <w:t>记录不完整。</w:t>
      </w:r>
    </w:p>
    <w:p>
      <w:pPr>
        <w:keepNext w:val="0"/>
        <w:keepLines w:val="0"/>
        <w:widowControl/>
        <w:suppressLineNumbers w:val="0"/>
        <w:spacing w:beforeLines="0" w:afterLines="0" w:line="560" w:lineRule="exact"/>
        <w:ind w:firstLine="640" w:firstLineChars="200"/>
        <w:jc w:val="both"/>
        <w:rPr>
          <w:rFonts w:hint="eastAsia" w:ascii="FangSong_GB2312" w:hAnsi="FangSong_GB2312" w:eastAsia="FangSong_GB2312" w:cs="Times New Roman"/>
          <w:bCs w:val="0"/>
          <w:sz w:val="32"/>
          <w:szCs w:val="24"/>
          <w:lang w:val="en-US"/>
        </w:rPr>
      </w:pPr>
      <w:r>
        <w:rPr>
          <w:rFonts w:hint="eastAsia" w:ascii="FangSong_GB2312" w:hAnsi="FangSong_GB2312" w:eastAsia="FangSong_GB2312" w:cs="Times New Roman"/>
          <w:bCs w:val="0"/>
          <w:sz w:val="32"/>
          <w:szCs w:val="24"/>
          <w:lang w:val="en-US" w:eastAsia="zh-CN"/>
        </w:rPr>
        <w:t>4</w:t>
      </w:r>
      <w:r>
        <w:rPr>
          <w:rFonts w:hint="eastAsia" w:ascii="FangSong_GB2312" w:hAnsi="FangSong_GB2312" w:eastAsia="FangSong_GB2312" w:cs="Times New Roman"/>
          <w:bCs w:val="0"/>
          <w:kern w:val="2"/>
          <w:sz w:val="32"/>
          <w:szCs w:val="24"/>
          <w:lang w:val="en-US" w:eastAsia="zh-CN" w:bidi="ar"/>
        </w:rPr>
        <w:t>.项目可持续性分析不足，满意度调查科学性不足，绩效成果展现不够充分</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该项目未能提供</w:t>
      </w:r>
      <w:r>
        <w:rPr>
          <w:rFonts w:hint="eastAsia" w:ascii="FangSong_GB2312" w:hAnsi="FangSong_GB2312" w:eastAsia="FangSong_GB2312" w:cs="Times New Roman"/>
          <w:bCs w:val="0"/>
          <w:i w:val="0"/>
          <w:iCs w:val="0"/>
          <w:caps w:val="0"/>
          <w:spacing w:val="0"/>
          <w:sz w:val="32"/>
          <w:szCs w:val="24"/>
          <w:shd w:val="clear" w:color="auto" w:fill="auto"/>
          <w:vertAlign w:val="baseline"/>
          <w:lang w:bidi="ar"/>
        </w:rPr>
        <w:t>技术更新机制，未</w:t>
      </w: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能</w:t>
      </w:r>
      <w:r>
        <w:rPr>
          <w:rFonts w:hint="eastAsia" w:ascii="FangSong_GB2312" w:hAnsi="FangSong_GB2312" w:eastAsia="FangSong_GB2312" w:cs="Times New Roman"/>
          <w:bCs w:val="0"/>
          <w:i w:val="0"/>
          <w:iCs w:val="0"/>
          <w:caps w:val="0"/>
          <w:spacing w:val="0"/>
          <w:sz w:val="32"/>
          <w:szCs w:val="24"/>
          <w:shd w:val="clear" w:color="auto" w:fill="auto"/>
          <w:vertAlign w:val="baseline"/>
          <w:lang w:bidi="ar"/>
        </w:rPr>
        <w:t>制定系统升级改造计划，</w:t>
      </w: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以及</w:t>
      </w:r>
      <w:r>
        <w:rPr>
          <w:rFonts w:hint="eastAsia" w:ascii="FangSong_GB2312" w:hAnsi="FangSong_GB2312" w:eastAsia="FangSong_GB2312" w:cs="Times New Roman"/>
          <w:sz w:val="32"/>
          <w:szCs w:val="24"/>
        </w:rPr>
        <w:t>系统、设备运营维护期</w:t>
      </w:r>
      <w:r>
        <w:rPr>
          <w:rFonts w:hint="eastAsia" w:ascii="FangSong_GB2312" w:hAnsi="FangSong_GB2312" w:eastAsia="FangSong_GB2312" w:cs="Times New Roman"/>
          <w:sz w:val="32"/>
          <w:szCs w:val="24"/>
          <w:lang w:val="en-US" w:eastAsia="zh-CN"/>
        </w:rPr>
        <w:t>满后的</w:t>
      </w:r>
      <w:r>
        <w:rPr>
          <w:rFonts w:hint="eastAsia" w:ascii="FangSong_GB2312" w:hAnsi="FangSong_GB2312" w:eastAsia="FangSong_GB2312" w:cs="Times New Roman"/>
          <w:sz w:val="32"/>
          <w:szCs w:val="24"/>
        </w:rPr>
        <w:t>运维模式、资金来源等</w:t>
      </w:r>
      <w:r>
        <w:rPr>
          <w:rFonts w:hint="eastAsia" w:ascii="FangSong_GB2312" w:hAnsi="FangSong_GB2312" w:eastAsia="FangSong_GB2312" w:cs="Times New Roman"/>
          <w:sz w:val="32"/>
          <w:szCs w:val="24"/>
          <w:lang w:val="en-US" w:eastAsia="zh-CN"/>
        </w:rPr>
        <w:t>方面的规划，</w:t>
      </w:r>
      <w:r>
        <w:rPr>
          <w:rFonts w:hint="eastAsia" w:ascii="FangSong_GB2312" w:hAnsi="FangSong_GB2312" w:eastAsia="FangSong_GB2312" w:cs="Times New Roman"/>
          <w:bCs w:val="0"/>
          <w:kern w:val="2"/>
          <w:sz w:val="32"/>
          <w:szCs w:val="24"/>
          <w:lang w:val="en-US" w:eastAsia="zh-CN" w:bidi="ar"/>
        </w:rPr>
        <w:t>长期效益难以保障</w:t>
      </w:r>
      <w:r>
        <w:rPr>
          <w:rFonts w:hint="eastAsia" w:ascii="FangSong_GB2312" w:hAnsi="FangSong_GB2312" w:eastAsia="FangSong_GB2312" w:cs="Times New Roman"/>
          <w:bCs w:val="0"/>
          <w:i w:val="0"/>
          <w:iCs w:val="0"/>
          <w:caps w:val="0"/>
          <w:spacing w:val="0"/>
          <w:sz w:val="32"/>
          <w:szCs w:val="24"/>
          <w:shd w:val="clear" w:color="auto" w:fill="auto"/>
          <w:vertAlign w:val="baseline"/>
          <w:lang w:bidi="ar"/>
        </w:rPr>
        <w:t>。</w:t>
      </w: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同时满意度</w:t>
      </w:r>
      <w:r>
        <w:rPr>
          <w:rFonts w:hint="eastAsia" w:ascii="FangSong_GB2312" w:hAnsi="FangSong_GB2312" w:eastAsia="FangSong_GB2312" w:cs="Times New Roman"/>
          <w:bCs w:val="0"/>
          <w:i w:val="0"/>
          <w:iCs w:val="0"/>
          <w:caps w:val="0"/>
          <w:spacing w:val="0"/>
          <w:sz w:val="32"/>
          <w:szCs w:val="24"/>
          <w:shd w:val="clear" w:color="auto" w:fill="auto"/>
          <w:vertAlign w:val="baseline"/>
          <w:lang w:bidi="ar"/>
        </w:rPr>
        <w:t>调查</w:t>
      </w: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样本量偏低，缺少汇总分析</w:t>
      </w:r>
      <w:r>
        <w:rPr>
          <w:rFonts w:hint="eastAsia" w:ascii="FangSong_GB2312" w:hAnsi="FangSong_GB2312" w:eastAsia="FangSong_GB2312" w:cs="Times New Roman"/>
          <w:bCs w:val="0"/>
          <w:i w:val="0"/>
          <w:iCs w:val="0"/>
          <w:caps w:val="0"/>
          <w:spacing w:val="0"/>
          <w:sz w:val="32"/>
          <w:szCs w:val="24"/>
          <w:shd w:val="clear" w:color="auto" w:fill="auto"/>
          <w:vertAlign w:val="baseline"/>
          <w:lang w:bidi="ar"/>
        </w:rPr>
        <w:t>，</w:t>
      </w:r>
      <w:r>
        <w:rPr>
          <w:rFonts w:hint="eastAsia" w:ascii="FangSong_GB2312" w:hAnsi="FangSong_GB2312" w:eastAsia="FangSong_GB2312" w:cs="Times New Roman"/>
          <w:bCs w:val="0"/>
          <w:i w:val="0"/>
          <w:iCs w:val="0"/>
          <w:caps w:val="0"/>
          <w:spacing w:val="0"/>
          <w:sz w:val="32"/>
          <w:szCs w:val="24"/>
          <w:shd w:val="clear" w:color="auto" w:fill="auto"/>
          <w:vertAlign w:val="baseline"/>
          <w:lang w:val="en-US" w:eastAsia="zh-CN" w:bidi="ar"/>
        </w:rPr>
        <w:t>未能形成</w:t>
      </w:r>
      <w:r>
        <w:rPr>
          <w:rFonts w:hint="eastAsia" w:ascii="FangSong_GB2312" w:hAnsi="FangSong_GB2312" w:eastAsia="FangSong_GB2312" w:cs="Times New Roman"/>
          <w:bCs w:val="0"/>
          <w:sz w:val="32"/>
          <w:szCs w:val="24"/>
        </w:rPr>
        <w:t>“</w:t>
      </w:r>
      <w:r>
        <w:rPr>
          <w:rFonts w:hint="eastAsia" w:ascii="FangSong_GB2312" w:hAnsi="FangSong_GB2312" w:eastAsia="FangSong_GB2312" w:cs="Times New Roman"/>
          <w:kern w:val="2"/>
          <w:sz w:val="32"/>
          <w:szCs w:val="24"/>
        </w:rPr>
        <w:t>调查</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整改</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反馈</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rPr>
        <w:t>的闭环管理机制</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bCs w:val="0"/>
          <w:kern w:val="2"/>
          <w:sz w:val="32"/>
          <w:szCs w:val="24"/>
          <w:lang w:val="en-US" w:eastAsia="zh-CN" w:bidi="ar"/>
        </w:rPr>
        <w:t>绩效成果支撑资料不足。</w:t>
      </w:r>
    </w:p>
    <w:p>
      <w:pPr>
        <w:spacing w:beforeLines="0" w:afterLines="0" w:line="560" w:lineRule="exact"/>
        <w:ind w:firstLine="640" w:firstLineChars="200"/>
        <w:jc w:val="both"/>
        <w:rPr>
          <w:rFonts w:hint="default" w:ascii="黑体" w:hAnsi="黑体" w:eastAsia="黑体" w:cs="Times New Roman"/>
          <w:sz w:val="32"/>
          <w:lang w:val="en-US" w:eastAsia="zh-CN"/>
        </w:rPr>
      </w:pPr>
      <w:r>
        <w:rPr>
          <w:rFonts w:hint="default" w:ascii="黑体" w:hAnsi="黑体" w:eastAsia="黑体" w:cs="Times New Roman"/>
          <w:sz w:val="32"/>
          <w:lang w:val="en-US" w:eastAsia="zh-CN"/>
        </w:rPr>
        <w:t>五、相关建议</w:t>
      </w:r>
    </w:p>
    <w:p>
      <w:pPr>
        <w:widowControl/>
        <w:spacing w:beforeLines="0" w:afterLines="0" w:line="560" w:lineRule="exact"/>
        <w:ind w:firstLine="640" w:firstLineChars="200"/>
        <w:jc w:val="both"/>
        <w:outlineLvl w:val="9"/>
        <w:rPr>
          <w:rFonts w:hint="eastAsia" w:ascii="FangSong_GB2312" w:hAnsi="FangSong_GB2312" w:eastAsia="FangSong_GB2312" w:cs="Times New Roman"/>
          <w:kern w:val="2"/>
          <w:sz w:val="32"/>
          <w:szCs w:val="24"/>
        </w:rPr>
      </w:pPr>
      <w:bookmarkStart w:id="7" w:name="_Toc8358"/>
      <w:bookmarkStart w:id="8" w:name="_Toc26094"/>
      <w:bookmarkStart w:id="9" w:name="_Toc19261"/>
      <w:bookmarkStart w:id="10" w:name="_Toc30937"/>
      <w:bookmarkStart w:id="11" w:name="_Toc12230"/>
      <w:r>
        <w:rPr>
          <w:rFonts w:hint="eastAsia" w:ascii="FangSong_GB2312" w:hAnsi="FangSong_GB2312" w:eastAsia="FangSong_GB2312" w:cs="Times New Roman"/>
          <w:kern w:val="2"/>
          <w:sz w:val="32"/>
          <w:szCs w:val="24"/>
          <w:lang w:eastAsia="zh-CN"/>
        </w:rPr>
        <w:t>1</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rPr>
        <w:t>加强前期调研</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强化决策留痕管理</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明确分工</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确保项目长期发挥效益</w:t>
      </w:r>
    </w:p>
    <w:p>
      <w:pPr>
        <w:widowControl/>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lang w:val="en-US" w:eastAsia="zh-CN"/>
        </w:rPr>
        <w:t>一是</w:t>
      </w:r>
      <w:r>
        <w:rPr>
          <w:rFonts w:hint="eastAsia" w:ascii="FangSong_GB2312" w:hAnsi="FangSong_GB2312" w:eastAsia="FangSong_GB2312" w:cs="Times New Roman"/>
          <w:kern w:val="2"/>
          <w:sz w:val="32"/>
          <w:szCs w:val="24"/>
        </w:rPr>
        <w:t>在项目立项阶段组织</w:t>
      </w:r>
      <w:r>
        <w:rPr>
          <w:rFonts w:hint="eastAsia" w:ascii="FangSong_GB2312" w:hAnsi="FangSong_GB2312" w:eastAsia="FangSong_GB2312" w:cs="Times New Roman"/>
          <w:kern w:val="2"/>
          <w:sz w:val="32"/>
          <w:szCs w:val="24"/>
          <w:lang w:val="en-US" w:eastAsia="zh-CN"/>
        </w:rPr>
        <w:t>上级单位、</w:t>
      </w:r>
      <w:r>
        <w:rPr>
          <w:rFonts w:hint="eastAsia" w:ascii="FangSong_GB2312" w:hAnsi="FangSong_GB2312" w:eastAsia="FangSong_GB2312" w:cs="Times New Roman"/>
          <w:kern w:val="2"/>
          <w:sz w:val="32"/>
          <w:szCs w:val="24"/>
        </w:rPr>
        <w:t>业务部门、技术部门和财务部门共同参与需求调研，确保</w:t>
      </w:r>
      <w:r>
        <w:rPr>
          <w:rFonts w:hint="eastAsia" w:ascii="FangSong_GB2312" w:hAnsi="FangSong_GB2312" w:eastAsia="FangSong_GB2312" w:cs="Times New Roman"/>
          <w:kern w:val="2"/>
          <w:sz w:val="32"/>
          <w:szCs w:val="24"/>
          <w:lang w:val="en-US" w:eastAsia="zh-CN"/>
        </w:rPr>
        <w:t>需求分析深入、全面</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同时</w:t>
      </w:r>
      <w:r>
        <w:rPr>
          <w:rFonts w:hint="eastAsia" w:ascii="FangSong_GB2312" w:hAnsi="FangSong_GB2312" w:eastAsia="FangSong_GB2312" w:cs="Times New Roman"/>
          <w:kern w:val="2"/>
          <w:sz w:val="32"/>
          <w:szCs w:val="24"/>
        </w:rPr>
        <w:t>完善需求文档联合签署机制，确保建设内容与业务要求一致</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二是严格执行《</w:t>
      </w:r>
      <w:r>
        <w:rPr>
          <w:rFonts w:hint="eastAsia" w:ascii="FangSong_GB2312" w:hAnsi="FangSong_GB2312" w:eastAsia="FangSong_GB2312" w:cs="Times New Roman"/>
          <w:kern w:val="2"/>
          <w:sz w:val="32"/>
          <w:szCs w:val="24"/>
        </w:rPr>
        <w:t>北京市丰台区生态环境局经济活动内部控制基本规范</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rPr>
        <w:t>第三章控制环境</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建立生态环境局‘三重一大’(重大决策、重要干部任免、重大项目安排和大额度资金使用)事项集体决策机制，按规定程序报批，并形成相关记录</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制度规定，对项目立项、预算调整、大额支付等环节形成书面决议并存档备查。三是</w:t>
      </w:r>
      <w:r>
        <w:rPr>
          <w:rFonts w:hint="eastAsia" w:ascii="FangSong_GB2312" w:hAnsi="FangSong_GB2312" w:eastAsia="FangSong_GB2312" w:cs="Times New Roman"/>
          <w:kern w:val="2"/>
          <w:sz w:val="32"/>
          <w:szCs w:val="24"/>
        </w:rPr>
        <w:t>在项目</w:t>
      </w:r>
      <w:r>
        <w:rPr>
          <w:rFonts w:hint="eastAsia" w:ascii="FangSong_GB2312" w:hAnsi="FangSong_GB2312" w:eastAsia="FangSong_GB2312" w:cs="Times New Roman"/>
          <w:kern w:val="2"/>
          <w:sz w:val="32"/>
          <w:szCs w:val="24"/>
          <w:lang w:val="en-US" w:eastAsia="zh-CN"/>
        </w:rPr>
        <w:t>前期调研</w:t>
      </w:r>
      <w:r>
        <w:rPr>
          <w:rFonts w:hint="eastAsia" w:ascii="FangSong_GB2312" w:hAnsi="FangSong_GB2312" w:eastAsia="FangSong_GB2312" w:cs="Times New Roman"/>
          <w:kern w:val="2"/>
          <w:sz w:val="32"/>
          <w:szCs w:val="24"/>
        </w:rPr>
        <w:t>阶段就要同步考虑运维方案，包括人员配备、资金保障、技术更新等内容，完善可持续发展规划，确保项目长期发挥效益。</w:t>
      </w:r>
    </w:p>
    <w:p>
      <w:pPr>
        <w:widowControl/>
        <w:spacing w:beforeLines="0" w:afterLines="0" w:line="560" w:lineRule="exact"/>
        <w:ind w:firstLine="640" w:firstLineChars="200"/>
        <w:jc w:val="both"/>
        <w:outlineLvl w:val="9"/>
        <w:rPr>
          <w:rFonts w:hint="eastAsia" w:ascii="FangSong_GB2312" w:hAnsi="FangSong_GB2312" w:eastAsia="FangSong_GB2312" w:cs="Times New Roman"/>
          <w:kern w:val="2"/>
          <w:sz w:val="32"/>
          <w:szCs w:val="24"/>
          <w:lang w:eastAsia="zh-CN"/>
        </w:rPr>
      </w:pPr>
      <w:r>
        <w:rPr>
          <w:rFonts w:hint="eastAsia" w:ascii="FangSong_GB2312" w:hAnsi="FangSong_GB2312" w:eastAsia="FangSong_GB2312" w:cs="Times New Roman"/>
          <w:kern w:val="2"/>
          <w:sz w:val="32"/>
          <w:szCs w:val="24"/>
          <w:lang w:eastAsia="zh-CN"/>
        </w:rPr>
        <w:t>2</w:t>
      </w:r>
      <w:r>
        <w:rPr>
          <w:rFonts w:hint="eastAsia" w:ascii="FangSong_GB2312" w:hAnsi="FangSong_GB2312" w:eastAsia="FangSong_GB2312" w:cs="Times New Roman"/>
          <w:kern w:val="2"/>
          <w:sz w:val="32"/>
          <w:szCs w:val="24"/>
          <w:lang w:val="en-US" w:eastAsia="zh-CN"/>
        </w:rPr>
        <w:t>.</w:t>
      </w:r>
      <w:r>
        <w:rPr>
          <w:rFonts w:hint="eastAsia" w:ascii="FangSong_GB2312" w:hAnsi="FangSong_GB2312" w:eastAsia="FangSong_GB2312" w:cs="Times New Roman"/>
          <w:kern w:val="2"/>
          <w:sz w:val="32"/>
          <w:szCs w:val="24"/>
        </w:rPr>
        <w:t>提高项目绩效管理理念，科学设计绩效目标</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提高预算编制水平</w:t>
      </w:r>
    </w:p>
    <w:p>
      <w:pPr>
        <w:widowControl/>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按照</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精简、量化、可考核</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的原则，</w:t>
      </w:r>
      <w:r>
        <w:rPr>
          <w:rFonts w:hint="eastAsia" w:ascii="FangSong_GB2312" w:hAnsi="FangSong_GB2312" w:eastAsia="FangSong_GB2312" w:cs="Times New Roman"/>
          <w:kern w:val="2"/>
          <w:sz w:val="32"/>
          <w:szCs w:val="24"/>
          <w:lang w:val="en-US" w:eastAsia="zh-CN"/>
        </w:rPr>
        <w:t>简化</w:t>
      </w:r>
      <w:r>
        <w:rPr>
          <w:rFonts w:hint="eastAsia" w:ascii="FangSong_GB2312" w:hAnsi="FangSong_GB2312" w:eastAsia="FangSong_GB2312" w:cs="Times New Roman"/>
          <w:kern w:val="2"/>
          <w:sz w:val="32"/>
          <w:szCs w:val="24"/>
        </w:rPr>
        <w:t>产出指标</w:t>
      </w:r>
      <w:r>
        <w:rPr>
          <w:rFonts w:hint="eastAsia" w:ascii="FangSong_GB2312" w:hAnsi="FangSong_GB2312" w:eastAsia="FangSong_GB2312" w:cs="Times New Roman"/>
          <w:kern w:val="2"/>
          <w:sz w:val="32"/>
          <w:szCs w:val="24"/>
          <w:lang w:val="en-US" w:eastAsia="zh-CN"/>
        </w:rPr>
        <w:t>的同时</w:t>
      </w:r>
      <w:r>
        <w:rPr>
          <w:rFonts w:hint="eastAsia" w:ascii="FangSong_GB2312" w:hAnsi="FangSong_GB2312" w:eastAsia="FangSong_GB2312" w:cs="Times New Roman"/>
          <w:kern w:val="2"/>
          <w:sz w:val="32"/>
          <w:szCs w:val="24"/>
        </w:rPr>
        <w:t>重点突出核心建设内容</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如将10项目</w:t>
      </w:r>
      <w:r>
        <w:rPr>
          <w:rFonts w:hint="eastAsia" w:ascii="FangSong_GB2312" w:hAnsi="FangSong_GB2312" w:eastAsia="FangSong_GB2312" w:cs="Times New Roman"/>
          <w:kern w:val="2"/>
          <w:sz w:val="32"/>
          <w:szCs w:val="24"/>
        </w:rPr>
        <w:t>分析及</w:t>
      </w:r>
      <w:r>
        <w:rPr>
          <w:rFonts w:hint="eastAsia" w:ascii="FangSong_GB2312" w:hAnsi="FangSong_GB2312" w:eastAsia="FangSong_GB2312" w:cs="Times New Roman"/>
          <w:kern w:val="2"/>
          <w:sz w:val="32"/>
          <w:szCs w:val="24"/>
          <w:lang w:eastAsia="zh-CN"/>
        </w:rPr>
        <w:t>报表</w:t>
      </w:r>
      <w:r>
        <w:rPr>
          <w:rFonts w:hint="eastAsia" w:ascii="FangSong_GB2312" w:hAnsi="FangSong_GB2312" w:eastAsia="FangSong_GB2312" w:cs="Times New Roman"/>
          <w:kern w:val="2"/>
          <w:sz w:val="32"/>
          <w:szCs w:val="24"/>
          <w:lang w:val="en-US" w:eastAsia="zh-CN"/>
        </w:rPr>
        <w:t>简化为按实施方案提交各类周报、月报、季报、年报，将</w:t>
      </w:r>
      <w:r>
        <w:rPr>
          <w:rFonts w:hint="eastAsia" w:ascii="FangSong_GB2312" w:hAnsi="FangSong_GB2312" w:eastAsia="FangSong_GB2312" w:cs="Times New Roman"/>
          <w:kern w:val="2"/>
          <w:sz w:val="32"/>
          <w:szCs w:val="24"/>
        </w:rPr>
        <w:t>业务科室</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企业、运维单位3个培训指标简化为按实施方案开展培训活动；按时间节点细化时效指标，如设计审批时间点、系统试运行时间点、系统正式运行时间点等；进一步量化</w:t>
      </w:r>
      <w:r>
        <w:rPr>
          <w:rFonts w:hint="eastAsia" w:ascii="FangSong_GB2312" w:hAnsi="FangSong_GB2312" w:eastAsia="FangSong_GB2312" w:cs="Times New Roman"/>
          <w:kern w:val="2"/>
          <w:sz w:val="32"/>
          <w:szCs w:val="24"/>
        </w:rPr>
        <w:t>社会效益</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生态效益</w:t>
      </w:r>
      <w:r>
        <w:rPr>
          <w:rFonts w:hint="eastAsia" w:ascii="FangSong_GB2312" w:hAnsi="FangSong_GB2312" w:eastAsia="FangSong_GB2312" w:cs="Times New Roman"/>
          <w:kern w:val="2"/>
          <w:sz w:val="32"/>
          <w:szCs w:val="24"/>
          <w:lang w:val="en-US" w:eastAsia="zh-CN"/>
        </w:rPr>
        <w:t>指标，</w:t>
      </w:r>
      <w:r>
        <w:rPr>
          <w:rFonts w:hint="eastAsia" w:ascii="FangSong_GB2312" w:hAnsi="FangSong_GB2312" w:eastAsia="FangSong_GB2312" w:cs="Times New Roman"/>
          <w:kern w:val="2"/>
          <w:sz w:val="32"/>
          <w:szCs w:val="24"/>
        </w:rPr>
        <w:t>优化可持续性指标，增加</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修复率≥98%</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故障响应≤4小时</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每季度巡检</w:t>
      </w:r>
      <w:r>
        <w:rPr>
          <w:rFonts w:hint="eastAsia" w:ascii="FangSong_GB2312" w:hAnsi="FangSong_GB2312" w:eastAsia="FangSong_GB2312" w:cs="Times New Roman"/>
          <w:kern w:val="2"/>
          <w:sz w:val="32"/>
          <w:szCs w:val="24"/>
          <w:lang w:val="en-US" w:eastAsia="zh-CN"/>
        </w:rPr>
        <w:t>一次</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用户满意度≥90%</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等</w:t>
      </w:r>
      <w:r>
        <w:rPr>
          <w:rFonts w:hint="eastAsia" w:ascii="FangSong_GB2312" w:hAnsi="FangSong_GB2312" w:eastAsia="FangSong_GB2312" w:cs="Times New Roman"/>
          <w:kern w:val="2"/>
          <w:sz w:val="32"/>
          <w:szCs w:val="24"/>
          <w:lang w:val="en-US" w:eastAsia="zh-CN"/>
        </w:rPr>
        <w:t>质保期</w:t>
      </w:r>
      <w:r>
        <w:rPr>
          <w:rFonts w:hint="eastAsia" w:ascii="FangSong_GB2312" w:hAnsi="FangSong_GB2312" w:eastAsia="FangSong_GB2312" w:cs="Times New Roman"/>
          <w:kern w:val="2"/>
          <w:sz w:val="32"/>
          <w:szCs w:val="24"/>
        </w:rPr>
        <w:t>运维类指标。</w:t>
      </w:r>
    </w:p>
    <w:p>
      <w:pPr>
        <w:widowControl/>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rPr>
        <w:t>充分掌握项目实际需求及市场行情，确保预算数据真实可靠</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建立动态调整机制，根据</w:t>
      </w:r>
      <w:r>
        <w:rPr>
          <w:rFonts w:hint="eastAsia" w:ascii="FangSong_GB2312" w:hAnsi="FangSong_GB2312" w:eastAsia="FangSong_GB2312" w:cs="Times New Roman"/>
          <w:kern w:val="2"/>
          <w:sz w:val="32"/>
          <w:szCs w:val="24"/>
          <w:lang w:val="en-US" w:eastAsia="zh-CN"/>
        </w:rPr>
        <w:t>实际需求</w:t>
      </w:r>
      <w:r>
        <w:rPr>
          <w:rFonts w:hint="eastAsia" w:ascii="FangSong_GB2312" w:hAnsi="FangSong_GB2312" w:eastAsia="FangSong_GB2312" w:cs="Times New Roman"/>
          <w:kern w:val="2"/>
          <w:sz w:val="32"/>
          <w:szCs w:val="24"/>
        </w:rPr>
        <w:t>、成本波动等因素及时优化预算方案</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提升财政资金使用效益。</w:t>
      </w:r>
    </w:p>
    <w:p>
      <w:pPr>
        <w:widowControl/>
        <w:spacing w:beforeLines="0" w:afterLines="0" w:line="560" w:lineRule="exact"/>
        <w:ind w:firstLine="640" w:firstLineChars="200"/>
        <w:jc w:val="both"/>
        <w:rPr>
          <w:rFonts w:hint="eastAsia" w:ascii="FangSong_GB2312" w:hAnsi="FangSong_GB2312" w:eastAsia="FangSong_GB2312" w:cs="Times New Roman"/>
          <w:bCs w:val="0"/>
          <w:sz w:val="32"/>
          <w:szCs w:val="24"/>
          <w:lang w:val="en-US" w:eastAsia="zh-CN"/>
        </w:rPr>
      </w:pPr>
      <w:r>
        <w:rPr>
          <w:rFonts w:hint="eastAsia" w:ascii="FangSong_GB2312" w:hAnsi="FangSong_GB2312" w:eastAsia="FangSong_GB2312" w:cs="Times New Roman"/>
          <w:kern w:val="2"/>
          <w:sz w:val="32"/>
          <w:szCs w:val="24"/>
          <w:lang w:eastAsia="zh-CN"/>
        </w:rPr>
        <w:t>3</w:t>
      </w:r>
      <w:r>
        <w:rPr>
          <w:rFonts w:hint="eastAsia" w:ascii="FangSong_GB2312" w:hAnsi="FangSong_GB2312" w:eastAsia="FangSong_GB2312" w:cs="Times New Roman"/>
          <w:kern w:val="2"/>
          <w:sz w:val="32"/>
          <w:szCs w:val="24"/>
          <w:lang w:val="en-US" w:eastAsia="zh-CN"/>
        </w:rPr>
        <w:t>.进一步健全</w:t>
      </w:r>
      <w:r>
        <w:rPr>
          <w:rFonts w:hint="eastAsia" w:ascii="FangSong_GB2312" w:hAnsi="FangSong_GB2312" w:eastAsia="FangSong_GB2312" w:cs="Times New Roman"/>
          <w:bCs w:val="0"/>
          <w:sz w:val="32"/>
          <w:szCs w:val="24"/>
          <w:lang w:eastAsia="zh-CN"/>
        </w:rPr>
        <w:t>管理制度，</w:t>
      </w:r>
      <w:r>
        <w:rPr>
          <w:rFonts w:hint="eastAsia" w:ascii="FangSong_GB2312" w:hAnsi="FangSong_GB2312" w:eastAsia="FangSong_GB2312" w:cs="Times New Roman"/>
          <w:bCs w:val="0"/>
          <w:sz w:val="32"/>
          <w:szCs w:val="24"/>
          <w:lang w:val="en-US" w:eastAsia="zh-CN"/>
        </w:rPr>
        <w:t>提高制度</w:t>
      </w:r>
      <w:r>
        <w:rPr>
          <w:rFonts w:hint="eastAsia" w:ascii="FangSong_GB2312" w:hAnsi="FangSong_GB2312" w:eastAsia="FangSong_GB2312" w:cs="Times New Roman"/>
          <w:bCs w:val="0"/>
          <w:sz w:val="32"/>
          <w:szCs w:val="24"/>
          <w:lang w:eastAsia="zh-CN"/>
        </w:rPr>
        <w:t>执行力，</w:t>
      </w:r>
      <w:r>
        <w:rPr>
          <w:rFonts w:hint="eastAsia" w:ascii="FangSong_GB2312" w:hAnsi="FangSong_GB2312" w:eastAsia="FangSong_GB2312" w:cs="Times New Roman"/>
          <w:bCs w:val="0"/>
          <w:sz w:val="32"/>
          <w:szCs w:val="24"/>
          <w:lang w:val="en-US" w:eastAsia="zh-CN"/>
        </w:rPr>
        <w:t>确保过程监管到位、过程管理资料完整</w:t>
      </w:r>
    </w:p>
    <w:p>
      <w:pPr>
        <w:widowControl/>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lang w:val="en-US" w:eastAsia="zh-CN"/>
        </w:rPr>
        <w:t>加快制度建设进度，尽快编制并完善资产管理办法，尽早完成资产入库手续。同时厘清建设期和运维期的责任边界，</w:t>
      </w:r>
      <w:r>
        <w:rPr>
          <w:rFonts w:hint="eastAsia" w:ascii="FangSong_GB2312" w:hAnsi="FangSong_GB2312" w:eastAsia="FangSong_GB2312" w:cs="Times New Roman"/>
          <w:i w:val="0"/>
          <w:iCs w:val="0"/>
          <w:caps w:val="0"/>
          <w:spacing w:val="0"/>
          <w:kern w:val="2"/>
          <w:sz w:val="32"/>
          <w:szCs w:val="24"/>
          <w:shd w:val="clear" w:color="auto" w:fill="auto"/>
        </w:rPr>
        <w:t>细化各阶段权责条款</w:t>
      </w:r>
      <w:r>
        <w:rPr>
          <w:rFonts w:hint="eastAsia" w:ascii="FangSong_GB2312" w:hAnsi="FangSong_GB2312" w:eastAsia="FangSong_GB2312" w:cs="Times New Roman"/>
          <w:i w:val="0"/>
          <w:iCs w:val="0"/>
          <w:caps w:val="0"/>
          <w:spacing w:val="0"/>
          <w:kern w:val="2"/>
          <w:sz w:val="32"/>
          <w:szCs w:val="24"/>
          <w:shd w:val="clear" w:color="auto" w:fill="auto"/>
          <w:lang w:eastAsia="zh-CN"/>
        </w:rPr>
        <w:t>，</w:t>
      </w:r>
      <w:r>
        <w:rPr>
          <w:rFonts w:hint="eastAsia" w:ascii="FangSong_GB2312" w:hAnsi="FangSong_GB2312" w:eastAsia="FangSong_GB2312" w:cs="Times New Roman"/>
          <w:kern w:val="2"/>
          <w:sz w:val="32"/>
          <w:szCs w:val="24"/>
          <w:lang w:val="en-US" w:eastAsia="zh-CN" w:bidi="ar"/>
        </w:rPr>
        <w:t>通过定期考核等方式跟踪运维质量。</w:t>
      </w:r>
      <w:r>
        <w:rPr>
          <w:rFonts w:hint="eastAsia" w:ascii="FangSong_GB2312" w:hAnsi="FangSong_GB2312" w:eastAsia="FangSong_GB2312" w:cs="Times New Roman"/>
          <w:kern w:val="2"/>
          <w:sz w:val="32"/>
          <w:szCs w:val="24"/>
          <w:lang w:val="en-US" w:eastAsia="zh-CN"/>
        </w:rPr>
        <w:t>完善文档管理体系，指定专人负责项目资料的收集、整理和归档工作，确保过程监管到位、过程资料完整可追溯</w:t>
      </w:r>
      <w:r>
        <w:rPr>
          <w:rFonts w:hint="eastAsia" w:ascii="FangSong_GB2312" w:hAnsi="FangSong_GB2312" w:eastAsia="FangSong_GB2312" w:cs="Times New Roman"/>
          <w:kern w:val="2"/>
          <w:sz w:val="32"/>
          <w:szCs w:val="24"/>
        </w:rPr>
        <w:t>。</w:t>
      </w:r>
    </w:p>
    <w:p>
      <w:pPr>
        <w:widowControl/>
        <w:numPr>
          <w:ilvl w:val="0"/>
          <w:numId w:val="0"/>
        </w:numPr>
        <w:spacing w:beforeLines="0" w:afterLines="0" w:line="560" w:lineRule="exact"/>
        <w:ind w:firstLine="640" w:firstLineChars="200"/>
        <w:jc w:val="both"/>
        <w:rPr>
          <w:rFonts w:hint="eastAsia" w:ascii="FangSong_GB2312" w:hAnsi="FangSong_GB2312" w:eastAsia="FangSong_GB2312" w:cs="Times New Roman"/>
          <w:kern w:val="2"/>
          <w:sz w:val="32"/>
          <w:szCs w:val="24"/>
        </w:rPr>
      </w:pPr>
      <w:r>
        <w:rPr>
          <w:rFonts w:hint="eastAsia" w:ascii="FangSong_GB2312" w:hAnsi="FangSong_GB2312" w:eastAsia="FangSong_GB2312" w:cs="Times New Roman"/>
          <w:kern w:val="2"/>
          <w:sz w:val="32"/>
          <w:szCs w:val="24"/>
          <w:lang w:val="en-US" w:eastAsia="zh-CN" w:bidi="ar-SA"/>
        </w:rPr>
        <w:t>4.</w:t>
      </w:r>
      <w:r>
        <w:rPr>
          <w:rFonts w:hint="eastAsia" w:ascii="FangSong_GB2312" w:hAnsi="FangSong_GB2312" w:eastAsia="FangSong_GB2312" w:cs="Times New Roman"/>
          <w:kern w:val="2"/>
          <w:sz w:val="32"/>
          <w:szCs w:val="24"/>
          <w:lang w:val="en-US" w:eastAsia="zh-CN"/>
        </w:rPr>
        <w:t>关注</w:t>
      </w:r>
      <w:r>
        <w:rPr>
          <w:rFonts w:hint="eastAsia" w:ascii="FangSong_GB2312" w:hAnsi="FangSong_GB2312" w:eastAsia="FangSong_GB2312" w:cs="Times New Roman"/>
          <w:bCs w:val="0"/>
          <w:kern w:val="2"/>
          <w:sz w:val="32"/>
          <w:szCs w:val="24"/>
          <w:lang w:val="en-US" w:eastAsia="zh-CN" w:bidi="ar"/>
        </w:rPr>
        <w:t>可持续性发展</w:t>
      </w:r>
      <w:r>
        <w:rPr>
          <w:rFonts w:hint="eastAsia" w:ascii="FangSong_GB2312" w:hAnsi="FangSong_GB2312" w:eastAsia="FangSong_GB2312" w:cs="Times New Roman"/>
          <w:kern w:val="2"/>
          <w:sz w:val="32"/>
          <w:szCs w:val="24"/>
        </w:rPr>
        <w:t>，做好满意度调查与分析</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rPr>
        <w:t>全面呈现项目绩效完成情况</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kern w:val="2"/>
          <w:sz w:val="32"/>
          <w:szCs w:val="24"/>
        </w:rPr>
        <w:t>建立技术更新机制，</w:t>
      </w:r>
      <w:r>
        <w:rPr>
          <w:rFonts w:hint="eastAsia" w:ascii="FangSong_GB2312" w:hAnsi="FangSong_GB2312" w:eastAsia="FangSong_GB2312" w:cs="Times New Roman"/>
          <w:kern w:val="2"/>
          <w:sz w:val="32"/>
          <w:szCs w:val="24"/>
          <w:lang w:val="en-US" w:eastAsia="zh-CN"/>
        </w:rPr>
        <w:t>关注</w:t>
      </w:r>
      <w:r>
        <w:rPr>
          <w:rFonts w:hint="eastAsia" w:ascii="FangSong_GB2312" w:hAnsi="FangSong_GB2312" w:eastAsia="FangSong_GB2312" w:cs="Times New Roman"/>
          <w:kern w:val="2"/>
          <w:sz w:val="32"/>
          <w:szCs w:val="24"/>
        </w:rPr>
        <w:t>系统功能升级和设备更新换代。合理制定服务对象满意度指标，建立满意度调查和对满意度调查分析</w:t>
      </w:r>
      <w:r>
        <w:rPr>
          <w:rFonts w:hint="eastAsia" w:ascii="FangSong_GB2312" w:hAnsi="FangSong_GB2312" w:eastAsia="FangSong_GB2312" w:cs="Times New Roman"/>
          <w:kern w:val="2"/>
          <w:sz w:val="32"/>
          <w:szCs w:val="24"/>
          <w:lang w:val="en-US" w:eastAsia="zh-CN"/>
        </w:rPr>
        <w:t>的</w:t>
      </w:r>
      <w:r>
        <w:rPr>
          <w:rFonts w:hint="eastAsia" w:ascii="FangSong_GB2312" w:hAnsi="FangSong_GB2312" w:eastAsia="FangSong_GB2312" w:cs="Times New Roman"/>
          <w:kern w:val="2"/>
          <w:sz w:val="32"/>
          <w:szCs w:val="24"/>
        </w:rPr>
        <w:t>管理机制，合理确定样本量，加强统计分析和结果应用</w:t>
      </w:r>
      <w:r>
        <w:rPr>
          <w:rFonts w:hint="eastAsia" w:ascii="FangSong_GB2312" w:hAnsi="FangSong_GB2312" w:eastAsia="FangSong_GB2312" w:cs="Times New Roman"/>
          <w:kern w:val="2"/>
          <w:sz w:val="32"/>
          <w:szCs w:val="24"/>
          <w:lang w:eastAsia="zh-CN"/>
        </w:rPr>
        <w:t>，</w:t>
      </w:r>
      <w:r>
        <w:rPr>
          <w:rFonts w:hint="eastAsia" w:ascii="FangSong_GB2312" w:hAnsi="FangSong_GB2312" w:eastAsia="FangSong_GB2312" w:cs="Times New Roman"/>
          <w:kern w:val="2"/>
          <w:sz w:val="32"/>
          <w:szCs w:val="24"/>
          <w:lang w:val="en-US" w:eastAsia="zh-CN"/>
        </w:rPr>
        <w:t>全</w:t>
      </w:r>
      <w:r>
        <w:rPr>
          <w:rFonts w:hint="eastAsia" w:ascii="FangSong_GB2312" w:hAnsi="FangSong_GB2312" w:eastAsia="FangSong_GB2312" w:cs="Times New Roman"/>
          <w:kern w:val="2"/>
          <w:sz w:val="32"/>
          <w:szCs w:val="24"/>
        </w:rPr>
        <w:t>面呈现项目绩效</w:t>
      </w:r>
      <w:r>
        <w:rPr>
          <w:rFonts w:hint="eastAsia" w:ascii="FangSong_GB2312" w:hAnsi="FangSong_GB2312" w:eastAsia="FangSong_GB2312" w:cs="Times New Roman"/>
          <w:kern w:val="2"/>
          <w:sz w:val="32"/>
          <w:szCs w:val="24"/>
          <w:lang w:val="en-US" w:eastAsia="zh-CN"/>
        </w:rPr>
        <w:t>成果</w:t>
      </w:r>
      <w:r>
        <w:rPr>
          <w:rFonts w:hint="eastAsia" w:ascii="FangSong_GB2312" w:hAnsi="FangSong_GB2312" w:eastAsia="FangSong_GB2312" w:cs="Times New Roman"/>
          <w:kern w:val="2"/>
          <w:sz w:val="32"/>
          <w:szCs w:val="24"/>
        </w:rPr>
        <w:t>。</w:t>
      </w:r>
      <w:bookmarkEnd w:id="7"/>
      <w:bookmarkEnd w:id="8"/>
      <w:bookmarkEnd w:id="9"/>
      <w:bookmarkEnd w:id="10"/>
      <w:bookmarkEnd w:id="11"/>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附件：</w:t>
      </w:r>
      <w:r>
        <w:rPr>
          <w:rFonts w:hint="eastAsia" w:ascii="FangSong_GB2312" w:hAnsi="FangSong_GB2312" w:eastAsia="FangSong_GB2312" w:cs="Times New Roman"/>
          <w:sz w:val="32"/>
          <w:szCs w:val="24"/>
          <w:u w:val="none"/>
          <w:lang w:eastAsia="zh-CN"/>
        </w:rPr>
        <w:t>地下水“双源”监管建设体系服务项目（二期）</w:t>
      </w:r>
      <w:r>
        <w:rPr>
          <w:rFonts w:hint="eastAsia" w:ascii="FangSong_GB2312" w:hAnsi="FangSong_GB2312" w:eastAsia="FangSong_GB2312" w:cs="Times New Roman"/>
          <w:sz w:val="32"/>
          <w:lang w:val="en-US" w:eastAsia="zh-CN"/>
        </w:rPr>
        <w:t>项目绩效评价指标体系及评分情况表</w:t>
      </w:r>
    </w:p>
    <w:p>
      <w:pPr>
        <w:spacing w:line="560" w:lineRule="exact"/>
        <w:ind w:firstLine="640" w:firstLineChars="200"/>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br w:type="page"/>
      </w:r>
    </w:p>
    <w:p>
      <w:pPr>
        <w:spacing w:beforeLines="0" w:afterLines="0" w:line="560" w:lineRule="exact"/>
        <w:ind w:left="0" w:leftChars="0" w:firstLine="0" w:firstLineChars="0"/>
        <w:jc w:val="center"/>
        <w:rPr>
          <w:rFonts w:hint="eastAsia" w:ascii="黑体" w:hAnsi="黑体" w:eastAsia="黑体" w:cs="黑体"/>
          <w:sz w:val="32"/>
          <w:szCs w:val="24"/>
          <w:u w:val="none"/>
          <w:lang w:eastAsia="zh-CN"/>
        </w:rPr>
      </w:pPr>
      <w:r>
        <w:rPr>
          <w:rFonts w:hint="eastAsia" w:ascii="黑体" w:hAnsi="黑体" w:eastAsia="黑体" w:cs="黑体"/>
          <w:sz w:val="32"/>
          <w:szCs w:val="24"/>
          <w:u w:val="none"/>
          <w:lang w:eastAsia="zh-CN"/>
        </w:rPr>
        <w:t>地下水“双源”监管建设体系服务项目（二期）</w:t>
      </w:r>
    </w:p>
    <w:p>
      <w:pPr>
        <w:spacing w:beforeLines="0" w:afterLines="0" w:line="560" w:lineRule="exact"/>
        <w:ind w:left="0" w:leftChars="0" w:firstLine="0" w:firstLineChars="0"/>
        <w:jc w:val="center"/>
        <w:rPr>
          <w:rFonts w:hint="eastAsia" w:ascii="黑体" w:hAnsi="黑体" w:eastAsia="黑体" w:cs="黑体"/>
          <w:sz w:val="32"/>
          <w:lang w:val="en-US" w:eastAsia="zh-CN"/>
        </w:rPr>
      </w:pPr>
      <w:r>
        <w:rPr>
          <w:rFonts w:hint="eastAsia" w:ascii="黑体" w:hAnsi="黑体" w:eastAsia="黑体" w:cs="黑体"/>
          <w:sz w:val="32"/>
          <w:lang w:val="en-US" w:eastAsia="zh-CN"/>
        </w:rPr>
        <w:t>绩效评价指标体系及评分情况表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95"/>
        <w:gridCol w:w="2295"/>
        <w:gridCol w:w="147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一级指标</w:t>
            </w: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二级指标</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三级指标</w:t>
            </w:r>
          </w:p>
        </w:tc>
        <w:tc>
          <w:tcPr>
            <w:tcW w:w="147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分值</w:t>
            </w:r>
          </w:p>
        </w:tc>
        <w:tc>
          <w:tcPr>
            <w:tcW w:w="1552"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决策</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项目立项</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立项依据充分</w:t>
            </w:r>
            <w:r>
              <w:rPr>
                <w:rFonts w:hint="eastAsia" w:ascii="仿宋" w:hAnsi="仿宋" w:eastAsia="仿宋" w:cs="仿宋"/>
                <w:sz w:val="24"/>
                <w:szCs w:val="24"/>
                <w:lang w:eastAsia="zh-CN"/>
              </w:rPr>
              <w:t>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立项程序规范性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绩效目标合理性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绩效指标明确性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资金投入</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预算编制科学性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资金分配合理性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过程</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资金管理</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资金到位率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预算执行率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资金使用合规性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组织实施</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管理制度健全性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制度执行有效性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w:t>
            </w: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产出数量</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实际完成率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产出质量</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质量达标率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完成及时性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产出成本</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成本节约率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效益</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项目效益</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实施效益</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满意度</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0" w:type="dxa"/>
            <w:gridSpan w:val="3"/>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147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100</w:t>
            </w:r>
          </w:p>
        </w:tc>
        <w:tc>
          <w:tcPr>
            <w:tcW w:w="1552"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84.90</w:t>
            </w:r>
          </w:p>
        </w:tc>
      </w:tr>
    </w:tbl>
    <w:p>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br w:type="page"/>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北京市丰台区</w:t>
      </w:r>
      <w:r>
        <w:rPr>
          <w:rFonts w:hint="eastAsia" w:ascii="方正小标宋简体" w:hAnsi="方正小标宋简体" w:eastAsia="方正小标宋简体" w:cs="方正小标宋简体"/>
          <w:sz w:val="44"/>
          <w:szCs w:val="44"/>
          <w:lang w:val="en-US" w:eastAsia="zh-CN"/>
        </w:rPr>
        <w:t>住房和建设委员会</w:t>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东铁营棚户区改造和环境整治项目</w:t>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绩效评价报告</w:t>
      </w:r>
    </w:p>
    <w:p>
      <w:pPr>
        <w:widowControl w:val="0"/>
        <w:spacing w:afterLines="0" w:afterAutospacing="0" w:line="560" w:lineRule="exact"/>
        <w:ind w:firstLine="880" w:firstLineChars="200"/>
        <w:jc w:val="both"/>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rPr>
        <w:t>为进一步提高财政支出管理水平，检验财政支出预期目标实现程度，考核财政支出效率和综合效果，为以后年度财政资金安排提供重要依据，根据《中华人民共和国预算法》、《中共北京市委北京市人民政府关于全面实施预算绩效管理的实施意见》（京发〔2019〕12 号）、《丰台区预算绩效管理办法》（丰财绩效〔2020〕374 号）以及《北京市丰台区项目支出绩效评价管理办法》（丰财绩效〔2021〕2526 号）等相关文件要求，北京市丰台区财政局成立了绩效评价工作组，对北京市丰台区</w:t>
      </w:r>
      <w:r>
        <w:rPr>
          <w:rFonts w:hint="eastAsia" w:ascii="FangSong_GB2312" w:hAnsi="FangSong_GB2312" w:eastAsia="FangSong_GB2312" w:cs="Times New Roman"/>
          <w:sz w:val="32"/>
          <w:lang w:val="en-US" w:eastAsia="zh-CN"/>
        </w:rPr>
        <w:t>住房和建设委员会</w:t>
      </w:r>
      <w:r>
        <w:rPr>
          <w:rFonts w:hint="default" w:ascii="Times New Roman" w:hAnsi="Times New Roman" w:eastAsia="仿宋_GB2312" w:cs="Times New Roman"/>
          <w:sz w:val="32"/>
          <w:szCs w:val="32"/>
          <w:highlight w:val="none"/>
          <w:lang w:val="en-US" w:eastAsia="zh-CN"/>
        </w:rPr>
        <w:t>（以下简称</w:t>
      </w:r>
      <w:r>
        <w:rPr>
          <w:rFonts w:hint="eastAsia" w:ascii="仿宋_GB2312" w:hAnsi="仿宋_GB2312" w:eastAsia="方正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区住建委</w:t>
      </w:r>
      <w:r>
        <w:rPr>
          <w:rFonts w:hint="eastAsia" w:ascii="仿宋_GB2312" w:hAnsi="仿宋_GB2312" w:eastAsia="方正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FangSong_GB2312" w:hAnsi="FangSong_GB2312" w:eastAsia="FangSong_GB2312" w:cs="Times New Roman"/>
          <w:sz w:val="32"/>
        </w:rPr>
        <w:t>的</w:t>
      </w:r>
      <w:r>
        <w:rPr>
          <w:rFonts w:hint="eastAsia" w:ascii="FangSong_GB2312" w:hAnsi="FangSong_GB2312" w:eastAsia="FangSong_GB2312" w:cs="Times New Roman"/>
          <w:sz w:val="32"/>
          <w:lang w:eastAsia="zh-CN"/>
        </w:rPr>
        <w:t>“</w:t>
      </w:r>
      <w:r>
        <w:rPr>
          <w:rFonts w:hint="eastAsia" w:ascii="FangSong_GB2312" w:hAnsi="FangSong_GB2312" w:eastAsia="FangSong_GB2312" w:cs="Times New Roman"/>
          <w:sz w:val="32"/>
          <w:lang w:val="en-US" w:eastAsia="zh-CN"/>
        </w:rPr>
        <w:t>东铁营棚户区改造和环境整治项目”</w:t>
      </w:r>
      <w:r>
        <w:rPr>
          <w:rFonts w:hint="default" w:ascii="Times New Roman" w:hAnsi="Times New Roman" w:eastAsia="仿宋_GB2312" w:cs="Times New Roman"/>
          <w:sz w:val="32"/>
          <w:szCs w:val="32"/>
          <w:highlight w:val="none"/>
          <w:lang w:val="en-US" w:eastAsia="zh-CN"/>
        </w:rPr>
        <w:t>（以下简称</w:t>
      </w:r>
      <w:r>
        <w:rPr>
          <w:rFonts w:hint="eastAsia" w:ascii="仿宋_GB2312" w:hAnsi="仿宋_GB2312" w:eastAsia="方正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本项目</w:t>
      </w:r>
      <w:r>
        <w:rPr>
          <w:rFonts w:hint="eastAsia" w:ascii="仿宋_GB2312" w:hAnsi="仿宋_GB2312" w:eastAsia="方正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FangSong_GB2312" w:hAnsi="FangSong_GB2312" w:eastAsia="FangSong_GB2312" w:cs="Times New Roman"/>
          <w:sz w:val="32"/>
        </w:rPr>
        <w:t>开展了绩效评价。该项目评价结果为</w:t>
      </w:r>
      <w:r>
        <w:rPr>
          <w:rFonts w:hint="eastAsia" w:ascii="FangSong_GB2312" w:hAnsi="FangSong_GB2312" w:eastAsia="FangSong_GB2312" w:cs="Times New Roman"/>
          <w:sz w:val="32"/>
          <w:lang w:val="en-US" w:eastAsia="zh-CN"/>
        </w:rPr>
        <w:t>82</w:t>
      </w:r>
      <w:r>
        <w:rPr>
          <w:rFonts w:hint="eastAsia" w:ascii="FangSong_GB2312" w:hAnsi="FangSong_GB2312" w:eastAsia="FangSong_GB2312" w:cs="Times New Roman"/>
          <w:sz w:val="32"/>
        </w:rPr>
        <w:t>分。有关情况如下。</w:t>
      </w:r>
    </w:p>
    <w:p>
      <w:pPr>
        <w:spacing w:beforeLines="0" w:afterLines="0" w:line="560" w:lineRule="exact"/>
        <w:ind w:firstLine="640" w:firstLineChars="200"/>
        <w:jc w:val="left"/>
        <w:rPr>
          <w:rFonts w:hint="eastAsia" w:ascii="黑体" w:hAnsi="黑体" w:eastAsia="黑体" w:cs="Times New Roman"/>
          <w:sz w:val="32"/>
        </w:rPr>
      </w:pPr>
      <w:r>
        <w:rPr>
          <w:rFonts w:hint="eastAsia" w:ascii="黑体" w:hAnsi="黑体" w:eastAsia="黑体" w:cs="Times New Roman"/>
          <w:sz w:val="32"/>
        </w:rPr>
        <w:t>一、项目基本情况</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（一）项目背景</w:t>
      </w:r>
    </w:p>
    <w:p>
      <w:pPr>
        <w:spacing w:beforeLines="0" w:afterLines="0" w:line="560" w:lineRule="exact"/>
        <w:ind w:firstLine="640" w:firstLineChars="200"/>
        <w:jc w:val="left"/>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1.项目立项依据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rPr>
      </w:pPr>
      <w:r>
        <w:rPr>
          <w:rFonts w:hint="default" w:ascii="FangSong_GB2312" w:hAnsi="FangSong_GB2312" w:eastAsia="FangSong_GB2312" w:cs="Times New Roman"/>
          <w:sz w:val="32"/>
          <w:lang w:val="en-US" w:eastAsia="zh-CN"/>
        </w:rPr>
        <w:t>北京市丰台区</w:t>
      </w:r>
      <w:r>
        <w:rPr>
          <w:rFonts w:hint="default" w:ascii="FangSong_GB2312" w:hAnsi="FangSong_GB2312" w:eastAsia="FangSong_GB2312" w:cs="Times New Roman"/>
          <w:sz w:val="32"/>
        </w:rPr>
        <w:t>东铁营棚户区位于南三环附近，经历了多年的分散建设，缺乏统筹规划</w:t>
      </w:r>
      <w:r>
        <w:rPr>
          <w:rFonts w:hint="default" w:ascii="FangSong_GB2312" w:hAnsi="FangSong_GB2312" w:eastAsia="FangSong_GB2312" w:cs="Times New Roman"/>
          <w:sz w:val="32"/>
          <w:lang w:eastAsia="zh-CN"/>
        </w:rPr>
        <w:t>，</w:t>
      </w:r>
      <w:r>
        <w:rPr>
          <w:rFonts w:hint="default" w:ascii="FangSong_GB2312" w:hAnsi="FangSong_GB2312" w:eastAsia="FangSong_GB2312" w:cs="Times New Roman"/>
          <w:sz w:val="32"/>
        </w:rPr>
        <w:t>先期开发多以拆迁量小的厂区及农用地为主，剩余了大量的企业职工及宅基地的住宅房屋，城市面貌与区域功能情况不符，居民生产生活环境恶劣，安全隐患突出，环境亟待解决</w:t>
      </w:r>
      <w:r>
        <w:rPr>
          <w:rFonts w:hint="default" w:ascii="FangSong_GB2312" w:hAnsi="FangSong_GB2312" w:eastAsia="FangSong_GB2312" w:cs="Times New Roman"/>
          <w:sz w:val="32"/>
          <w:lang w:eastAsia="zh-CN"/>
        </w:rPr>
        <w:t>，</w:t>
      </w:r>
      <w:r>
        <w:rPr>
          <w:rFonts w:hint="default" w:ascii="FangSong_GB2312" w:hAnsi="FangSong_GB2312" w:eastAsia="FangSong_GB2312" w:cs="Times New Roman"/>
          <w:sz w:val="32"/>
          <w:lang w:val="en-US" w:eastAsia="zh-CN"/>
        </w:rPr>
        <w:t>故2013年，</w:t>
      </w:r>
      <w:r>
        <w:rPr>
          <w:rFonts w:hint="default" w:ascii="FangSong_GB2312" w:hAnsi="FangSong_GB2312" w:eastAsia="FangSong_GB2312" w:cs="Times New Roman"/>
          <w:sz w:val="32"/>
        </w:rPr>
        <w:t>东铁营棚户区改造和环境整治项目纳入中心城区棚户区改造和环境整治项目任务计划范围</w:t>
      </w:r>
      <w:r>
        <w:rPr>
          <w:rFonts w:hint="default" w:ascii="FangSong_GB2312" w:hAnsi="FangSong_GB2312" w:eastAsia="FangSong_GB2312" w:cs="Times New Roman"/>
          <w:sz w:val="32"/>
          <w:lang w:eastAsia="zh-CN"/>
        </w:rPr>
        <w:t>。</w:t>
      </w:r>
      <w:r>
        <w:rPr>
          <w:rFonts w:hint="default" w:ascii="FangSong_GB2312" w:hAnsi="FangSong_GB2312" w:eastAsia="FangSong_GB2312" w:cs="Times New Roman"/>
          <w:sz w:val="32"/>
          <w:lang w:val="en-US" w:eastAsia="zh-CN"/>
        </w:rPr>
        <w:t>2017年9月，</w:t>
      </w:r>
      <w:r>
        <w:rPr>
          <w:rFonts w:hint="default" w:ascii="FangSong_GB2312" w:hAnsi="FangSong_GB2312" w:eastAsia="FangSong_GB2312" w:cs="Times New Roman"/>
          <w:sz w:val="32"/>
        </w:rPr>
        <w:t>北京市规划和国土资源管理委员会</w:t>
      </w:r>
      <w:r>
        <w:rPr>
          <w:rFonts w:hint="default" w:ascii="FangSong_GB2312" w:hAnsi="FangSong_GB2312" w:eastAsia="FangSong_GB2312" w:cs="Times New Roman"/>
          <w:sz w:val="32"/>
          <w:lang w:val="en-US" w:eastAsia="zh-CN"/>
        </w:rPr>
        <w:t>发布《北京城市总体规划（2016年－2035年）》，规划提出要</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rPr>
        <w:t>有序推进各类棚户区改造</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，中铁建在丰台区政府授权下</w:t>
      </w:r>
      <w:r>
        <w:rPr>
          <w:rFonts w:hint="eastAsia" w:ascii="FangSong_GB2312" w:hAnsi="FangSong_GB2312" w:eastAsia="FangSong_GB2312" w:cs="Times New Roman"/>
          <w:sz w:val="32"/>
          <w:lang w:val="en-US" w:eastAsia="zh-CN"/>
        </w:rPr>
        <w:t>作为实施主体</w:t>
      </w:r>
      <w:r>
        <w:rPr>
          <w:rFonts w:hint="default" w:ascii="FangSong_GB2312" w:hAnsi="FangSong_GB2312" w:eastAsia="FangSong_GB2312" w:cs="Times New Roman"/>
          <w:sz w:val="32"/>
          <w:lang w:val="en-US" w:eastAsia="zh-CN"/>
        </w:rPr>
        <w:t>持续</w:t>
      </w:r>
      <w:r>
        <w:rPr>
          <w:rFonts w:hint="eastAsia" w:ascii="FangSong_GB2312" w:hAnsi="FangSong_GB2312" w:eastAsia="FangSong_GB2312" w:cs="Times New Roman"/>
          <w:sz w:val="32"/>
          <w:lang w:val="en-US" w:eastAsia="zh-CN"/>
        </w:rPr>
        <w:t>开展</w:t>
      </w:r>
      <w:r>
        <w:rPr>
          <w:rFonts w:hint="default" w:ascii="FangSong_GB2312" w:hAnsi="FangSong_GB2312" w:eastAsia="FangSong_GB2312" w:cs="Times New Roman"/>
          <w:sz w:val="32"/>
        </w:rPr>
        <w:t>东铁营</w:t>
      </w:r>
      <w:r>
        <w:rPr>
          <w:rFonts w:hint="default" w:ascii="FangSong_GB2312" w:hAnsi="FangSong_GB2312" w:eastAsia="FangSong_GB2312" w:cs="Times New Roman"/>
          <w:sz w:val="32"/>
          <w:lang w:val="en-US" w:eastAsia="zh-CN"/>
        </w:rPr>
        <w:t>棚户区改造工程。本项目主管部门为区住建委，责任科室为危旧房改造管理科，科室职责包括</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rPr>
        <w:t>负责研究拟订区域内棚户区及危旧房改造年度计划等相关工作</w:t>
      </w:r>
      <w:r>
        <w:rPr>
          <w:rFonts w:hint="eastAsia" w:ascii="FangSong_GB2312" w:hAnsi="FangSong_GB2312" w:eastAsia="FangSong_GB2312" w:cs="Times New Roman"/>
          <w:sz w:val="32"/>
          <w:lang w:eastAsia="zh-CN"/>
        </w:rPr>
        <w:t>”“</w:t>
      </w:r>
      <w:r>
        <w:rPr>
          <w:rFonts w:hint="default" w:ascii="FangSong_GB2312" w:hAnsi="FangSong_GB2312" w:eastAsia="FangSong_GB2312" w:cs="Times New Roman"/>
          <w:sz w:val="32"/>
        </w:rPr>
        <w:t>统筹协调推进棚户区改造和危旧房改造工程</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w:t>
      </w:r>
    </w:p>
    <w:p>
      <w:pPr>
        <w:spacing w:beforeLines="0" w:afterLines="0" w:line="560" w:lineRule="exact"/>
        <w:ind w:firstLine="640" w:firstLineChars="200"/>
        <w:jc w:val="left"/>
        <w:rPr>
          <w:rFonts w:hint="eastAsia" w:ascii="FangSong_GB2312" w:hAnsi="FangSong_GB2312" w:eastAsia="FangSong_GB2312" w:cs="Times New Roman"/>
          <w:sz w:val="32"/>
        </w:rPr>
      </w:pPr>
      <w:r>
        <w:rPr>
          <w:rFonts w:hint="eastAsia" w:ascii="FangSong_GB2312" w:hAnsi="FangSong_GB2312" w:eastAsia="FangSong_GB2312" w:cs="Times New Roman"/>
          <w:sz w:val="32"/>
        </w:rPr>
        <w:t>2.项目实施主体</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default" w:ascii="FangSong_GB2312" w:hAnsi="FangSong_GB2312" w:eastAsia="FangSong_GB2312" w:cs="Times New Roman"/>
          <w:sz w:val="32"/>
          <w:lang w:val="en-US" w:eastAsia="zh-CN"/>
        </w:rPr>
        <w:t>根据《关于授权东铁营棚户区改造和环境整治项目建设主体的批复》（丰政函〔2024〕132号）、《关于丰台区东铁营棚户区改造和环境整治项目核准的批复》（京发改[核]〔2024〕121号），经丰台区人民政府授权、北京市发展和改革委员会核准，中铁建置业有限公司（以下简称</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中铁建</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）作为开发实施主体，开展丰台区东铁营棚户区改造和环境整治项目</w:t>
      </w:r>
      <w:r>
        <w:rPr>
          <w:rFonts w:hint="eastAsia" w:ascii="FangSong_GB2312" w:hAnsi="FangSong_GB2312" w:eastAsia="FangSong_GB2312" w:cs="Times New Roman"/>
          <w:sz w:val="32"/>
          <w:lang w:val="en-US" w:eastAsia="zh-CN"/>
        </w:rPr>
        <w:t>，北京市丰台区住房和建设委员会为本项目主管部门。</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（二）项目主要内容及目标</w:t>
      </w:r>
    </w:p>
    <w:p>
      <w:pPr>
        <w:spacing w:beforeLines="0" w:afterLines="0" w:line="560" w:lineRule="exact"/>
        <w:ind w:firstLine="640" w:firstLineChars="200"/>
        <w:jc w:val="left"/>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1.项目主要内容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w:t>
      </w:r>
      <w:r>
        <w:rPr>
          <w:rFonts w:hint="default" w:ascii="FangSong_GB2312" w:hAnsi="FangSong_GB2312" w:eastAsia="FangSong_GB2312" w:cs="Times New Roman"/>
          <w:sz w:val="32"/>
          <w:lang w:val="en-US" w:eastAsia="zh-CN"/>
        </w:rPr>
        <w:t>主要建设规模和内容是：进行征地、拆迁工作和必要的基础设施建设，土地前期开发完成后，经营性用地达到入市交易条件后入市交易。本项目为公益性项目，通过棚户区改造和环境整治，提升该地区居民的生活品质和整体环境水平，以推进棚改实施、改善环境品质为出发点，通过规划调整，切实考虑空间品质提升并补充区域短板，完善市政公服配套及路网系统，提升服务能力。</w:t>
      </w:r>
    </w:p>
    <w:p>
      <w:pPr>
        <w:spacing w:beforeLines="0" w:afterLines="0" w:line="560" w:lineRule="exact"/>
        <w:ind w:firstLine="640" w:firstLineChars="200"/>
        <w:jc w:val="left"/>
        <w:rPr>
          <w:rFonts w:hint="eastAsia" w:ascii="FangSong_GB2312" w:hAnsi="FangSong_GB2312" w:eastAsia="FangSong_GB2312" w:cs="Times New Roman"/>
          <w:sz w:val="32"/>
        </w:rPr>
      </w:pPr>
      <w:r>
        <w:rPr>
          <w:rFonts w:hint="eastAsia" w:ascii="FangSong_GB2312" w:hAnsi="FangSong_GB2312" w:eastAsia="FangSong_GB2312" w:cs="Times New Roman"/>
          <w:sz w:val="32"/>
        </w:rPr>
        <w:t>2.项目绩效年度目标</w:t>
      </w:r>
    </w:p>
    <w:p>
      <w:pPr>
        <w:spacing w:beforeLines="0" w:afterLines="0" w:line="560" w:lineRule="exact"/>
        <w:ind w:firstLine="640" w:firstLineChars="200"/>
        <w:jc w:val="left"/>
        <w:rPr>
          <w:rFonts w:hint="default"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（1）</w:t>
      </w:r>
      <w:r>
        <w:rPr>
          <w:rFonts w:hint="default" w:ascii="FangSong_GB2312" w:hAnsi="FangSong_GB2312" w:eastAsia="FangSong_GB2312" w:cs="Times New Roman"/>
          <w:sz w:val="32"/>
          <w:lang w:val="en-US" w:eastAsia="zh-CN"/>
        </w:rPr>
        <w:t>项目年度目标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default" w:ascii="FangSong_GB2312" w:hAnsi="FangSong_GB2312" w:eastAsia="FangSong_GB2312" w:cs="Times New Roman"/>
          <w:sz w:val="32"/>
          <w:lang w:val="en-US" w:eastAsia="zh-CN"/>
        </w:rPr>
        <w:t>区住建委设定的年度目标为：完成部分拆迁腾退、安置房建设，支付周转费等。</w:t>
      </w:r>
    </w:p>
    <w:p>
      <w:pPr>
        <w:spacing w:beforeLines="0" w:afterLines="0" w:line="560" w:lineRule="exact"/>
        <w:ind w:firstLine="640" w:firstLineChars="200"/>
        <w:jc w:val="left"/>
        <w:rPr>
          <w:rFonts w:hint="default"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（2）</w:t>
      </w:r>
      <w:r>
        <w:rPr>
          <w:rFonts w:hint="default" w:ascii="FangSong_GB2312" w:hAnsi="FangSong_GB2312" w:eastAsia="FangSong_GB2312" w:cs="Times New Roman"/>
          <w:sz w:val="32"/>
          <w:lang w:val="en-US" w:eastAsia="zh-CN"/>
        </w:rPr>
        <w:t>项目绩效指标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default" w:ascii="FangSong_GB2312" w:hAnsi="FangSong_GB2312" w:eastAsia="FangSong_GB2312" w:cs="Times New Roman"/>
          <w:sz w:val="32"/>
          <w:lang w:val="en-US" w:eastAsia="zh-CN"/>
        </w:rPr>
        <w:t>区住建委和中铁建均对本项目设置了年度绩效指标，具体如下：</w:t>
      </w:r>
    </w:p>
    <w:p>
      <w:pPr>
        <w:pStyle w:val="7"/>
        <w:keepNext w:val="0"/>
        <w:keepLines w:val="0"/>
        <w:pageBreakBefore w:val="0"/>
        <w:widowControl w:val="0"/>
        <w:kinsoku/>
        <w:wordWrap/>
        <w:overflowPunct w:val="0"/>
        <w:topLinePunct w:val="0"/>
        <w:autoSpaceDE/>
        <w:autoSpaceDN/>
        <w:bidi w:val="0"/>
        <w:adjustRightInd w:val="0"/>
        <w:snapToGrid w:val="0"/>
        <w:spacing w:after="157" w:afterLines="50" w:line="560" w:lineRule="atLeast"/>
        <w:ind w:left="0" w:leftChars="0" w:firstLine="0" w:firstLineChars="0"/>
        <w:jc w:val="center"/>
        <w:textAlignment w:val="auto"/>
        <w:rPr>
          <w:rFonts w:hint="eastAsia" w:ascii="Times New Roman Bold" w:hAnsi="Times New Roman Bold" w:eastAsia="黑体" w:cs="黑体"/>
          <w:b w:val="0"/>
          <w:bCs w:val="0"/>
          <w:kern w:val="2"/>
          <w:sz w:val="24"/>
          <w:szCs w:val="24"/>
          <w:lang w:val="en-US" w:eastAsia="zh-CN" w:bidi="ar-SA"/>
        </w:rPr>
      </w:pPr>
      <w:r>
        <w:rPr>
          <w:rFonts w:hint="eastAsia" w:ascii="Times New Roman Bold" w:hAnsi="Times New Roman Bold" w:eastAsia="黑体" w:cs="黑体"/>
          <w:b w:val="0"/>
          <w:bCs w:val="0"/>
          <w:kern w:val="2"/>
          <w:sz w:val="24"/>
          <w:szCs w:val="24"/>
          <w:lang w:val="en-US" w:eastAsia="zh-CN" w:bidi="ar-SA"/>
        </w:rPr>
        <w:t>表1 区住建委2024年东铁营棚户区改造和环境整治项目绩效目标表</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0"/>
        <w:gridCol w:w="2056"/>
        <w:gridCol w:w="2498"/>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一级指标</w:t>
            </w:r>
          </w:p>
        </w:tc>
        <w:tc>
          <w:tcPr>
            <w:tcW w:w="1206"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二级指标</w:t>
            </w:r>
          </w:p>
        </w:tc>
        <w:tc>
          <w:tcPr>
            <w:tcW w:w="1465"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三级指标</w:t>
            </w:r>
          </w:p>
        </w:tc>
        <w:tc>
          <w:tcPr>
            <w:tcW w:w="1465"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产出指标</w:t>
            </w:r>
          </w:p>
        </w:tc>
        <w:tc>
          <w:tcPr>
            <w:tcW w:w="1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时效指标</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严格按照资金拨付时效支出</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严格按照资金拨付时效支出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效益指标</w:t>
            </w:r>
          </w:p>
        </w:tc>
        <w:tc>
          <w:tcPr>
            <w:tcW w:w="1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生态效益指标</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做好拆迁现场管理工作</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做好拆迁现场管理工作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满意度指标</w:t>
            </w:r>
          </w:p>
        </w:tc>
        <w:tc>
          <w:tcPr>
            <w:tcW w:w="1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服务对象满意度指标</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主管单位对项目工作满意度</w:t>
            </w:r>
          </w:p>
        </w:tc>
        <w:tc>
          <w:tcPr>
            <w:tcW w:w="1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主管单位对项目工作满意度</w:t>
            </w:r>
          </w:p>
        </w:tc>
      </w:tr>
    </w:tbl>
    <w:p>
      <w:pPr>
        <w:pStyle w:val="7"/>
        <w:keepNext w:val="0"/>
        <w:keepLines w:val="0"/>
        <w:pageBreakBefore w:val="0"/>
        <w:widowControl w:val="0"/>
        <w:kinsoku/>
        <w:wordWrap/>
        <w:overflowPunct w:val="0"/>
        <w:topLinePunct w:val="0"/>
        <w:autoSpaceDE/>
        <w:autoSpaceDN/>
        <w:bidi w:val="0"/>
        <w:adjustRightInd w:val="0"/>
        <w:snapToGrid w:val="0"/>
        <w:spacing w:after="157" w:afterLines="50" w:line="560" w:lineRule="atLeast"/>
        <w:ind w:left="0" w:leftChars="0" w:firstLine="0" w:firstLineChars="0"/>
        <w:jc w:val="center"/>
        <w:textAlignment w:val="auto"/>
        <w:rPr>
          <w:rFonts w:hint="default" w:ascii="Times New Roman Bold" w:hAnsi="Times New Roman Bold" w:eastAsia="黑体" w:cs="黑体"/>
          <w:b w:val="0"/>
          <w:bCs w:val="0"/>
          <w:kern w:val="2"/>
          <w:sz w:val="24"/>
          <w:szCs w:val="24"/>
          <w:lang w:val="en-US" w:eastAsia="zh-CN" w:bidi="ar-SA"/>
        </w:rPr>
      </w:pPr>
      <w:r>
        <w:rPr>
          <w:rFonts w:hint="default" w:ascii="Times New Roman Bold" w:hAnsi="Times New Roman Bold" w:eastAsia="黑体" w:cs="黑体"/>
          <w:b w:val="0"/>
          <w:bCs w:val="0"/>
          <w:kern w:val="2"/>
          <w:sz w:val="24"/>
          <w:szCs w:val="24"/>
          <w:lang w:val="en-US" w:eastAsia="zh-CN" w:bidi="ar-SA"/>
        </w:rPr>
        <w:t>表</w:t>
      </w:r>
      <w:r>
        <w:rPr>
          <w:rFonts w:hint="eastAsia" w:ascii="Times New Roman Bold" w:hAnsi="Times New Roman Bold" w:eastAsia="黑体" w:cs="黑体"/>
          <w:b w:val="0"/>
          <w:bCs w:val="0"/>
          <w:kern w:val="2"/>
          <w:sz w:val="24"/>
          <w:szCs w:val="24"/>
          <w:lang w:val="en-US" w:eastAsia="zh-CN" w:bidi="ar-SA"/>
        </w:rPr>
        <w:t>2</w:t>
      </w:r>
      <w:r>
        <w:rPr>
          <w:rFonts w:hint="default" w:ascii="Times New Roman Bold" w:hAnsi="Times New Roman Bold" w:eastAsia="黑体" w:cs="黑体"/>
          <w:b w:val="0"/>
          <w:bCs w:val="0"/>
          <w:kern w:val="2"/>
          <w:sz w:val="24"/>
          <w:szCs w:val="24"/>
          <w:lang w:val="en-US" w:eastAsia="zh-CN" w:bidi="ar-SA"/>
        </w:rPr>
        <w:t xml:space="preserve"> 中铁建2024年东铁营棚户区改造和环境整治项目</w:t>
      </w:r>
    </w:p>
    <w:p>
      <w:pPr>
        <w:pStyle w:val="7"/>
        <w:keepNext w:val="0"/>
        <w:keepLines w:val="0"/>
        <w:pageBreakBefore w:val="0"/>
        <w:widowControl w:val="0"/>
        <w:kinsoku/>
        <w:wordWrap/>
        <w:overflowPunct w:val="0"/>
        <w:topLinePunct w:val="0"/>
        <w:autoSpaceDE/>
        <w:autoSpaceDN/>
        <w:bidi w:val="0"/>
        <w:adjustRightInd w:val="0"/>
        <w:snapToGrid w:val="0"/>
        <w:spacing w:after="157" w:afterLines="50" w:line="240" w:lineRule="auto"/>
        <w:ind w:left="0" w:leftChars="0" w:firstLine="0" w:firstLineChars="0"/>
        <w:jc w:val="center"/>
        <w:textAlignment w:val="auto"/>
        <w:rPr>
          <w:rFonts w:hint="default" w:ascii="Times New Roman Bold" w:hAnsi="Times New Roman Bold" w:eastAsia="黑体" w:cs="黑体"/>
          <w:b w:val="0"/>
          <w:bCs w:val="0"/>
          <w:kern w:val="2"/>
          <w:sz w:val="24"/>
          <w:szCs w:val="24"/>
          <w:lang w:val="en-US" w:eastAsia="zh-CN" w:bidi="ar-SA"/>
        </w:rPr>
      </w:pPr>
      <w:r>
        <w:rPr>
          <w:rFonts w:hint="default" w:ascii="Times New Roman Bold" w:hAnsi="Times New Roman Bold" w:eastAsia="黑体" w:cs="黑体"/>
          <w:b w:val="0"/>
          <w:bCs w:val="0"/>
          <w:kern w:val="2"/>
          <w:sz w:val="24"/>
          <w:szCs w:val="24"/>
          <w:lang w:val="en-US" w:eastAsia="zh-CN" w:bidi="ar-SA"/>
        </w:rPr>
        <w:t>绩效目标表（3.90亿元）</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994"/>
        <w:gridCol w:w="1856"/>
        <w:gridCol w:w="813"/>
        <w:gridCol w:w="4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一级指标</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二级指标</w:t>
            </w:r>
          </w:p>
        </w:tc>
        <w:tc>
          <w:tcPr>
            <w:tcW w:w="4019" w:type="pct"/>
            <w:gridSpan w:val="3"/>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firstLine="361" w:firstLineChars="200"/>
              <w:jc w:val="center"/>
              <w:textAlignment w:val="center"/>
              <w:rPr>
                <w:rFonts w:hint="default" w:ascii="黑体" w:hAnsi="黑体" w:eastAsia="黑体" w:cs="黑体"/>
                <w:b/>
                <w:bCs/>
                <w:i w:val="0"/>
                <w:iCs w:val="0"/>
                <w:color w:val="000000"/>
                <w:kern w:val="0"/>
                <w:sz w:val="18"/>
                <w:szCs w:val="18"/>
                <w:u w:val="none"/>
                <w:lang w:val="en-US" w:eastAsia="zh-CN" w:bidi="ar"/>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firstLine="361" w:firstLineChars="200"/>
              <w:jc w:val="center"/>
              <w:textAlignment w:val="center"/>
              <w:rPr>
                <w:rFonts w:hint="default" w:ascii="黑体" w:hAnsi="黑体" w:eastAsia="黑体" w:cs="黑体"/>
                <w:b/>
                <w:bCs/>
                <w:i w:val="0"/>
                <w:iCs w:val="0"/>
                <w:color w:val="000000"/>
                <w:kern w:val="0"/>
                <w:sz w:val="18"/>
                <w:szCs w:val="18"/>
                <w:u w:val="none"/>
                <w:lang w:val="en-US" w:eastAsia="zh-CN" w:bidi="ar"/>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内容</w:t>
            </w:r>
          </w:p>
        </w:tc>
        <w:tc>
          <w:tcPr>
            <w:tcW w:w="477"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单位</w:t>
            </w:r>
          </w:p>
        </w:tc>
        <w:tc>
          <w:tcPr>
            <w:tcW w:w="2453"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产出指标</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数量指标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项目拆迁</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户</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完成267户居民及村民搬迁补偿，7处非宅搬迁。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安置房建设</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平方米</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完成安置房5、6号地块建设7.83万平方米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质量指标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安置房建设</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完成7.83万平方米安置房建设，安置1200户村民入住。改善地区环境，提升空间品质，为居民提供更便捷、舒适、生态的居住环境。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时效指标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任务完成进度</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完成安置房5、6号地块建设7.83万平方米，达到竣工并交付使用，完成100%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债券资金的支出进度</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10月底前完成全部债券资金支出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成本指标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拆迁补偿</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完成集体和国有土地搬迁补偿及相关资金支出3.9亿元。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效益指标</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经济效益指标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经济发展指标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优化产业布局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项目收入实现指标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完成首批经营性地块入市，预计收入40亿元。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社会效益指标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社会发展指标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有效促进金融管理、信息服务、商务服务等生产性服务业专业化、高端化发展，改造提升传统服务业，进一步提升生活性服务业发展品质。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生态效益指标</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生态效益指标</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疏解非首都功能，降低人口密度，促进城市空间集约高效利用。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firstLine="360" w:firstLineChars="200"/>
              <w:jc w:val="center"/>
              <w:rPr>
                <w:rFonts w:hint="default" w:ascii="Times New Roman" w:hAnsi="Times New Roman" w:eastAsia="宋体" w:cs="Times New Roman"/>
                <w:sz w:val="18"/>
                <w:szCs w:val="18"/>
                <w:vertAlign w:val="baseline"/>
                <w:lang w:val="en-US" w:eastAsia="zh-CN"/>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可持续影响</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长期性政策影响和社会影响</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仿宋_GB2312" w:hAnsi="仿宋_GB2312" w:eastAsia="仿宋_GB2312"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使社会资源优化配置，有利于改善环境和建设和谐社会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满意度指标</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服务对象满意度</w:t>
            </w:r>
          </w:p>
        </w:tc>
        <w:tc>
          <w:tcPr>
            <w:tcW w:w="10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具体服务对象的满意度</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2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服务对象满意度≥96%</w:t>
            </w:r>
          </w:p>
        </w:tc>
      </w:tr>
    </w:tbl>
    <w:p>
      <w:pPr>
        <w:pStyle w:val="7"/>
        <w:keepNext w:val="0"/>
        <w:keepLines w:val="0"/>
        <w:pageBreakBefore w:val="0"/>
        <w:widowControl w:val="0"/>
        <w:kinsoku/>
        <w:wordWrap/>
        <w:overflowPunct w:val="0"/>
        <w:topLinePunct w:val="0"/>
        <w:autoSpaceDE/>
        <w:autoSpaceDN/>
        <w:bidi w:val="0"/>
        <w:adjustRightInd w:val="0"/>
        <w:snapToGrid w:val="0"/>
        <w:spacing w:after="157" w:afterLines="50" w:line="560" w:lineRule="atLeast"/>
        <w:ind w:left="0" w:leftChars="0" w:firstLine="0" w:firstLineChars="0"/>
        <w:jc w:val="center"/>
        <w:textAlignment w:val="auto"/>
        <w:rPr>
          <w:rFonts w:hint="default" w:ascii="Times New Roman Bold" w:hAnsi="Times New Roman Bold" w:eastAsia="黑体" w:cs="黑体"/>
          <w:b w:val="0"/>
          <w:bCs w:val="0"/>
          <w:kern w:val="2"/>
          <w:sz w:val="24"/>
          <w:szCs w:val="24"/>
          <w:lang w:val="en-US" w:eastAsia="zh-CN" w:bidi="ar-SA"/>
        </w:rPr>
      </w:pPr>
      <w:r>
        <w:rPr>
          <w:rFonts w:hint="default" w:ascii="Times New Roman Bold" w:hAnsi="Times New Roman Bold" w:eastAsia="黑体" w:cs="黑体"/>
          <w:b w:val="0"/>
          <w:bCs w:val="0"/>
          <w:kern w:val="2"/>
          <w:sz w:val="24"/>
          <w:szCs w:val="24"/>
          <w:lang w:val="en-US" w:eastAsia="zh-CN" w:bidi="ar-SA"/>
        </w:rPr>
        <w:t>表</w:t>
      </w:r>
      <w:r>
        <w:rPr>
          <w:rFonts w:hint="eastAsia" w:ascii="Times New Roman Bold" w:hAnsi="Times New Roman Bold" w:eastAsia="黑体" w:cs="黑体"/>
          <w:b w:val="0"/>
          <w:bCs w:val="0"/>
          <w:kern w:val="2"/>
          <w:sz w:val="24"/>
          <w:szCs w:val="24"/>
          <w:lang w:val="en-US" w:eastAsia="zh-CN" w:bidi="ar-SA"/>
        </w:rPr>
        <w:t>3</w:t>
      </w:r>
      <w:r>
        <w:rPr>
          <w:rFonts w:hint="default" w:ascii="Times New Roman Bold" w:hAnsi="Times New Roman Bold" w:eastAsia="黑体" w:cs="黑体"/>
          <w:b w:val="0"/>
          <w:bCs w:val="0"/>
          <w:kern w:val="2"/>
          <w:sz w:val="24"/>
          <w:szCs w:val="24"/>
          <w:lang w:val="en-US" w:eastAsia="zh-CN" w:bidi="ar-SA"/>
        </w:rPr>
        <w:t xml:space="preserve"> 中铁建2024年东铁营棚户区改造和环境整治项目</w:t>
      </w:r>
    </w:p>
    <w:p>
      <w:pPr>
        <w:pStyle w:val="7"/>
        <w:keepNext w:val="0"/>
        <w:keepLines w:val="0"/>
        <w:pageBreakBefore w:val="0"/>
        <w:widowControl w:val="0"/>
        <w:kinsoku/>
        <w:wordWrap/>
        <w:overflowPunct w:val="0"/>
        <w:topLinePunct w:val="0"/>
        <w:autoSpaceDE/>
        <w:autoSpaceDN/>
        <w:bidi w:val="0"/>
        <w:adjustRightInd w:val="0"/>
        <w:snapToGrid w:val="0"/>
        <w:spacing w:after="157" w:afterLines="50" w:line="240" w:lineRule="auto"/>
        <w:ind w:left="0" w:leftChars="0" w:firstLine="0" w:firstLineChars="0"/>
        <w:jc w:val="center"/>
        <w:textAlignment w:val="auto"/>
        <w:rPr>
          <w:rFonts w:hint="default" w:ascii="Times New Roman Bold" w:hAnsi="Times New Roman Bold" w:eastAsia="黑体" w:cs="黑体"/>
          <w:b w:val="0"/>
          <w:bCs w:val="0"/>
          <w:kern w:val="2"/>
          <w:sz w:val="24"/>
          <w:szCs w:val="24"/>
          <w:lang w:val="en-US" w:eastAsia="zh-CN" w:bidi="ar-SA"/>
        </w:rPr>
      </w:pPr>
      <w:r>
        <w:rPr>
          <w:rFonts w:hint="default" w:ascii="Times New Roman Bold" w:hAnsi="Times New Roman Bold" w:eastAsia="黑体" w:cs="黑体"/>
          <w:b w:val="0"/>
          <w:bCs w:val="0"/>
          <w:kern w:val="2"/>
          <w:sz w:val="24"/>
          <w:szCs w:val="24"/>
          <w:lang w:val="en-US" w:eastAsia="zh-CN" w:bidi="ar-SA"/>
        </w:rPr>
        <w:t>绩效目标表（1.10亿元）</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1009"/>
        <w:gridCol w:w="2019"/>
        <w:gridCol w:w="630"/>
        <w:gridCol w:w="4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一级指标</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二级指标</w:t>
            </w:r>
          </w:p>
        </w:tc>
        <w:tc>
          <w:tcPr>
            <w:tcW w:w="6826" w:type="dxa"/>
            <w:gridSpan w:val="3"/>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firstLine="361" w:firstLineChars="200"/>
              <w:jc w:val="center"/>
              <w:textAlignment w:val="center"/>
              <w:rPr>
                <w:rFonts w:hint="default" w:ascii="黑体" w:hAnsi="黑体" w:eastAsia="黑体" w:cs="黑体"/>
                <w:b/>
                <w:bCs/>
                <w:i w:val="0"/>
                <w:iCs w:val="0"/>
                <w:color w:val="000000"/>
                <w:kern w:val="0"/>
                <w:sz w:val="18"/>
                <w:szCs w:val="18"/>
                <w:u w:val="none"/>
                <w:lang w:val="en-US" w:eastAsia="zh-CN" w:bidi="ar"/>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firstLine="361" w:firstLineChars="200"/>
              <w:jc w:val="center"/>
              <w:textAlignment w:val="center"/>
              <w:rPr>
                <w:rFonts w:hint="default" w:ascii="黑体" w:hAnsi="黑体" w:eastAsia="黑体" w:cs="黑体"/>
                <w:b/>
                <w:bCs/>
                <w:i w:val="0"/>
                <w:iCs w:val="0"/>
                <w:color w:val="000000"/>
                <w:kern w:val="0"/>
                <w:sz w:val="18"/>
                <w:szCs w:val="18"/>
                <w:u w:val="none"/>
                <w:lang w:val="en-US" w:eastAsia="zh-CN" w:bidi="ar"/>
              </w:rPr>
            </w:pPr>
          </w:p>
        </w:tc>
        <w:tc>
          <w:tcPr>
            <w:tcW w:w="2019"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内容</w:t>
            </w:r>
          </w:p>
        </w:tc>
        <w:tc>
          <w:tcPr>
            <w:tcW w:w="630"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单位</w:t>
            </w:r>
          </w:p>
        </w:tc>
        <w:tc>
          <w:tcPr>
            <w:tcW w:w="4177" w:type="dxa"/>
            <w:tcBorders>
              <w:top w:val="single" w:color="000000" w:sz="4" w:space="0"/>
              <w:left w:val="single" w:color="000000" w:sz="4" w:space="0"/>
              <w:bottom w:val="single" w:color="000000" w:sz="4" w:space="0"/>
              <w:right w:val="single" w:color="000000" w:sz="4" w:space="0"/>
            </w:tcBorders>
            <w:shd w:val="clear" w:color="auto" w:fill="D0CECE"/>
            <w:noWrap w:val="0"/>
            <w:vAlign w:val="center"/>
          </w:tcPr>
          <w:p>
            <w:pPr>
              <w:keepNext w:val="0"/>
              <w:keepLines w:val="0"/>
              <w:pageBreakBefore w:val="0"/>
              <w:widowControl/>
              <w:suppressLineNumbers w:val="0"/>
              <w:kinsoku/>
              <w:wordWrap/>
              <w:overflowPunct w:val="0"/>
              <w:topLinePunct w:val="0"/>
              <w:autoSpaceDE/>
              <w:autoSpaceDN/>
              <w:bidi w:val="0"/>
              <w:adjustRightInd w:val="0"/>
              <w:snapToGrid w:val="0"/>
              <w:spacing w:line="240" w:lineRule="auto"/>
              <w:ind w:left="0" w:leftChars="0" w:firstLine="0" w:firstLineChars="0"/>
              <w:jc w:val="center"/>
              <w:textAlignment w:val="center"/>
              <w:rPr>
                <w:rFonts w:hint="default" w:ascii="黑体" w:hAnsi="黑体" w:eastAsia="黑体" w:cs="黑体"/>
                <w:b/>
                <w:bCs/>
                <w:i w:val="0"/>
                <w:iCs w:val="0"/>
                <w:color w:val="000000"/>
                <w:kern w:val="0"/>
                <w:sz w:val="18"/>
                <w:szCs w:val="18"/>
                <w:u w:val="none"/>
                <w:lang w:val="en-US" w:eastAsia="zh-CN" w:bidi="ar"/>
              </w:rPr>
            </w:pPr>
            <w:r>
              <w:rPr>
                <w:rFonts w:hint="default" w:ascii="黑体" w:hAnsi="黑体" w:eastAsia="黑体" w:cs="黑体"/>
                <w:b/>
                <w:bCs/>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产出指标</w:t>
            </w:r>
          </w:p>
        </w:tc>
        <w:tc>
          <w:tcPr>
            <w:tcW w:w="100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数量指标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项目拆迁</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户</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完成16户居民及村民搬迁补偿</w:t>
            </w:r>
            <w:r>
              <w:rPr>
                <w:rFonts w:hint="eastAsia" w:ascii="Times New Roman" w:hAnsi="Times New Roman" w:eastAsia="宋体" w:cs="Times New Roman"/>
                <w:sz w:val="18"/>
                <w:szCs w:val="18"/>
                <w:vertAlign w:val="baseline"/>
                <w:lang w:val="en-US" w:eastAsia="zh-CN"/>
              </w:rPr>
              <w:t>，</w:t>
            </w:r>
            <w:r>
              <w:rPr>
                <w:rFonts w:hint="default" w:ascii="Times New Roman" w:hAnsi="Times New Roman" w:eastAsia="宋体" w:cs="Times New Roman"/>
                <w:sz w:val="18"/>
                <w:szCs w:val="18"/>
                <w:vertAlign w:val="baseline"/>
                <w:lang w:val="en-US" w:eastAsia="zh-CN"/>
              </w:rPr>
              <w:t>1处非宅搬迁。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质量指标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安置房建设</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安置200户村民入住。改善地区环境，提升空间品质，为居民提供更便捷、舒适、生态的居住环境。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时效指标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债券资金的支出进度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10月底前完成全部债券资金支出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成本指标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拆迁补偿</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完成集体和国有土地搬迁补偿及相关资金支出1.1亿元。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效益指标</w:t>
            </w:r>
          </w:p>
        </w:tc>
        <w:tc>
          <w:tcPr>
            <w:tcW w:w="100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经济效益指标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经济发展指标</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优化产业布局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社会效益指标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人们的生活水平、生活质量的普遍改善和提高</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有效促进金融管理、信息服务、商务服务等生产性服务业专业化、高端化发展，改造提升传统服务业，进一步提升生活性服务业发展品质。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生态效益指标</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生态保护和资源利用</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疏解非首都功能，降低人口密度，促进城市空间集约高效利用。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可持续影响</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优化资源配置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使社会资源优化配置，有利于改善环境和建设和谐社会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满意度指标</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服务对象满意度</w:t>
            </w:r>
          </w:p>
        </w:tc>
        <w:tc>
          <w:tcPr>
            <w:tcW w:w="2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拆迁安置居民的满意度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val="0"/>
              <w:autoSpaceDE/>
              <w:autoSpaceDN/>
              <w:bidi w:val="0"/>
              <w:adjustRightInd w:val="0"/>
              <w:spacing w:line="240" w:lineRule="auto"/>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服务对象满意度≥96%</w:t>
            </w:r>
          </w:p>
        </w:tc>
      </w:tr>
    </w:tbl>
    <w:p>
      <w:pPr>
        <w:spacing w:beforeLines="0" w:afterLines="0" w:line="560" w:lineRule="exact"/>
        <w:ind w:firstLine="640" w:firstLineChars="200"/>
        <w:jc w:val="left"/>
        <w:rPr>
          <w:rFonts w:hint="eastAsia" w:ascii="FangSong_GB2312" w:hAnsi="FangSong_GB2312" w:eastAsia="FangSong_GB2312" w:cs="Times New Roman"/>
          <w:sz w:val="32"/>
        </w:rPr>
      </w:pP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（三）项目资金情况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default" w:ascii="FangSong_GB2312" w:hAnsi="FangSong_GB2312" w:eastAsia="FangSong_GB2312" w:cs="Times New Roman"/>
          <w:sz w:val="32"/>
          <w:lang w:val="en-US" w:eastAsia="zh-CN"/>
        </w:rPr>
        <w:t>2024年3月，中铁建编制了东铁营棚户区改造和环境整治项目专项债券项目实施方案、法律意见书和收益与融资自求平衡财务评估咨询报告，</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一案两书</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内容较为完整规范；</w:t>
      </w:r>
      <w:r>
        <w:rPr>
          <w:rFonts w:hint="eastAsia" w:ascii="FangSong_GB2312" w:hAnsi="FangSong_GB2312" w:eastAsia="FangSong_GB2312" w:cs="Times New Roman"/>
          <w:sz w:val="32"/>
          <w:lang w:val="en-US" w:eastAsia="zh-CN"/>
        </w:rPr>
        <w:t>项目</w:t>
      </w:r>
      <w:r>
        <w:rPr>
          <w:rFonts w:hint="default" w:ascii="FangSong_GB2312" w:hAnsi="FangSong_GB2312" w:eastAsia="FangSong_GB2312" w:cs="Times New Roman"/>
          <w:sz w:val="32"/>
          <w:lang w:val="en-US" w:eastAsia="zh-CN"/>
        </w:rPr>
        <w:t>实施范围69.93公顷，包括区域内棚改地块范围56.36公顷，规划总建筑面积91.54万平方米，涉及征收建筑面积约66.88万平方米，涉及居民约5852户、单位59家，总投资估算为2,122,397.45万元，包括前期费用6,505.20万元，征地补偿费36,218.74万元，房屋征收（腾退）补偿费1,796,989.36万元，市政基础设施建设费40,025.33万元，</w:t>
      </w:r>
      <w:r>
        <w:rPr>
          <w:rFonts w:hint="eastAsia" w:ascii="FangSong_GB2312" w:hAnsi="FangSong_GB2312" w:eastAsia="FangSong_GB2312" w:cs="Times New Roman"/>
          <w:sz w:val="32"/>
          <w:lang w:val="en-US" w:eastAsia="zh-CN"/>
        </w:rPr>
        <w:t>其他费用</w:t>
      </w:r>
      <w:r>
        <w:rPr>
          <w:rFonts w:hint="default" w:ascii="FangSong_GB2312" w:hAnsi="FangSong_GB2312" w:eastAsia="FangSong_GB2312" w:cs="Times New Roman"/>
          <w:sz w:val="32"/>
          <w:lang w:val="en-US" w:eastAsia="zh-CN"/>
        </w:rPr>
        <w:t>7,525.06万元，财务费用235,133.76万元，资金规模与实际需求基本匹配。2024年</w:t>
      </w:r>
      <w:r>
        <w:rPr>
          <w:rFonts w:hint="eastAsia" w:ascii="FangSong_GB2312" w:hAnsi="FangSong_GB2312" w:eastAsia="FangSong_GB2312" w:cs="Times New Roman"/>
          <w:sz w:val="32"/>
          <w:lang w:val="en-US" w:eastAsia="zh-CN"/>
        </w:rPr>
        <w:t>，本项目</w:t>
      </w:r>
      <w:r>
        <w:rPr>
          <w:rFonts w:hint="default" w:ascii="FangSong_GB2312" w:hAnsi="FangSong_GB2312" w:eastAsia="FangSong_GB2312" w:cs="Times New Roman"/>
          <w:sz w:val="32"/>
          <w:lang w:val="en-US" w:eastAsia="zh-CN"/>
        </w:rPr>
        <w:t>发行专项债资金50,000万元。</w:t>
      </w:r>
    </w:p>
    <w:p>
      <w:pPr>
        <w:spacing w:beforeLines="0" w:afterLines="0" w:line="560" w:lineRule="exact"/>
        <w:ind w:firstLine="640" w:firstLineChars="200"/>
        <w:jc w:val="left"/>
        <w:rPr>
          <w:rFonts w:hint="eastAsia" w:ascii="黑体" w:hAnsi="黑体" w:eastAsia="黑体" w:cs="Times New Roman"/>
          <w:sz w:val="32"/>
        </w:rPr>
      </w:pPr>
      <w:r>
        <w:rPr>
          <w:rFonts w:hint="eastAsia" w:ascii="黑体" w:hAnsi="黑体" w:eastAsia="黑体" w:cs="Times New Roman"/>
          <w:sz w:val="32"/>
        </w:rPr>
        <w:t>二、绩效评价情况</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（一）绩效评价方法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次绩效评价遵循“客观、公正、科学、规范”的原则，结合项目的特点，采用案卷研究法、因素分析法和专家评议法等方法，定性与定量相结合，从决策管理、过程管理、项目产出、项目效益4个方面对本项目开展绩效评价。绩效评价指标体系详见附件。</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（二）绩效评价结果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lang w:val="en-US" w:eastAsia="zh-CN"/>
        </w:rPr>
        <w:t>经专家评议，该项目综合评价得分82分，绩效级别评定为“良”。其中：</w:t>
      </w:r>
      <w:r>
        <w:rPr>
          <w:rFonts w:hint="default" w:ascii="FangSong_GB2312" w:hAnsi="FangSong_GB2312" w:eastAsia="FangSong_GB2312" w:cs="Times New Roman"/>
          <w:sz w:val="32"/>
          <w:lang w:val="en-US" w:eastAsia="zh-CN"/>
        </w:rPr>
        <w:t>项目决策得分</w:t>
      </w:r>
      <w:r>
        <w:rPr>
          <w:rFonts w:hint="eastAsia" w:ascii="FangSong_GB2312" w:hAnsi="FangSong_GB2312" w:eastAsia="FangSong_GB2312" w:cs="Times New Roman"/>
          <w:sz w:val="32"/>
          <w:lang w:val="en-US" w:eastAsia="zh-CN"/>
        </w:rPr>
        <w:t>10</w:t>
      </w:r>
      <w:r>
        <w:rPr>
          <w:rFonts w:hint="default" w:ascii="FangSong_GB2312" w:hAnsi="FangSong_GB2312" w:eastAsia="FangSong_GB2312" w:cs="Times New Roman"/>
          <w:sz w:val="32"/>
          <w:lang w:val="en-US" w:eastAsia="zh-CN"/>
        </w:rPr>
        <w:t>分</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项目过程得分</w:t>
      </w:r>
      <w:r>
        <w:rPr>
          <w:rFonts w:hint="eastAsia" w:ascii="FangSong_GB2312" w:hAnsi="FangSong_GB2312" w:eastAsia="FangSong_GB2312" w:cs="Times New Roman"/>
          <w:sz w:val="32"/>
          <w:lang w:val="en-US" w:eastAsia="zh-CN"/>
        </w:rPr>
        <w:t>18.90</w:t>
      </w:r>
      <w:r>
        <w:rPr>
          <w:rFonts w:hint="default" w:ascii="FangSong_GB2312" w:hAnsi="FangSong_GB2312" w:eastAsia="FangSong_GB2312" w:cs="Times New Roman"/>
          <w:sz w:val="32"/>
          <w:lang w:val="en-US" w:eastAsia="zh-CN"/>
        </w:rPr>
        <w:t>分</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项目产出得分</w:t>
      </w:r>
      <w:r>
        <w:rPr>
          <w:rFonts w:hint="eastAsia" w:ascii="FangSong_GB2312" w:hAnsi="FangSong_GB2312" w:eastAsia="FangSong_GB2312" w:cs="Times New Roman"/>
          <w:sz w:val="32"/>
          <w:lang w:val="en-US" w:eastAsia="zh-CN"/>
        </w:rPr>
        <w:t>26.60</w:t>
      </w:r>
      <w:r>
        <w:rPr>
          <w:rFonts w:hint="default" w:ascii="FangSong_GB2312" w:hAnsi="FangSong_GB2312" w:eastAsia="FangSong_GB2312" w:cs="Times New Roman"/>
          <w:sz w:val="32"/>
          <w:lang w:val="en-US" w:eastAsia="zh-CN"/>
        </w:rPr>
        <w:t>分</w:t>
      </w:r>
      <w:r>
        <w:rPr>
          <w:rFonts w:hint="eastAsia" w:ascii="FangSong_GB2312" w:hAnsi="FangSong_GB2312" w:eastAsia="FangSong_GB2312" w:cs="Times New Roman"/>
          <w:sz w:val="32"/>
          <w:lang w:val="en-US" w:eastAsia="zh-CN"/>
        </w:rPr>
        <w:t>、</w:t>
      </w:r>
      <w:r>
        <w:rPr>
          <w:rFonts w:hint="default" w:ascii="FangSong_GB2312" w:hAnsi="FangSong_GB2312" w:eastAsia="FangSong_GB2312" w:cs="Times New Roman"/>
          <w:sz w:val="32"/>
          <w:lang w:val="en-US" w:eastAsia="zh-CN"/>
        </w:rPr>
        <w:t>项目效益得分</w:t>
      </w:r>
      <w:r>
        <w:rPr>
          <w:rFonts w:hint="eastAsia" w:ascii="FangSong_GB2312" w:hAnsi="FangSong_GB2312" w:eastAsia="FangSong_GB2312" w:cs="Times New Roman"/>
          <w:sz w:val="32"/>
          <w:lang w:val="en-US" w:eastAsia="zh-CN"/>
        </w:rPr>
        <w:t>26.50</w:t>
      </w:r>
      <w:r>
        <w:rPr>
          <w:rFonts w:hint="default" w:ascii="FangSong_GB2312" w:hAnsi="FangSong_GB2312" w:eastAsia="FangSong_GB2312" w:cs="Times New Roman"/>
          <w:sz w:val="32"/>
          <w:lang w:val="en-US" w:eastAsia="zh-CN"/>
        </w:rPr>
        <w:t>分</w:t>
      </w:r>
      <w:r>
        <w:rPr>
          <w:rFonts w:hint="eastAsia" w:ascii="FangSong_GB2312" w:hAnsi="FangSong_GB2312" w:eastAsia="FangSong_GB2312" w:cs="Times New Roman"/>
          <w:sz w:val="32"/>
          <w:lang w:val="en-US" w:eastAsia="zh-CN"/>
        </w:rPr>
        <w:t>。</w:t>
      </w:r>
    </w:p>
    <w:p>
      <w:pPr>
        <w:spacing w:beforeLines="0" w:afterLines="0" w:line="560" w:lineRule="exact"/>
        <w:ind w:firstLine="640" w:firstLineChars="200"/>
        <w:jc w:val="left"/>
        <w:rPr>
          <w:rFonts w:hint="eastAsia" w:ascii="黑体" w:hAnsi="黑体" w:eastAsia="黑体" w:cs="Times New Roman"/>
          <w:sz w:val="32"/>
        </w:rPr>
      </w:pPr>
      <w:r>
        <w:rPr>
          <w:rFonts w:hint="eastAsia" w:ascii="黑体" w:hAnsi="黑体" w:eastAsia="黑体" w:cs="Times New Roman"/>
          <w:sz w:val="32"/>
        </w:rPr>
        <w:t>三、项目产出及绩效</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（一）项目产出情况</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rPr>
        <w:t>1</w:t>
      </w:r>
      <w:r>
        <w:rPr>
          <w:rFonts w:hint="default" w:ascii="FangSong_GB2312" w:hAnsi="FangSong_GB2312" w:eastAsia="FangSong_GB2312" w:cs="Times New Roman"/>
          <w:sz w:val="32"/>
        </w:rPr>
        <w:t>.</w:t>
      </w:r>
      <w:r>
        <w:rPr>
          <w:rFonts w:hint="eastAsia" w:ascii="FangSong_GB2312" w:hAnsi="FangSong_GB2312" w:eastAsia="FangSong_GB2312" w:cs="Times New Roman"/>
          <w:sz w:val="32"/>
          <w:lang w:val="en-US" w:eastAsia="zh-CN"/>
        </w:rPr>
        <w:t>产出数量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2024年，本项目计划完成81户居民及村民搬迁、5处非宅搬迁、安置900户村民入住，实际完成居民及村民搬迁81户、非宅搬迁5处，实际安置村民899户，1户未完成安置是由于本年度仅购买899套安置房，剩余1户将于以后年度按顺序安置。评价认为，项目产出数量基本达到年初目标。</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2</w:t>
      </w:r>
      <w:r>
        <w:rPr>
          <w:rFonts w:hint="default" w:ascii="FangSong_GB2312" w:hAnsi="FangSong_GB2312" w:eastAsia="FangSong_GB2312" w:cs="Times New Roman"/>
          <w:sz w:val="32"/>
        </w:rPr>
        <w:t>.</w:t>
      </w:r>
      <w:r>
        <w:rPr>
          <w:rFonts w:hint="eastAsia" w:ascii="FangSong_GB2312" w:hAnsi="FangSong_GB2312" w:eastAsia="FangSong_GB2312" w:cs="Times New Roman"/>
          <w:sz w:val="32"/>
          <w:lang w:val="en-US" w:eastAsia="zh-CN"/>
        </w:rPr>
        <w:t>产出质量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本项目2024年度内共计拆除10、13、15三个地块，其中，13号地块为安置房地块，已完成拆除工作并入住安置房，拆除工作已全部通过验收。评价认为，项目产出质量达到了年初目标。</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3.产出时效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2024年度地方政府专项债券资金于5月30日拨付3.9亿元，于11月11日拨付1.1亿元，本年度预算资金5亿元已全额落实到位，且于12月25日全部支出。实施单位已完成项目前期准备、拆迁拆除、回迁安置等工作，但因实施方案中未针对本年度任务建设工期及进度进行明确规划，且实施单位及主管部门未在项目实施过程中形成定期进度跟踪等监管材料，故无法将项目建设实际进度与计划进度进行比较。</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4.产出成本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w:t>
      </w:r>
      <w:r>
        <w:rPr>
          <w:rFonts w:hint="default" w:ascii="FangSong_GB2312" w:hAnsi="FangSong_GB2312" w:eastAsia="FangSong_GB2312" w:cs="Times New Roman"/>
          <w:sz w:val="32"/>
          <w:lang w:val="en-US" w:eastAsia="zh-CN"/>
        </w:rPr>
        <w:t>成本支出控制在</w:t>
      </w:r>
      <w:r>
        <w:rPr>
          <w:rFonts w:hint="eastAsia" w:ascii="FangSong_GB2312" w:hAnsi="FangSong_GB2312" w:eastAsia="FangSong_GB2312" w:cs="Times New Roman"/>
          <w:sz w:val="32"/>
          <w:lang w:val="en-US" w:eastAsia="zh-CN"/>
        </w:rPr>
        <w:t>年度预算资金</w:t>
      </w:r>
      <w:r>
        <w:rPr>
          <w:rFonts w:hint="default" w:ascii="FangSong_GB2312" w:hAnsi="FangSong_GB2312" w:eastAsia="FangSong_GB2312" w:cs="Times New Roman"/>
          <w:sz w:val="32"/>
          <w:lang w:val="en-US" w:eastAsia="zh-CN"/>
        </w:rPr>
        <w:t>范围内，项目未出现超支情况</w:t>
      </w:r>
      <w:r>
        <w:rPr>
          <w:rFonts w:hint="eastAsia" w:ascii="FangSong_GB2312" w:hAnsi="FangSong_GB2312" w:eastAsia="FangSong_GB2312" w:cs="Times New Roman"/>
          <w:sz w:val="32"/>
          <w:lang w:val="en-US" w:eastAsia="zh-CN"/>
        </w:rPr>
        <w:t>。本项目资金主要用于支付补偿款、服务费、临时安置费、整体搬迁奖，村民委员会制定了《东铁营棚户区改造和环境整治项目东铁营村宅基地腾退补偿安置方案》，但整体搬迁奖等支出标准依据不足、前期准备费用降本增效力度不够、相关费用测算时效性不足，评价认为，成本控制措施及监管措施有待完善</w:t>
      </w:r>
      <w:r>
        <w:rPr>
          <w:rFonts w:hint="default" w:ascii="FangSong_GB2312" w:hAnsi="FangSong_GB2312" w:eastAsia="FangSong_GB2312" w:cs="Times New Roman"/>
          <w:sz w:val="32"/>
          <w:lang w:val="en-US" w:eastAsia="zh-CN"/>
        </w:rPr>
        <w:t>。</w:t>
      </w:r>
    </w:p>
    <w:p>
      <w:pPr>
        <w:spacing w:beforeLines="0" w:afterLines="0" w:line="560" w:lineRule="exact"/>
        <w:ind w:firstLine="640" w:firstLineChars="200"/>
        <w:jc w:val="left"/>
        <w:rPr>
          <w:rFonts w:hint="eastAsia" w:ascii="KaiTi_GB2312" w:hAnsi="KaiTi_GB2312" w:eastAsia="KaiTi_GB2312" w:cs="Times New Roman"/>
          <w:sz w:val="32"/>
        </w:rPr>
      </w:pPr>
      <w:r>
        <w:rPr>
          <w:rFonts w:hint="eastAsia" w:ascii="KaiTi_GB2312" w:hAnsi="KaiTi_GB2312" w:eastAsia="KaiTi_GB2312" w:cs="Times New Roman"/>
          <w:sz w:val="32"/>
        </w:rPr>
        <w:t>（二）项目效益情况</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rPr>
        <w:t>1.</w:t>
      </w:r>
      <w:r>
        <w:rPr>
          <w:rFonts w:hint="eastAsia" w:ascii="FangSong_GB2312" w:hAnsi="FangSong_GB2312" w:eastAsia="FangSong_GB2312" w:cs="Times New Roman"/>
          <w:sz w:val="32"/>
          <w:lang w:val="en-US" w:eastAsia="zh-CN"/>
        </w:rPr>
        <w:t>项目综合效益</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（1）经济效益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实施后，直接收益为土地入市出让收入。本年度完成对15、16两地块的拆迁拆除及地上物整理工作，并成功出让，土地成交价40.13亿元，后续将按程序上缴国库用于偿债，实现了盘活土地的计划效益。同时，项目实施可带动社区内及周边产业发展，形成间接效益，一是投资驱动方面，促进了安置房建设及建材、装修、家电等上下游产业链活力；二是消费驱动方面，改造后的街区形成了新的面貌，提升了居民住房平均价格，对区域消费具有促进作用。</w:t>
      </w:r>
    </w:p>
    <w:p>
      <w:pPr>
        <w:spacing w:beforeLines="0" w:afterLines="0" w:line="560" w:lineRule="exact"/>
        <w:ind w:firstLine="640" w:firstLineChars="200"/>
        <w:jc w:val="left"/>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（2）社会效益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通过棚户区改造和配套市政基础设施建设，可明显改善周边的居住环境和居民的生活质量。项目的实施有效解决了原有棚户区基础设施落后等问题，改进了城区落后边貌，通过完善市政公共服务设施和路网系统，消除安全隐患，全面提升城市功用，加快了旧城改造的步伐。同时，项目通过规划调整，优化配置土地资源，有效增加了城市住宅供给，促进了土地合理利用，满足了区域自身发展的需要，充分体现了棚户区改造的社会效益。</w:t>
      </w:r>
    </w:p>
    <w:p>
      <w:pPr>
        <w:spacing w:beforeLines="0" w:afterLines="0" w:line="560" w:lineRule="exact"/>
        <w:ind w:firstLine="640" w:firstLineChars="200"/>
        <w:jc w:val="left"/>
        <w:rPr>
          <w:rFonts w:hint="default"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（3）生态效益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本项目的实施有效解决了</w:t>
      </w:r>
      <w:r>
        <w:rPr>
          <w:rFonts w:hint="eastAsia" w:ascii="FangSong_GB2312" w:hAnsi="FangSong_GB2312" w:eastAsia="FangSong_GB2312" w:cs="Times New Roman"/>
          <w:sz w:val="32"/>
        </w:rPr>
        <w:t>居民生产生活环境恶劣</w:t>
      </w:r>
      <w:r>
        <w:rPr>
          <w:rFonts w:hint="eastAsia" w:ascii="FangSong_GB2312" w:hAnsi="FangSong_GB2312" w:eastAsia="FangSong_GB2312" w:cs="Times New Roman"/>
          <w:sz w:val="32"/>
          <w:lang w:val="en-US" w:eastAsia="zh-CN"/>
        </w:rPr>
        <w:t>的问题，改善了区域整体面貌，同时通过科学规划土地用途和绿色施工技术，显著提升了土地利用效率，降低了资源消耗。评价认为，本项目的实施为构建和谐宜居的居住环境奠定了坚实基础，具有良好的生态效益。</w:t>
      </w:r>
    </w:p>
    <w:p>
      <w:pPr>
        <w:spacing w:beforeLines="0" w:afterLines="0" w:line="560" w:lineRule="exact"/>
        <w:ind w:firstLine="640" w:firstLineChars="200"/>
        <w:jc w:val="left"/>
        <w:rPr>
          <w:rFonts w:hint="eastAsia" w:ascii="FangSong_GB2312" w:hAnsi="FangSong_GB2312" w:eastAsia="FangSong_GB2312" w:cs="Times New Roman"/>
          <w:sz w:val="32"/>
        </w:rPr>
      </w:pPr>
      <w:r>
        <w:rPr>
          <w:rFonts w:hint="eastAsia" w:ascii="FangSong_GB2312" w:hAnsi="FangSong_GB2312" w:eastAsia="FangSong_GB2312" w:cs="Times New Roman"/>
          <w:sz w:val="32"/>
        </w:rPr>
        <w:t>2.满意度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lang w:val="en-US" w:eastAsia="zh-CN"/>
        </w:rPr>
        <w:t>丰台区住建委和中铁建置业</w:t>
      </w:r>
      <w:r>
        <w:rPr>
          <w:rFonts w:hint="eastAsia" w:ascii="FangSong_GB2312" w:hAnsi="FangSong_GB2312" w:eastAsia="FangSong_GB2312" w:cs="Times New Roman"/>
          <w:sz w:val="32"/>
        </w:rPr>
        <w:t>有限公司未</w:t>
      </w:r>
      <w:r>
        <w:rPr>
          <w:rFonts w:hint="eastAsia" w:ascii="FangSong_GB2312" w:hAnsi="FangSong_GB2312" w:eastAsia="FangSong_GB2312" w:cs="Times New Roman"/>
          <w:sz w:val="32"/>
          <w:lang w:val="en-US" w:eastAsia="zh-CN"/>
        </w:rPr>
        <w:t>对</w:t>
      </w:r>
      <w:r>
        <w:rPr>
          <w:rFonts w:hint="eastAsia" w:ascii="FangSong_GB2312" w:hAnsi="FangSong_GB2312" w:eastAsia="FangSong_GB2312" w:cs="Times New Roman"/>
          <w:sz w:val="32"/>
        </w:rPr>
        <w:t>搬迁居民和改造区域周边居民等服务对象开展满意度调查工作。</w:t>
      </w:r>
    </w:p>
    <w:p>
      <w:pPr>
        <w:spacing w:beforeLines="0" w:afterLines="0" w:line="560" w:lineRule="exact"/>
        <w:ind w:firstLine="640" w:firstLineChars="200"/>
        <w:jc w:val="left"/>
        <w:rPr>
          <w:rFonts w:hint="eastAsia" w:ascii="黑体" w:hAnsi="黑体" w:eastAsia="黑体" w:cs="Times New Roman"/>
          <w:sz w:val="32"/>
        </w:rPr>
      </w:pPr>
      <w:r>
        <w:rPr>
          <w:rFonts w:hint="eastAsia" w:ascii="黑体" w:hAnsi="黑体" w:eastAsia="黑体" w:cs="Times New Roman"/>
          <w:sz w:val="32"/>
        </w:rPr>
        <w:t>四、存在的主要问题</w:t>
      </w:r>
    </w:p>
    <w:p>
      <w:pPr>
        <w:spacing w:beforeLines="0" w:afterLines="0" w:line="560" w:lineRule="exact"/>
        <w:ind w:firstLine="640" w:firstLineChars="200"/>
        <w:jc w:val="left"/>
        <w:rPr>
          <w:rFonts w:hint="default" w:ascii="KaiTi_GB2312" w:hAnsi="KaiTi_GB2312" w:eastAsia="KaiTi_GB2312" w:cs="Times New Roman"/>
          <w:sz w:val="32"/>
          <w:lang w:val="en-US" w:eastAsia="zh-CN"/>
        </w:rPr>
      </w:pPr>
      <w:bookmarkStart w:id="12" w:name="_Toc896861693"/>
      <w:r>
        <w:rPr>
          <w:rFonts w:hint="eastAsia" w:ascii="KaiTi_GB2312" w:hAnsi="KaiTi_GB2312" w:eastAsia="KaiTi_GB2312" w:cs="Times New Roman"/>
          <w:sz w:val="32"/>
          <w:lang w:val="en-US" w:eastAsia="zh-CN"/>
        </w:rPr>
        <w:t>（一）项目精细化管理不足，实施方案尚需完善</w:t>
      </w:r>
      <w:bookmarkEnd w:id="12"/>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default" w:ascii="FangSong_GB2312" w:hAnsi="FangSong_GB2312" w:eastAsia="FangSong_GB2312" w:cs="Times New Roman"/>
          <w:sz w:val="32"/>
          <w:lang w:val="en-US" w:eastAsia="zh-CN"/>
        </w:rPr>
        <w:t>本项目涉及</w:t>
      </w:r>
      <w:r>
        <w:rPr>
          <w:rFonts w:hint="eastAsia" w:ascii="FangSong_GB2312" w:hAnsi="FangSong_GB2312" w:eastAsia="FangSong_GB2312" w:cs="Times New Roman"/>
          <w:sz w:val="32"/>
          <w:lang w:val="en-US" w:eastAsia="zh-CN"/>
        </w:rPr>
        <w:t>区级委办局、</w:t>
      </w:r>
      <w:r>
        <w:rPr>
          <w:rFonts w:hint="default" w:ascii="FangSong_GB2312" w:hAnsi="FangSong_GB2312" w:eastAsia="FangSong_GB2312" w:cs="Times New Roman"/>
          <w:sz w:val="32"/>
          <w:lang w:val="en-US" w:eastAsia="zh-CN"/>
        </w:rPr>
        <w:t>属地政府、国有企业等多个参与主体，</w:t>
      </w:r>
      <w:r>
        <w:rPr>
          <w:rFonts w:hint="eastAsia" w:ascii="FangSong_GB2312" w:hAnsi="FangSong_GB2312" w:eastAsia="FangSong_GB2312" w:cs="Times New Roman"/>
          <w:sz w:val="32"/>
          <w:lang w:val="en-US" w:eastAsia="zh-CN"/>
        </w:rPr>
        <w:t>根据丰台区棚户区改造和环境整治办公室于2018年12月26日发布的《关于进一步加快推进丰台区棚户区改造工作的实施方案》（丰棚改办文</w:t>
      </w:r>
      <w:r>
        <w:rPr>
          <w:rFonts w:hint="default" w:ascii="FangSong_GB2312" w:hAnsi="FangSong_GB2312" w:eastAsia="FangSong_GB2312" w:cs="Times New Roman"/>
          <w:sz w:val="32"/>
          <w:lang w:val="en-US" w:eastAsia="zh-CN"/>
        </w:rPr>
        <w:t>〔20</w:t>
      </w:r>
      <w:r>
        <w:rPr>
          <w:rFonts w:hint="eastAsia" w:ascii="FangSong_GB2312" w:hAnsi="FangSong_GB2312" w:eastAsia="FangSong_GB2312" w:cs="Times New Roman"/>
          <w:sz w:val="32"/>
          <w:lang w:val="en-US" w:eastAsia="zh-CN"/>
        </w:rPr>
        <w:t>18</w:t>
      </w:r>
      <w:r>
        <w:rPr>
          <w:rFonts w:hint="default" w:ascii="FangSong_GB2312" w:hAnsi="FangSong_GB2312" w:eastAsia="FangSong_GB2312" w:cs="Times New Roman"/>
          <w:sz w:val="32"/>
          <w:lang w:val="en-US" w:eastAsia="zh-CN"/>
        </w:rPr>
        <w:t>〕</w:t>
      </w:r>
      <w:r>
        <w:rPr>
          <w:rFonts w:hint="eastAsia" w:ascii="FangSong_GB2312" w:hAnsi="FangSong_GB2312" w:eastAsia="FangSong_GB2312" w:cs="Times New Roman"/>
          <w:sz w:val="32"/>
          <w:lang w:val="en-US" w:eastAsia="zh-CN"/>
        </w:rPr>
        <w:t>1号），</w:t>
      </w:r>
      <w:r>
        <w:rPr>
          <w:rFonts w:hint="default" w:ascii="FangSong_GB2312" w:hAnsi="FangSong_GB2312" w:eastAsia="FangSong_GB2312" w:cs="Times New Roman"/>
          <w:sz w:val="32"/>
          <w:lang w:val="en-US" w:eastAsia="zh-CN"/>
        </w:rPr>
        <w:t>当前项目运行中虽具备基本的组织框架，但</w:t>
      </w:r>
      <w:r>
        <w:rPr>
          <w:rFonts w:hint="eastAsia" w:ascii="FangSong_GB2312" w:hAnsi="FangSong_GB2312" w:eastAsia="FangSong_GB2312" w:cs="Times New Roman"/>
          <w:sz w:val="32"/>
          <w:lang w:val="en-US" w:eastAsia="zh-CN"/>
        </w:rPr>
        <w:t>主管部门未针对棚户区改造项目细化管理办法和实施方案，</w:t>
      </w:r>
      <w:r>
        <w:rPr>
          <w:rFonts w:hint="default" w:ascii="FangSong_GB2312" w:hAnsi="FangSong_GB2312" w:eastAsia="FangSong_GB2312" w:cs="Times New Roman"/>
          <w:sz w:val="32"/>
          <w:lang w:val="en-US" w:eastAsia="zh-CN"/>
        </w:rPr>
        <w:t>在实际操作层面存在</w:t>
      </w:r>
      <w:r>
        <w:rPr>
          <w:rFonts w:hint="eastAsia" w:ascii="FangSong_GB2312" w:hAnsi="FangSong_GB2312" w:eastAsia="FangSong_GB2312" w:cs="Times New Roman"/>
          <w:sz w:val="32"/>
          <w:lang w:val="en-US" w:eastAsia="zh-CN"/>
        </w:rPr>
        <w:t>过程控制薄弱、实施方案有效性不足等</w:t>
      </w:r>
      <w:r>
        <w:rPr>
          <w:rFonts w:hint="default" w:ascii="FangSong_GB2312" w:hAnsi="FangSong_GB2312" w:eastAsia="FangSong_GB2312" w:cs="Times New Roman"/>
          <w:sz w:val="32"/>
          <w:lang w:val="en-US" w:eastAsia="zh-CN"/>
        </w:rPr>
        <w:t>情况。</w:t>
      </w:r>
      <w:r>
        <w:rPr>
          <w:rFonts w:hint="eastAsia" w:ascii="FangSong_GB2312" w:hAnsi="FangSong_GB2312" w:eastAsia="FangSong_GB2312" w:cs="Times New Roman"/>
          <w:sz w:val="32"/>
          <w:lang w:val="en-US" w:eastAsia="zh-CN"/>
        </w:rPr>
        <w:t>比如，在项目实施过程中未制定定期的施工进度动态跟踪流程和方案，不便于各方实时掌握项目实际进展；施工日志、监理报告等监管材料未系统归档；对分阶段成果检验、工程验收等关键节点缺乏明确的验收方案；主管部门对实施主体归档材料未形成书面约束。</w:t>
      </w:r>
      <w:r>
        <w:rPr>
          <w:rFonts w:hint="default" w:ascii="FangSong_GB2312" w:hAnsi="FangSong_GB2312" w:eastAsia="FangSong_GB2312" w:cs="Times New Roman"/>
          <w:sz w:val="32"/>
          <w:lang w:val="en-US" w:eastAsia="zh-CN"/>
        </w:rPr>
        <w:t>整体来看，现阶段项目</w:t>
      </w:r>
      <w:r>
        <w:rPr>
          <w:rFonts w:hint="eastAsia" w:ascii="FangSong_GB2312" w:hAnsi="FangSong_GB2312" w:eastAsia="FangSong_GB2312" w:cs="Times New Roman"/>
          <w:sz w:val="32"/>
          <w:lang w:val="en-US" w:eastAsia="zh-CN"/>
        </w:rPr>
        <w:t>组织</w:t>
      </w:r>
      <w:r>
        <w:rPr>
          <w:rFonts w:hint="default" w:ascii="FangSong_GB2312" w:hAnsi="FangSong_GB2312" w:eastAsia="FangSong_GB2312" w:cs="Times New Roman"/>
          <w:sz w:val="32"/>
          <w:lang w:val="en-US" w:eastAsia="zh-CN"/>
        </w:rPr>
        <w:t>管理具备基础条件，但在</w:t>
      </w:r>
      <w:r>
        <w:rPr>
          <w:rFonts w:hint="eastAsia" w:ascii="FangSong_GB2312" w:hAnsi="FangSong_GB2312" w:eastAsia="FangSong_GB2312" w:cs="Times New Roman"/>
          <w:sz w:val="32"/>
          <w:lang w:val="en-US" w:eastAsia="zh-CN"/>
        </w:rPr>
        <w:t>项目精细化管理</w:t>
      </w:r>
      <w:r>
        <w:rPr>
          <w:rFonts w:hint="default" w:ascii="FangSong_GB2312" w:hAnsi="FangSong_GB2312" w:eastAsia="FangSong_GB2312" w:cs="Times New Roman"/>
          <w:sz w:val="32"/>
          <w:lang w:val="en-US" w:eastAsia="zh-CN"/>
        </w:rPr>
        <w:t>方面仍需进一步优化</w:t>
      </w:r>
      <w:r>
        <w:rPr>
          <w:rFonts w:hint="eastAsia" w:ascii="FangSong_GB2312" w:hAnsi="FangSong_GB2312" w:eastAsia="FangSong_GB2312" w:cs="Times New Roman"/>
          <w:sz w:val="32"/>
          <w:lang w:val="en-US" w:eastAsia="zh-CN"/>
        </w:rPr>
        <w:t>，以规范项目实施过程、提升</w:t>
      </w:r>
      <w:r>
        <w:rPr>
          <w:rFonts w:hint="default" w:ascii="FangSong_GB2312" w:hAnsi="FangSong_GB2312" w:eastAsia="FangSong_GB2312" w:cs="Times New Roman"/>
          <w:sz w:val="32"/>
          <w:lang w:val="en-US" w:eastAsia="zh-CN"/>
        </w:rPr>
        <w:t>多方协同效率。</w:t>
      </w:r>
    </w:p>
    <w:p>
      <w:pPr>
        <w:spacing w:beforeLines="0" w:afterLines="0" w:line="560" w:lineRule="exact"/>
        <w:ind w:firstLine="640" w:firstLineChars="200"/>
        <w:jc w:val="left"/>
        <w:rPr>
          <w:rFonts w:hint="eastAsia" w:ascii="KaiTi_GB2312" w:hAnsi="KaiTi_GB2312" w:eastAsia="KaiTi_GB2312" w:cs="Times New Roman"/>
          <w:sz w:val="32"/>
          <w:lang w:val="en-US" w:eastAsia="zh-CN"/>
        </w:rPr>
      </w:pPr>
      <w:bookmarkStart w:id="13" w:name="_Toc366755958"/>
      <w:r>
        <w:rPr>
          <w:rFonts w:hint="eastAsia" w:ascii="KaiTi_GB2312" w:hAnsi="KaiTi_GB2312" w:eastAsia="KaiTi_GB2312" w:cs="Times New Roman"/>
          <w:sz w:val="32"/>
          <w:lang w:val="en-US" w:eastAsia="zh-CN"/>
        </w:rPr>
        <w:t>（二）收益风险识别有待强化</w:t>
      </w:r>
      <w:bookmarkEnd w:id="13"/>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rPr>
        <w:t>目前项目偿债能力评估主要基于近三年土地出让及相关收益数据</w:t>
      </w:r>
      <w:r>
        <w:rPr>
          <w:rFonts w:hint="eastAsia" w:ascii="FangSong_GB2312" w:hAnsi="FangSong_GB2312" w:eastAsia="FangSong_GB2312" w:cs="Times New Roman"/>
          <w:sz w:val="32"/>
          <w:lang w:val="en-US" w:eastAsia="zh-CN"/>
        </w:rPr>
        <w:t>进行分析</w:t>
      </w:r>
      <w:r>
        <w:rPr>
          <w:rFonts w:hint="eastAsia" w:ascii="FangSong_GB2312" w:hAnsi="FangSong_GB2312" w:eastAsia="FangSong_GB2312" w:cs="Times New Roman"/>
          <w:sz w:val="32"/>
        </w:rPr>
        <w:t>，但</w:t>
      </w:r>
      <w:r>
        <w:rPr>
          <w:rFonts w:hint="eastAsia" w:ascii="FangSong_GB2312" w:hAnsi="FangSong_GB2312" w:eastAsia="FangSong_GB2312" w:cs="Times New Roman"/>
          <w:sz w:val="32"/>
          <w:lang w:val="en-US" w:eastAsia="zh-CN"/>
        </w:rPr>
        <w:t>专项债券项目建设运行周期超过10年，易受宏观经济、市场情况、相关政策等多种因素影响，远期收益较难预测，</w:t>
      </w:r>
      <w:r>
        <w:rPr>
          <w:rFonts w:hint="eastAsia" w:ascii="FangSong_GB2312" w:hAnsi="FangSong_GB2312" w:eastAsia="FangSong_GB2312" w:cs="Times New Roman"/>
          <w:sz w:val="32"/>
        </w:rPr>
        <w:t>随着外部市场环境的动态变化，特别是房地产政策与市场节奏的调整，未来三年若继续沿用过去趋势进行收益预测，在一定程度上难以充分反映</w:t>
      </w:r>
      <w:r>
        <w:rPr>
          <w:rFonts w:hint="eastAsia" w:ascii="FangSong_GB2312" w:hAnsi="FangSong_GB2312" w:eastAsia="FangSong_GB2312" w:cs="Times New Roman"/>
          <w:sz w:val="32"/>
          <w:lang w:val="en-US" w:eastAsia="zh-CN"/>
        </w:rPr>
        <w:t>收益变化趋势</w:t>
      </w:r>
      <w:r>
        <w:rPr>
          <w:rFonts w:hint="eastAsia" w:ascii="FangSong_GB2312" w:hAnsi="FangSong_GB2312" w:eastAsia="FangSong_GB2312" w:cs="Times New Roman"/>
          <w:sz w:val="32"/>
        </w:rPr>
        <w:t>。当前评估方式在未来收益的动态识别与预期调整方面尚存进一步优化空间，建议适时丰富风险识别维度，以增强测算的适配性与前瞻性。</w:t>
      </w:r>
    </w:p>
    <w:p>
      <w:pPr>
        <w:spacing w:beforeLines="0" w:afterLines="0" w:line="560" w:lineRule="exact"/>
        <w:ind w:firstLine="640" w:firstLineChars="200"/>
        <w:jc w:val="left"/>
        <w:rPr>
          <w:rFonts w:hint="default" w:ascii="黑体" w:hAnsi="黑体" w:eastAsia="黑体" w:cs="Times New Roman"/>
          <w:sz w:val="32"/>
          <w:lang w:val="en-US" w:eastAsia="zh-CN"/>
        </w:rPr>
      </w:pPr>
      <w:r>
        <w:rPr>
          <w:rFonts w:hint="default" w:ascii="黑体" w:hAnsi="黑体" w:eastAsia="黑体" w:cs="Times New Roman"/>
          <w:sz w:val="32"/>
          <w:lang w:val="en-US" w:eastAsia="zh-CN"/>
        </w:rPr>
        <w:t>五、相关建议</w:t>
      </w:r>
    </w:p>
    <w:p>
      <w:pPr>
        <w:spacing w:beforeLines="0" w:afterLines="0" w:line="560" w:lineRule="exact"/>
        <w:ind w:firstLine="640" w:firstLineChars="200"/>
        <w:jc w:val="left"/>
        <w:rPr>
          <w:rFonts w:hint="default" w:ascii="KaiTi_GB2312" w:hAnsi="KaiTi_GB2312" w:eastAsia="KaiTi_GB2312" w:cs="Times New Roman"/>
          <w:sz w:val="32"/>
          <w:lang w:val="en-US" w:eastAsia="zh-CN"/>
        </w:rPr>
      </w:pPr>
      <w:bookmarkStart w:id="14" w:name="_Toc1081575793"/>
      <w:r>
        <w:rPr>
          <w:rFonts w:hint="eastAsia" w:ascii="KaiTi_GB2312" w:hAnsi="KaiTi_GB2312" w:eastAsia="KaiTi_GB2312" w:cs="Times New Roman"/>
          <w:sz w:val="32"/>
          <w:lang w:val="en-US" w:eastAsia="zh-CN"/>
        </w:rPr>
        <w:t>（一）建立健全多主体统筹管理机制，提升项目精细化管理水平</w:t>
      </w:r>
      <w:bookmarkEnd w:id="14"/>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建议项目主管部门进一步落实项目统筹职责，细化构建涵盖属地政府、实施主体、相关职能部门的实施方案、业务操作规程和协同机制。可通过设立重点事项协同流程，明确项目中规划、拆迁、建设、安置、跟踪、验收等各环节的标准化流程和信息资料归集要求，增强各参与方在任务部署、信息共享、问题响应等方面的联动性；鼓励主管部门发挥枢纽作用，建立常态化协同会议机制，逐步推动项目管理由“任务响应型”向“系统统筹型”转变，形成“精准规划、动态监控、多元共治、长效评价”的闭环管理，提升整体执行效率和项目精细化管理水平。</w:t>
      </w:r>
    </w:p>
    <w:p>
      <w:pPr>
        <w:spacing w:beforeLines="0" w:afterLines="0" w:line="560" w:lineRule="exact"/>
        <w:ind w:firstLine="640" w:firstLineChars="200"/>
        <w:jc w:val="left"/>
        <w:rPr>
          <w:rFonts w:hint="default" w:ascii="KaiTi_GB2312" w:hAnsi="KaiTi_GB2312" w:eastAsia="KaiTi_GB2312" w:cs="Times New Roman"/>
          <w:sz w:val="32"/>
          <w:lang w:val="en-US" w:eastAsia="zh-CN"/>
        </w:rPr>
      </w:pPr>
      <w:bookmarkStart w:id="15" w:name="_Toc1742764743"/>
      <w:r>
        <w:rPr>
          <w:rFonts w:hint="eastAsia" w:ascii="KaiTi_GB2312" w:hAnsi="KaiTi_GB2312" w:eastAsia="KaiTi_GB2312" w:cs="Times New Roman"/>
          <w:sz w:val="32"/>
          <w:lang w:val="en-US" w:eastAsia="zh-CN"/>
        </w:rPr>
        <w:t>（二）建立动态风险评估机制，提升风险应对能力</w:t>
      </w:r>
      <w:bookmarkEnd w:id="15"/>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建议在现有基础上，进一步丰富中长期财务风险评估模型，引入滚动预测及敏感性分析方法，对未来三年可能出现的市场变化、土地出让收入波动等关键因素进行情境研判。同时，可结合行业趋势与属地经验，逐步构建动态更新的风险识别机制。建议项目主管部门加强与第三方专业机构协同，提升债务覆盖能力分析的系统性与准确性，增强项目中长期资金保障和偿债安排的稳定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FangSong_GB2312" w:hAnsi="FangSong_GB2312" w:eastAsia="FangSong_GB2312"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附件：丰台区东铁营棚户区改造和环境整治项目绩效评价指标体系及评分情况表</w:t>
      </w:r>
    </w:p>
    <w:p>
      <w:pPr>
        <w:spacing w:line="560" w:lineRule="exact"/>
        <w:ind w:left="0" w:leftChars="0" w:firstLine="0" w:firstLineChars="0"/>
        <w:jc w:val="center"/>
        <w:rPr>
          <w:rFonts w:hint="eastAsia" w:ascii="黑体" w:hAnsi="黑体" w:eastAsia="黑体" w:cs="黑体"/>
          <w:sz w:val="32"/>
          <w:lang w:val="en-US" w:eastAsia="zh-CN"/>
        </w:rPr>
      </w:pPr>
      <w:r>
        <w:rPr>
          <w:rFonts w:hint="default" w:ascii="仿宋_GB2312" w:hAnsi="仿宋_GB2312" w:eastAsia="仿宋_GB2312" w:cs="仿宋_GB2312"/>
          <w:sz w:val="32"/>
          <w:lang w:val="en-US" w:eastAsia="zh-CN"/>
        </w:rPr>
        <w:br w:type="page"/>
      </w:r>
      <w:r>
        <w:rPr>
          <w:rFonts w:hint="eastAsia" w:ascii="黑体" w:hAnsi="黑体" w:eastAsia="黑体" w:cs="黑体"/>
          <w:sz w:val="32"/>
          <w:lang w:val="en-US" w:eastAsia="zh-CN"/>
        </w:rPr>
        <w:t>丰台区东铁营棚户区改造和环境整治项目</w:t>
      </w:r>
    </w:p>
    <w:p>
      <w:pPr>
        <w:spacing w:beforeLines="0" w:afterLines="0" w:line="560" w:lineRule="exact"/>
        <w:ind w:left="0" w:leftChars="0" w:firstLine="0" w:firstLineChars="0"/>
        <w:jc w:val="center"/>
        <w:rPr>
          <w:rFonts w:hint="eastAsia" w:ascii="黑体" w:hAnsi="黑体" w:eastAsia="黑体" w:cs="黑体"/>
          <w:sz w:val="32"/>
          <w:lang w:val="en-US" w:eastAsia="zh-CN"/>
        </w:rPr>
      </w:pPr>
      <w:r>
        <w:rPr>
          <w:rFonts w:hint="eastAsia" w:ascii="黑体" w:hAnsi="黑体" w:eastAsia="黑体" w:cs="黑体"/>
          <w:sz w:val="32"/>
          <w:lang w:val="en-US" w:eastAsia="zh-CN"/>
        </w:rPr>
        <w:t>绩效评价指标体系及评分情况表</w:t>
      </w:r>
    </w:p>
    <w:p>
      <w:pPr>
        <w:spacing w:beforeLines="0" w:afterLines="0" w:line="560" w:lineRule="exact"/>
        <w:ind w:left="0" w:leftChars="0" w:firstLine="0" w:firstLineChars="0"/>
        <w:jc w:val="center"/>
        <w:rPr>
          <w:rFonts w:hint="eastAsia" w:ascii="黑体" w:hAnsi="黑体" w:eastAsia="黑体" w:cs="黑体"/>
          <w:sz w:val="32"/>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340"/>
        <w:gridCol w:w="3760"/>
        <w:gridCol w:w="90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一级指标</w:t>
            </w: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二级指标</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三级指标</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分值</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决策</w:t>
            </w: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项目立项</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立项依据充分</w:t>
            </w:r>
            <w:r>
              <w:rPr>
                <w:rFonts w:hint="eastAsia" w:ascii="仿宋" w:hAnsi="仿宋" w:eastAsia="仿宋" w:cs="仿宋"/>
                <w:sz w:val="24"/>
                <w:szCs w:val="24"/>
                <w:lang w:eastAsia="zh-CN"/>
              </w:rPr>
              <w:t>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立项程序规范性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资金投入</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债券资金申请科学性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4.5</w:t>
            </w:r>
            <w:r>
              <w:rPr>
                <w:rFonts w:hint="eastAsia" w:ascii="仿宋" w:hAnsi="仿宋" w:eastAsia="仿宋" w:cs="仿宋"/>
                <w:sz w:val="24"/>
                <w:szCs w:val="24"/>
                <w:vertAlign w:val="baseline"/>
                <w:lang w:val="en-US" w:eastAsia="zh-CN"/>
              </w:rPr>
              <w:t>0</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绩效目标合理性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绩效指标明确性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4.5</w:t>
            </w:r>
            <w:r>
              <w:rPr>
                <w:rFonts w:hint="eastAsia" w:ascii="仿宋" w:hAnsi="仿宋" w:eastAsia="仿宋" w:cs="仿宋"/>
                <w:sz w:val="24"/>
                <w:szCs w:val="24"/>
                <w:vertAlign w:val="baseline"/>
                <w:lang w:val="en-US" w:eastAsia="zh-CN"/>
              </w:rPr>
              <w:t>0</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w:t>
            </w: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过程</w:t>
            </w: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专项债券管理</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专项债券预算管理规范性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项目收入、成本及预期收益合理性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资金使用管理</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资金到位率</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资金使用率</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资金拨付和支出进度与项目建设进度匹配性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资金使用合规性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组织实施</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管理制度健全性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制度执行有效性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专项债券项目信息管理规范性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w:t>
            </w: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产出数量</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项目建设形成资产实际完成率</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7.2</w:t>
            </w: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产出质量</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项目建设质量达标率</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项目建设进度及时性</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产出成本</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项目建设成本节约情况</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效益</w:t>
            </w:r>
          </w:p>
        </w:tc>
        <w:tc>
          <w:tcPr>
            <w:tcW w:w="134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项目综合效益</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东铁营棚户改造项目的经济效益</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东铁营棚户改造项目的社会效益</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东铁营棚户改造项目的生态效益</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80" w:firstLineChars="200"/>
              <w:jc w:val="center"/>
              <w:textAlignment w:val="auto"/>
              <w:rPr>
                <w:rFonts w:hint="eastAsia" w:ascii="仿宋" w:hAnsi="仿宋" w:eastAsia="仿宋" w:cs="仿宋"/>
                <w:sz w:val="24"/>
                <w:szCs w:val="24"/>
                <w:vertAlign w:val="baseline"/>
                <w:lang w:val="en-US" w:eastAsia="zh-CN"/>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满意度</w:t>
            </w:r>
          </w:p>
        </w:tc>
        <w:tc>
          <w:tcPr>
            <w:tcW w:w="376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居民满意度</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100</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82</w:t>
            </w:r>
          </w:p>
        </w:tc>
      </w:tr>
    </w:tbl>
    <w:p>
      <w:pPr>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br w:type="page"/>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北京丽泽金融商务区管理委员会</w:t>
      </w:r>
    </w:p>
    <w:p>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highlight w:val="none"/>
          <w:u w:val="none"/>
          <w:lang w:eastAsia="zh-CN"/>
        </w:rPr>
        <w:t>丽泽金融商务区2023年重点区域综合整治提升</w:t>
      </w:r>
      <w:r>
        <w:rPr>
          <w:rFonts w:hint="eastAsia" w:ascii="方正小标宋简体" w:hAnsi="方正小标宋简体" w:eastAsia="方正小标宋简体" w:cs="方正小标宋简体"/>
          <w:sz w:val="44"/>
          <w:szCs w:val="44"/>
          <w:lang w:val="en-US" w:eastAsia="zh-CN"/>
        </w:rPr>
        <w:t>项目绩效评价报告</w:t>
      </w:r>
    </w:p>
    <w:p>
      <w:pPr>
        <w:widowControl w:val="0"/>
        <w:spacing w:afterLines="0" w:afterAutospacing="0" w:line="560" w:lineRule="exact"/>
        <w:ind w:firstLine="880" w:firstLineChars="200"/>
        <w:jc w:val="both"/>
        <w:rPr>
          <w:rFonts w:hint="eastAsia" w:ascii="方正小标宋简体" w:hAnsi="方正小标宋简体" w:eastAsia="方正小标宋简体" w:cs="方正小标宋简体"/>
          <w:kern w:val="2"/>
          <w:sz w:val="44"/>
          <w:szCs w:val="44"/>
          <w:lang w:val="en-US" w:eastAsia="zh-CN" w:bidi="ar-SA"/>
        </w:rPr>
      </w:pP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为进一步提高财政支出管理水平，检验财政支出预期目标实现程度，考核财政支出效率和综合效果，为以后年度财政资金安排提供重要依据，根据《中华人民共和国预算法》、《中共北京市委北京市人民政府关于全面实施预算绩效管理的实施意见》（京发〔2019〕12 号）、《丰台区预算绩效管理办法》（丰财绩效〔2020〕374 号）以及《北京市丰台区项目支出绩效评价管理办法》（丰财绩效〔2021〕2526 号）等相关文件要求，北京市丰台区财政局成立了绩效评价工作组，对</w:t>
      </w:r>
      <w:r>
        <w:rPr>
          <w:rFonts w:hint="eastAsia" w:ascii="FangSong_GB2312" w:hAnsi="FangSong_GB2312" w:eastAsia="FangSong_GB2312" w:cs="Times New Roman"/>
          <w:sz w:val="32"/>
          <w:szCs w:val="24"/>
          <w:highlight w:val="none"/>
          <w:u w:val="none"/>
        </w:rPr>
        <w:t>北京丽泽金融商务区管理委员会</w:t>
      </w:r>
      <w:r>
        <w:rPr>
          <w:rFonts w:hint="eastAsia" w:ascii="FangSong_GB2312" w:hAnsi="FangSong_GB2312" w:eastAsia="FangSong_GB2312" w:cs="Times New Roman"/>
          <w:sz w:val="32"/>
        </w:rPr>
        <w:t>“</w:t>
      </w:r>
      <w:r>
        <w:rPr>
          <w:rFonts w:hint="eastAsia" w:ascii="FangSong_GB2312" w:hAnsi="FangSong_GB2312" w:eastAsia="FangSong_GB2312" w:cs="Times New Roman"/>
          <w:sz w:val="32"/>
          <w:szCs w:val="24"/>
          <w:highlight w:val="none"/>
          <w:u w:val="none"/>
          <w:lang w:eastAsia="zh-CN"/>
        </w:rPr>
        <w:t>丽泽金融商务区2023年重点区域综合整治提升项目</w:t>
      </w:r>
      <w:r>
        <w:rPr>
          <w:rFonts w:hint="eastAsia" w:ascii="FangSong_GB2312" w:hAnsi="FangSong_GB2312" w:eastAsia="FangSong_GB2312" w:cs="Times New Roman"/>
          <w:sz w:val="32"/>
        </w:rPr>
        <w:t>”开展了绩效评价。该项目评价结果为</w:t>
      </w:r>
      <w:r>
        <w:rPr>
          <w:rFonts w:hint="eastAsia" w:ascii="FangSong_GB2312" w:hAnsi="FangSong_GB2312" w:eastAsia="FangSong_GB2312" w:cs="Times New Roman"/>
          <w:color w:val="auto"/>
          <w:sz w:val="32"/>
          <w:szCs w:val="24"/>
          <w:highlight w:val="none"/>
          <w:lang w:val="en-US" w:eastAsia="zh-CN"/>
        </w:rPr>
        <w:t>81.23</w:t>
      </w:r>
      <w:r>
        <w:rPr>
          <w:rFonts w:hint="eastAsia" w:ascii="FangSong_GB2312" w:hAnsi="FangSong_GB2312" w:eastAsia="FangSong_GB2312" w:cs="Times New Roman"/>
          <w:sz w:val="32"/>
        </w:rPr>
        <w:t>分。有关情况如下。</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一、项目基本情况</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（一）项目背景</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1.项目立项依据</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szCs w:val="24"/>
          <w:highlight w:val="none"/>
        </w:rPr>
        <w:t>根据《北京城市总体规划（2016年—2035年）》</w:t>
      </w:r>
      <w:r>
        <w:rPr>
          <w:rFonts w:hint="eastAsia" w:ascii="FangSong_GB2312" w:hAnsi="FangSong_GB2312" w:eastAsia="FangSong_GB2312" w:cs="Times New Roman"/>
          <w:sz w:val="32"/>
          <w:szCs w:val="24"/>
          <w:highlight w:val="none"/>
          <w:lang w:val="en-US" w:eastAsia="zh-CN"/>
        </w:rPr>
        <w:t>战略部署</w:t>
      </w:r>
      <w:r>
        <w:rPr>
          <w:rFonts w:hint="eastAsia" w:ascii="FangSong_GB2312" w:hAnsi="FangSong_GB2312" w:eastAsia="FangSong_GB2312" w:cs="Times New Roman"/>
          <w:sz w:val="32"/>
          <w:szCs w:val="24"/>
          <w:highlight w:val="none"/>
        </w:rPr>
        <w:t>，北京丽泽金融商务区（以下简称“丽泽金融商务区”）</w:t>
      </w:r>
      <w:r>
        <w:rPr>
          <w:rFonts w:hint="eastAsia" w:ascii="FangSong_GB2312" w:hAnsi="FangSong_GB2312" w:eastAsia="FangSong_GB2312" w:cs="Times New Roman"/>
          <w:sz w:val="32"/>
          <w:szCs w:val="24"/>
          <w:highlight w:val="none"/>
          <w:lang w:val="en-US" w:eastAsia="zh-CN"/>
        </w:rPr>
        <w:t>作为</w:t>
      </w:r>
      <w:r>
        <w:rPr>
          <w:rFonts w:hint="eastAsia" w:ascii="FangSong_GB2312" w:hAnsi="FangSong_GB2312" w:eastAsia="FangSong_GB2312" w:cs="Times New Roman"/>
          <w:sz w:val="32"/>
          <w:szCs w:val="24"/>
          <w:highlight w:val="none"/>
        </w:rPr>
        <w:t>新兴金融产业集聚区、首都金融改革试验区，是丰台区</w:t>
      </w:r>
      <w:r>
        <w:rPr>
          <w:rFonts w:hint="eastAsia" w:ascii="FangSong_GB2312" w:hAnsi="FangSong_GB2312" w:eastAsia="FangSong_GB2312" w:cs="Times New Roman"/>
          <w:sz w:val="32"/>
          <w:szCs w:val="24"/>
          <w:highlight w:val="none"/>
          <w:lang w:val="en-US" w:eastAsia="zh-CN"/>
        </w:rPr>
        <w:t>推进</w:t>
      </w:r>
      <w:r>
        <w:rPr>
          <w:rFonts w:hint="eastAsia" w:ascii="FangSong_GB2312" w:hAnsi="FangSong_GB2312" w:eastAsia="FangSong_GB2312" w:cs="Times New Roman"/>
          <w:sz w:val="32"/>
          <w:szCs w:val="24"/>
          <w:highlight w:val="none"/>
        </w:rPr>
        <w:t>“两区”建设的</w:t>
      </w:r>
      <w:r>
        <w:rPr>
          <w:rFonts w:hint="eastAsia" w:ascii="FangSong_GB2312" w:hAnsi="FangSong_GB2312" w:eastAsia="FangSong_GB2312" w:cs="Times New Roman"/>
          <w:sz w:val="32"/>
          <w:szCs w:val="24"/>
          <w:highlight w:val="none"/>
          <w:lang w:val="en-US" w:eastAsia="zh-CN"/>
        </w:rPr>
        <w:t>核心承载</w:t>
      </w:r>
      <w:r>
        <w:rPr>
          <w:rFonts w:hint="eastAsia" w:ascii="FangSong_GB2312" w:hAnsi="FangSong_GB2312" w:eastAsia="FangSong_GB2312" w:cs="Times New Roman"/>
          <w:sz w:val="32"/>
          <w:szCs w:val="24"/>
          <w:highlight w:val="none"/>
        </w:rPr>
        <w:t>地。</w:t>
      </w:r>
      <w:r>
        <w:rPr>
          <w:rFonts w:hint="eastAsia" w:ascii="FangSong_GB2312" w:hAnsi="FangSong_GB2312" w:eastAsia="FangSong_GB2312" w:cs="Times New Roman"/>
          <w:sz w:val="32"/>
          <w:szCs w:val="24"/>
          <w:highlight w:val="none"/>
          <w:lang w:val="en-US" w:eastAsia="zh-CN"/>
        </w:rPr>
        <w:t>为进一步</w:t>
      </w:r>
      <w:r>
        <w:rPr>
          <w:rFonts w:hint="eastAsia" w:ascii="FangSong_GB2312" w:hAnsi="FangSong_GB2312" w:eastAsia="FangSong_GB2312" w:cs="Times New Roman"/>
          <w:sz w:val="32"/>
          <w:szCs w:val="24"/>
          <w:highlight w:val="none"/>
        </w:rPr>
        <w:t>提升区</w:t>
      </w:r>
      <w:r>
        <w:rPr>
          <w:rFonts w:hint="eastAsia" w:ascii="FangSong_GB2312" w:hAnsi="FangSong_GB2312" w:eastAsia="FangSong_GB2312" w:cs="Times New Roman"/>
          <w:sz w:val="32"/>
          <w:szCs w:val="24"/>
          <w:highlight w:val="none"/>
          <w:lang w:val="en-US" w:eastAsia="zh-CN"/>
        </w:rPr>
        <w:t>域</w:t>
      </w:r>
      <w:r>
        <w:rPr>
          <w:rFonts w:hint="eastAsia" w:ascii="FangSong_GB2312" w:hAnsi="FangSong_GB2312" w:eastAsia="FangSong_GB2312" w:cs="Times New Roman"/>
          <w:sz w:val="32"/>
          <w:szCs w:val="24"/>
          <w:highlight w:val="none"/>
        </w:rPr>
        <w:t>环境品质、</w:t>
      </w:r>
      <w:r>
        <w:rPr>
          <w:rFonts w:hint="eastAsia" w:ascii="FangSong_GB2312" w:hAnsi="FangSong_GB2312" w:eastAsia="FangSong_GB2312" w:cs="Times New Roman"/>
          <w:sz w:val="32"/>
          <w:szCs w:val="24"/>
          <w:highlight w:val="none"/>
          <w:lang w:val="en-US" w:eastAsia="zh-CN"/>
        </w:rPr>
        <w:t>优化公共服务供给</w:t>
      </w:r>
      <w:r>
        <w:rPr>
          <w:rFonts w:hint="eastAsia" w:ascii="FangSong_GB2312" w:hAnsi="FangSong_GB2312" w:eastAsia="FangSong_GB2312" w:cs="Times New Roman"/>
          <w:sz w:val="32"/>
          <w:szCs w:val="24"/>
          <w:highlight w:val="none"/>
        </w:rPr>
        <w:t>、强化营商环境竞争力，持续深化丽泽金融商务区综合治理效能</w:t>
      </w:r>
      <w:r>
        <w:rPr>
          <w:rFonts w:hint="eastAsia" w:ascii="FangSong_GB2312" w:hAnsi="FangSong_GB2312" w:eastAsia="FangSong_GB2312" w:cs="Times New Roman"/>
          <w:sz w:val="32"/>
          <w:szCs w:val="24"/>
          <w:highlight w:val="none"/>
          <w:lang w:eastAsia="zh-CN"/>
        </w:rPr>
        <w:t>，丽泽商务区管委会</w:t>
      </w:r>
      <w:r>
        <w:rPr>
          <w:rFonts w:hint="eastAsia" w:ascii="FangSong_GB2312" w:hAnsi="FangSong_GB2312" w:eastAsia="FangSong_GB2312" w:cs="Times New Roman"/>
          <w:sz w:val="32"/>
          <w:szCs w:val="24"/>
          <w:highlight w:val="none"/>
          <w:lang w:val="en-US" w:eastAsia="zh-CN"/>
        </w:rPr>
        <w:t>于2023年</w:t>
      </w:r>
      <w:r>
        <w:rPr>
          <w:rFonts w:hint="eastAsia" w:ascii="FangSong_GB2312" w:hAnsi="FangSong_GB2312" w:eastAsia="FangSong_GB2312" w:cs="Times New Roman"/>
          <w:sz w:val="32"/>
          <w:szCs w:val="24"/>
          <w:highlight w:val="none"/>
        </w:rPr>
        <w:t>申</w:t>
      </w:r>
      <w:r>
        <w:rPr>
          <w:rFonts w:hint="eastAsia" w:ascii="FangSong_GB2312" w:hAnsi="FangSong_GB2312" w:eastAsia="FangSong_GB2312" w:cs="Times New Roman"/>
          <w:sz w:val="32"/>
          <w:szCs w:val="24"/>
          <w:highlight w:val="none"/>
          <w:shd w:val="clear" w:color="auto" w:fill="auto"/>
          <w:lang w:val="en-US" w:eastAsia="zh-CN"/>
        </w:rPr>
        <w:t>报实施</w:t>
      </w:r>
      <w:r>
        <w:rPr>
          <w:rFonts w:hint="eastAsia" w:ascii="FangSong_GB2312" w:hAnsi="FangSong_GB2312" w:eastAsia="FangSong_GB2312" w:cs="Times New Roman"/>
          <w:sz w:val="32"/>
          <w:szCs w:val="24"/>
          <w:highlight w:val="none"/>
        </w:rPr>
        <w:t>“</w:t>
      </w:r>
      <w:r>
        <w:rPr>
          <w:rFonts w:hint="eastAsia" w:ascii="FangSong_GB2312" w:hAnsi="FangSong_GB2312" w:eastAsia="FangSong_GB2312" w:cs="Times New Roman"/>
          <w:sz w:val="32"/>
          <w:szCs w:val="24"/>
          <w:highlight w:val="none"/>
          <w:lang w:eastAsia="zh-CN"/>
        </w:rPr>
        <w:t>丽泽金融商务区2023年重点区域综合整治提升项目</w:t>
      </w:r>
      <w:r>
        <w:rPr>
          <w:rFonts w:hint="eastAsia" w:ascii="FangSong_GB2312" w:hAnsi="FangSong_GB2312" w:eastAsia="FangSong_GB2312" w:cs="Times New Roman"/>
          <w:sz w:val="32"/>
          <w:szCs w:val="24"/>
          <w:highlight w:val="none"/>
        </w:rPr>
        <w:t>”</w:t>
      </w:r>
      <w:r>
        <w:rPr>
          <w:rFonts w:hint="eastAsia" w:ascii="FangSong_GB2312" w:hAnsi="FangSong_GB2312" w:eastAsia="FangSong_GB2312" w:cs="Times New Roman"/>
          <w:sz w:val="32"/>
          <w:szCs w:val="24"/>
          <w:highlight w:val="none"/>
          <w:shd w:val="clear" w:color="auto" w:fill="auto"/>
        </w:rPr>
        <w:t>（以下简称“该项目”）。</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2.项目实施主体</w:t>
      </w:r>
    </w:p>
    <w:p>
      <w:pPr>
        <w:spacing w:beforeLines="0" w:afterLines="0" w:line="560" w:lineRule="exact"/>
        <w:ind w:firstLine="640" w:firstLineChars="200"/>
        <w:jc w:val="both"/>
        <w:rPr>
          <w:rFonts w:hint="default" w:ascii="FangSong_GB2312" w:hAnsi="FangSong_GB2312" w:eastAsia="FangSong_GB2312" w:cs="Times New Roman"/>
          <w:sz w:val="32"/>
          <w:lang w:val="en-US"/>
        </w:rPr>
      </w:pPr>
      <w:r>
        <w:rPr>
          <w:rFonts w:hint="eastAsia" w:ascii="FangSong_GB2312" w:hAnsi="FangSong_GB2312" w:eastAsia="FangSong_GB2312" w:cs="Times New Roman"/>
          <w:sz w:val="32"/>
        </w:rPr>
        <w:t>该项目的实施主体为</w:t>
      </w:r>
      <w:r>
        <w:rPr>
          <w:rFonts w:hint="eastAsia" w:ascii="FangSong_GB2312" w:hAnsi="FangSong_GB2312" w:eastAsia="FangSong_GB2312" w:cs="Times New Roman"/>
          <w:sz w:val="32"/>
          <w:szCs w:val="24"/>
          <w:highlight w:val="none"/>
          <w:u w:val="none"/>
        </w:rPr>
        <w:t>北京丽泽金融商务区管理</w:t>
      </w:r>
      <w:r>
        <w:rPr>
          <w:rFonts w:hint="eastAsia" w:ascii="FangSong_GB2312" w:hAnsi="FangSong_GB2312" w:eastAsia="FangSong_GB2312" w:cs="Times New Roman"/>
          <w:sz w:val="32"/>
          <w:szCs w:val="24"/>
          <w:highlight w:val="none"/>
          <w:u w:val="none"/>
          <w:lang w:eastAsia="zh-CN"/>
        </w:rPr>
        <w:t>委员会</w:t>
      </w:r>
      <w:r>
        <w:rPr>
          <w:rFonts w:hint="eastAsia" w:ascii="FangSong_GB2312" w:hAnsi="FangSong_GB2312" w:eastAsia="FangSong_GB2312" w:cs="Times New Roman"/>
          <w:sz w:val="32"/>
          <w:lang w:val="en-US" w:eastAsia="zh-CN"/>
        </w:rPr>
        <w:t>。</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（二）项目主要内容及目标</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1.项目主要内容</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（1）道路及交通工程  </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铣刨及加铺车行道14183延米；拆除及新建人行道3492.8平方米；新增机非隔离护栏761米；新建树池、更换阻车桩及重新施划交通标线。  </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（2）景观改造提升工程  </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绿化工程：新植落叶乔木48株、灌木12株、地被及花卉904平方米。  </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配套工程：同步实施庭院工程、灌溉工程、电气工程。  </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 xml:space="preserve">（3）通信工程  </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szCs w:val="24"/>
          <w:highlight w:val="none"/>
          <w:lang w:val="en-US" w:eastAsia="zh-CN"/>
        </w:rPr>
        <w:t>架空通信电缆入地81条。</w:t>
      </w:r>
    </w:p>
    <w:p>
      <w:pPr>
        <w:numPr>
          <w:ilvl w:val="0"/>
          <w:numId w:val="0"/>
        </w:num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lang w:val="en-US" w:eastAsia="zh-CN"/>
        </w:rPr>
        <w:t>2.</w:t>
      </w:r>
      <w:r>
        <w:rPr>
          <w:rFonts w:hint="eastAsia" w:ascii="FangSong_GB2312" w:hAnsi="FangSong_GB2312" w:eastAsia="FangSong_GB2312" w:cs="Times New Roman"/>
          <w:sz w:val="32"/>
        </w:rPr>
        <w:t>项目绩效年度目标</w:t>
      </w:r>
    </w:p>
    <w:p>
      <w:pPr>
        <w:numPr>
          <w:ilvl w:val="0"/>
          <w:numId w:val="0"/>
        </w:num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bCs w:val="0"/>
          <w:sz w:val="32"/>
          <w:szCs w:val="24"/>
          <w:highlight w:val="none"/>
        </w:rPr>
        <w:t>为不断提升丽泽金融商务区</w:t>
      </w:r>
      <w:r>
        <w:rPr>
          <w:rFonts w:hint="eastAsia" w:ascii="FangSong_GB2312" w:hAnsi="FangSong_GB2312" w:eastAsia="FangSong_GB2312" w:cs="Times New Roman"/>
          <w:bCs w:val="0"/>
          <w:sz w:val="32"/>
          <w:szCs w:val="24"/>
          <w:highlight w:val="none"/>
          <w:lang w:val="en-US" w:eastAsia="zh-CN"/>
        </w:rPr>
        <w:t>的</w:t>
      </w:r>
      <w:r>
        <w:rPr>
          <w:rFonts w:hint="eastAsia" w:ascii="FangSong_GB2312" w:hAnsi="FangSong_GB2312" w:eastAsia="FangSong_GB2312" w:cs="Times New Roman"/>
          <w:bCs w:val="0"/>
          <w:sz w:val="32"/>
          <w:szCs w:val="24"/>
          <w:highlight w:val="none"/>
        </w:rPr>
        <w:t>环境品质、完善服务水平、改善营商环境，将对丽泽南区四条道路沿线区域和周边绿地进行重点提升，总面积约11.2公顷，最终以实际发生面积为准。</w:t>
      </w:r>
    </w:p>
    <w:p>
      <w:pPr>
        <w:numPr>
          <w:ilvl w:val="0"/>
          <w:numId w:val="0"/>
        </w:num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w:t>
      </w:r>
      <w:r>
        <w:rPr>
          <w:rFonts w:hint="eastAsia" w:ascii="KaiTi_GB2312" w:hAnsi="KaiTi_GB2312" w:eastAsia="KaiTi_GB2312" w:cs="Times New Roman"/>
          <w:sz w:val="32"/>
          <w:lang w:val="en-US" w:eastAsia="zh-CN"/>
        </w:rPr>
        <w:t>三</w:t>
      </w:r>
      <w:r>
        <w:rPr>
          <w:rFonts w:hint="eastAsia" w:ascii="KaiTi_GB2312" w:hAnsi="KaiTi_GB2312" w:eastAsia="KaiTi_GB2312" w:cs="Times New Roman"/>
          <w:sz w:val="32"/>
        </w:rPr>
        <w:t>）项目资金情况</w:t>
      </w:r>
    </w:p>
    <w:p>
      <w:pPr>
        <w:numPr>
          <w:ilvl w:val="0"/>
          <w:numId w:val="0"/>
        </w:num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bCs w:val="0"/>
          <w:sz w:val="32"/>
          <w:szCs w:val="24"/>
          <w:highlight w:val="none"/>
        </w:rPr>
        <w:t>根据《</w:t>
      </w:r>
      <w:r>
        <w:rPr>
          <w:rFonts w:hint="eastAsia" w:ascii="FangSong_GB2312" w:hAnsi="FangSong_GB2312" w:eastAsia="FangSong_GB2312" w:cs="Times New Roman"/>
          <w:bCs w:val="0"/>
          <w:sz w:val="32"/>
          <w:szCs w:val="24"/>
          <w:highlight w:val="none"/>
          <w:lang w:eastAsia="zh-CN"/>
        </w:rPr>
        <w:t>丰台区发展和改革委员会关于丽泽金融商务区2023年重点区域综合整治提升项目评审意见的函</w:t>
      </w:r>
      <w:r>
        <w:rPr>
          <w:rFonts w:hint="eastAsia" w:ascii="FangSong_GB2312" w:hAnsi="FangSong_GB2312" w:eastAsia="FangSong_GB2312" w:cs="Times New Roman"/>
          <w:bCs w:val="0"/>
          <w:sz w:val="32"/>
          <w:szCs w:val="24"/>
          <w:highlight w:val="none"/>
        </w:rPr>
        <w:t>》（丰发改函〔2023〕64号）</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lang w:val="en-US" w:eastAsia="zh-CN"/>
        </w:rPr>
        <w:t>区发改委核定批复项目专项资金3,182.41万元，财政到位资金</w:t>
      </w:r>
      <w:r>
        <w:rPr>
          <w:rFonts w:hint="eastAsia" w:ascii="FangSong_GB2312" w:hAnsi="FangSong_GB2312" w:eastAsia="FangSong_GB2312" w:cs="Times New Roman"/>
          <w:sz w:val="32"/>
          <w:szCs w:val="24"/>
          <w:highlight w:val="none"/>
        </w:rPr>
        <w:t>2</w:t>
      </w:r>
      <w:r>
        <w:rPr>
          <w:rFonts w:hint="eastAsia" w:ascii="FangSong_GB2312" w:hAnsi="FangSong_GB2312" w:eastAsia="FangSong_GB2312" w:cs="Times New Roman"/>
          <w:sz w:val="32"/>
          <w:szCs w:val="24"/>
          <w:highlight w:val="none"/>
          <w:lang w:val="en-US" w:eastAsia="zh-CN"/>
        </w:rPr>
        <w:t>,</w:t>
      </w:r>
      <w:r>
        <w:rPr>
          <w:rFonts w:hint="eastAsia" w:ascii="FangSong_GB2312" w:hAnsi="FangSong_GB2312" w:eastAsia="FangSong_GB2312" w:cs="Times New Roman"/>
          <w:sz w:val="32"/>
          <w:szCs w:val="24"/>
          <w:highlight w:val="none"/>
        </w:rPr>
        <w:t>4</w:t>
      </w:r>
      <w:r>
        <w:rPr>
          <w:rFonts w:hint="eastAsia" w:ascii="FangSong_GB2312" w:hAnsi="FangSong_GB2312" w:eastAsia="FangSong_GB2312" w:cs="Times New Roman"/>
          <w:sz w:val="32"/>
          <w:szCs w:val="24"/>
          <w:highlight w:val="none"/>
          <w:lang w:val="en-US" w:eastAsia="zh-CN"/>
        </w:rPr>
        <w:t>93.76</w:t>
      </w:r>
      <w:r>
        <w:rPr>
          <w:rFonts w:hint="eastAsia" w:ascii="FangSong_GB2312" w:hAnsi="FangSong_GB2312" w:eastAsia="FangSong_GB2312" w:cs="Times New Roman"/>
          <w:bCs w:val="0"/>
          <w:sz w:val="32"/>
          <w:szCs w:val="24"/>
          <w:highlight w:val="none"/>
          <w:lang w:val="en-US" w:eastAsia="zh-CN"/>
        </w:rPr>
        <w:t>万元，2023年退回财政资金69.65万元，资金来源为北京市疏解整治促提升专项财政资金。</w:t>
      </w:r>
      <w:r>
        <w:rPr>
          <w:rFonts w:hint="eastAsia" w:ascii="FangSong_GB2312" w:hAnsi="FangSong_GB2312" w:eastAsia="FangSong_GB2312" w:cs="Times New Roman"/>
          <w:bCs w:val="0"/>
          <w:sz w:val="32"/>
          <w:szCs w:val="24"/>
          <w:highlight w:val="none"/>
        </w:rPr>
        <w:t>截至202</w:t>
      </w:r>
      <w:r>
        <w:rPr>
          <w:rFonts w:hint="eastAsia" w:ascii="FangSong_GB2312" w:hAnsi="FangSong_GB2312" w:eastAsia="FangSong_GB2312" w:cs="Times New Roman"/>
          <w:bCs w:val="0"/>
          <w:sz w:val="32"/>
          <w:szCs w:val="24"/>
          <w:highlight w:val="none"/>
          <w:lang w:val="en-US" w:eastAsia="zh-CN"/>
        </w:rPr>
        <w:t>4</w:t>
      </w:r>
      <w:r>
        <w:rPr>
          <w:rFonts w:hint="eastAsia" w:ascii="FangSong_GB2312" w:hAnsi="FangSong_GB2312" w:eastAsia="FangSong_GB2312" w:cs="Times New Roman"/>
          <w:bCs w:val="0"/>
          <w:sz w:val="32"/>
          <w:szCs w:val="24"/>
          <w:highlight w:val="none"/>
        </w:rPr>
        <w:t>年12月31日，</w:t>
      </w:r>
      <w:r>
        <w:rPr>
          <w:rFonts w:hint="eastAsia" w:ascii="FangSong_GB2312" w:hAnsi="FangSong_GB2312" w:eastAsia="FangSong_GB2312" w:cs="Times New Roman"/>
          <w:bCs w:val="0"/>
          <w:sz w:val="32"/>
          <w:szCs w:val="24"/>
          <w:highlight w:val="none"/>
          <w:lang w:val="en-US" w:eastAsia="zh-CN"/>
        </w:rPr>
        <w:t>依据</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rPr>
        <w:t>丰台区发展和改革委员会关于丽泽金融商务区</w:t>
      </w:r>
      <w:r>
        <w:rPr>
          <w:rFonts w:hint="eastAsia" w:ascii="FangSong_GB2312" w:hAnsi="FangSong_GB2312" w:eastAsia="FangSong_GB2312" w:cs="Times New Roman"/>
          <w:bCs w:val="0"/>
          <w:sz w:val="32"/>
          <w:szCs w:val="24"/>
          <w:highlight w:val="none"/>
          <w:lang w:eastAsia="zh-CN"/>
        </w:rPr>
        <w:t>2023年重点区域综合整治提升项目</w:t>
      </w:r>
      <w:r>
        <w:rPr>
          <w:rFonts w:hint="eastAsia" w:ascii="FangSong_GB2312" w:hAnsi="FangSong_GB2312" w:eastAsia="FangSong_GB2312" w:cs="Times New Roman"/>
          <w:bCs w:val="0"/>
          <w:sz w:val="32"/>
          <w:szCs w:val="24"/>
          <w:highlight w:val="none"/>
        </w:rPr>
        <w:t>决算审核意见的函</w:t>
      </w:r>
      <w:r>
        <w:rPr>
          <w:rFonts w:hint="eastAsia" w:ascii="FangSong_GB2312" w:hAnsi="FangSong_GB2312" w:eastAsia="FangSong_GB2312" w:cs="Times New Roman"/>
          <w:bCs w:val="0"/>
          <w:sz w:val="32"/>
          <w:szCs w:val="24"/>
          <w:highlight w:val="none"/>
          <w:lang w:eastAsia="zh-CN"/>
        </w:rPr>
        <w:t>》（丰发改函〔2024〕66 号）</w:t>
      </w:r>
      <w:r>
        <w:rPr>
          <w:rFonts w:hint="eastAsia" w:ascii="FangSong_GB2312" w:hAnsi="FangSong_GB2312" w:eastAsia="FangSong_GB2312" w:cs="Times New Roman"/>
          <w:bCs w:val="0"/>
          <w:sz w:val="32"/>
          <w:szCs w:val="24"/>
          <w:highlight w:val="none"/>
          <w:lang w:val="en-US" w:eastAsia="zh-CN"/>
        </w:rPr>
        <w:t>及相关审核材料显示：项目</w:t>
      </w:r>
      <w:r>
        <w:rPr>
          <w:rFonts w:hint="eastAsia" w:ascii="FangSong_GB2312" w:hAnsi="FangSong_GB2312" w:eastAsia="FangSong_GB2312" w:cs="Times New Roman"/>
          <w:sz w:val="32"/>
          <w:szCs w:val="24"/>
          <w:highlight w:val="none"/>
        </w:rPr>
        <w:t>决算</w:t>
      </w:r>
      <w:r>
        <w:rPr>
          <w:rFonts w:hint="eastAsia" w:ascii="FangSong_GB2312" w:hAnsi="FangSong_GB2312" w:eastAsia="FangSong_GB2312" w:cs="Times New Roman"/>
          <w:sz w:val="32"/>
          <w:szCs w:val="24"/>
          <w:highlight w:val="none"/>
          <w:lang w:val="en-US" w:eastAsia="zh-CN"/>
        </w:rPr>
        <w:t>审定</w:t>
      </w:r>
      <w:r>
        <w:rPr>
          <w:rFonts w:hint="eastAsia" w:ascii="FangSong_GB2312" w:hAnsi="FangSong_GB2312" w:eastAsia="FangSong_GB2312" w:cs="Times New Roman"/>
          <w:sz w:val="32"/>
          <w:szCs w:val="24"/>
          <w:highlight w:val="none"/>
        </w:rPr>
        <w:t>金额2</w:t>
      </w:r>
      <w:r>
        <w:rPr>
          <w:rFonts w:hint="eastAsia" w:ascii="FangSong_GB2312" w:hAnsi="FangSong_GB2312" w:eastAsia="FangSong_GB2312" w:cs="Times New Roman"/>
          <w:sz w:val="32"/>
          <w:szCs w:val="24"/>
          <w:highlight w:val="none"/>
          <w:lang w:val="en-US" w:eastAsia="zh-CN"/>
        </w:rPr>
        <w:t>,</w:t>
      </w:r>
      <w:r>
        <w:rPr>
          <w:rFonts w:hint="eastAsia" w:ascii="FangSong_GB2312" w:hAnsi="FangSong_GB2312" w:eastAsia="FangSong_GB2312" w:cs="Times New Roman"/>
          <w:sz w:val="32"/>
          <w:szCs w:val="24"/>
          <w:highlight w:val="none"/>
        </w:rPr>
        <w:t>489</w:t>
      </w:r>
      <w:r>
        <w:rPr>
          <w:rFonts w:hint="eastAsia" w:ascii="FangSong_GB2312" w:hAnsi="FangSong_GB2312" w:eastAsia="FangSong_GB2312" w:cs="Times New Roman"/>
          <w:sz w:val="32"/>
          <w:szCs w:val="24"/>
          <w:highlight w:val="none"/>
          <w:lang w:val="en-US" w:eastAsia="zh-CN"/>
        </w:rPr>
        <w:t>.</w:t>
      </w:r>
      <w:r>
        <w:rPr>
          <w:rFonts w:hint="eastAsia" w:ascii="FangSong_GB2312" w:hAnsi="FangSong_GB2312" w:eastAsia="FangSong_GB2312" w:cs="Times New Roman"/>
          <w:sz w:val="32"/>
          <w:szCs w:val="24"/>
          <w:highlight w:val="none"/>
        </w:rPr>
        <w:t>95万元，</w:t>
      </w:r>
      <w:r>
        <w:rPr>
          <w:rFonts w:hint="eastAsia" w:ascii="FangSong_GB2312" w:hAnsi="FangSong_GB2312" w:eastAsia="FangSong_GB2312" w:cs="Times New Roman"/>
          <w:bCs w:val="0"/>
          <w:sz w:val="32"/>
          <w:szCs w:val="24"/>
          <w:highlight w:val="none"/>
          <w:lang w:val="en-US" w:eastAsia="zh-CN"/>
        </w:rPr>
        <w:t>项目</w:t>
      </w:r>
      <w:r>
        <w:rPr>
          <w:rFonts w:hint="eastAsia" w:ascii="FangSong_GB2312" w:hAnsi="FangSong_GB2312" w:eastAsia="FangSong_GB2312" w:cs="Times New Roman"/>
          <w:sz w:val="32"/>
          <w:szCs w:val="24"/>
          <w:highlight w:val="none"/>
          <w:lang w:val="en-US" w:eastAsia="zh-CN"/>
        </w:rPr>
        <w:t>实际支出</w:t>
      </w:r>
      <w:r>
        <w:rPr>
          <w:rFonts w:hint="eastAsia" w:ascii="FangSong_GB2312" w:hAnsi="FangSong_GB2312" w:eastAsia="FangSong_GB2312" w:cs="Times New Roman"/>
          <w:sz w:val="32"/>
          <w:szCs w:val="24"/>
          <w:highlight w:val="none"/>
        </w:rPr>
        <w:t>2,424.11万元</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bCs w:val="0"/>
          <w:sz w:val="32"/>
          <w:szCs w:val="24"/>
          <w:highlight w:val="none"/>
          <w:lang w:val="en-US" w:eastAsia="zh-CN"/>
        </w:rPr>
        <w:t>其中，工程费用支出2,128.87万元，项目二类费支出295.24万元</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bCs w:val="0"/>
          <w:sz w:val="32"/>
          <w:szCs w:val="24"/>
          <w:highlight w:val="none"/>
          <w:lang w:val="en-US" w:eastAsia="zh-CN"/>
        </w:rPr>
        <w:t>剩余</w:t>
      </w:r>
      <w:bookmarkStart w:id="16" w:name="OLE_LINK2"/>
      <w:r>
        <w:rPr>
          <w:rFonts w:hint="eastAsia" w:ascii="FangSong_GB2312" w:hAnsi="FangSong_GB2312" w:eastAsia="FangSong_GB2312" w:cs="Times New Roman"/>
          <w:bCs w:val="0"/>
          <w:sz w:val="32"/>
          <w:szCs w:val="24"/>
          <w:highlight w:val="none"/>
          <w:lang w:val="en-US" w:eastAsia="zh-CN"/>
        </w:rPr>
        <w:t>65.84</w:t>
      </w:r>
      <w:bookmarkEnd w:id="16"/>
      <w:r>
        <w:rPr>
          <w:rFonts w:hint="eastAsia" w:ascii="FangSong_GB2312" w:hAnsi="FangSong_GB2312" w:eastAsia="FangSong_GB2312" w:cs="Times New Roman"/>
          <w:bCs w:val="0"/>
          <w:sz w:val="32"/>
          <w:szCs w:val="24"/>
          <w:highlight w:val="none"/>
          <w:lang w:val="en-US" w:eastAsia="zh-CN"/>
        </w:rPr>
        <w:t>万元作为工程质保金，将按合同约定在质保期满后完成支付。</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二、绩效评价情况</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（一）绩效评价方法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FangSong_GB2312" w:hAnsi="FangSong_GB2312" w:eastAsia="FangSong_GB2312" w:cs="Times New Roman"/>
          <w:sz w:val="32"/>
        </w:rPr>
      </w:pPr>
      <w:r>
        <w:rPr>
          <w:rFonts w:hint="eastAsia" w:ascii="FangSong_GB2312" w:hAnsi="FangSong_GB2312" w:eastAsia="FangSong_GB2312" w:cs="Times New Roman"/>
          <w:sz w:val="32"/>
        </w:rPr>
        <w:t>本次绩效评价遵循“客观、公正、科学、规范”的原则，结合项目的特点，采用目标预定与实施效果比较法、专家评议法等方法，定性与定量相结合，从决策管理、过程管理、项目产出、项目效益4 个方面对本项目开展绩效评价。绩效评价指标体系详见附件。</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（二）绩效评价结果</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经专家评议，该项目综合评价得分</w:t>
      </w:r>
      <w:r>
        <w:rPr>
          <w:rFonts w:hint="eastAsia" w:ascii="FangSong_GB2312" w:hAnsi="FangSong_GB2312" w:eastAsia="FangSong_GB2312" w:cs="Times New Roman"/>
          <w:color w:val="auto"/>
          <w:sz w:val="32"/>
          <w:szCs w:val="24"/>
          <w:highlight w:val="none"/>
          <w:lang w:val="en-US" w:eastAsia="zh-CN"/>
        </w:rPr>
        <w:t>81.23</w:t>
      </w:r>
      <w:r>
        <w:rPr>
          <w:rFonts w:hint="eastAsia" w:ascii="FangSong_GB2312" w:hAnsi="FangSong_GB2312" w:eastAsia="FangSong_GB2312" w:cs="Times New Roman"/>
          <w:sz w:val="32"/>
        </w:rPr>
        <w:t>分，绩效级别评定为“</w:t>
      </w:r>
      <w:r>
        <w:rPr>
          <w:rFonts w:hint="eastAsia" w:ascii="FangSong_GB2312" w:hAnsi="FangSong_GB2312" w:eastAsia="FangSong_GB2312" w:cs="Times New Roman"/>
          <w:sz w:val="32"/>
          <w:szCs w:val="24"/>
          <w:highlight w:val="none"/>
          <w:lang w:val="en-US" w:eastAsia="zh-CN"/>
        </w:rPr>
        <w:t>良</w:t>
      </w:r>
      <w:r>
        <w:rPr>
          <w:rFonts w:hint="eastAsia" w:ascii="FangSong_GB2312" w:hAnsi="FangSong_GB2312" w:eastAsia="FangSong_GB2312" w:cs="Times New Roman"/>
          <w:sz w:val="32"/>
        </w:rPr>
        <w:t>”。其中：项目决策得分</w:t>
      </w:r>
      <w:r>
        <w:rPr>
          <w:rFonts w:hint="eastAsia" w:ascii="FangSong_GB2312" w:hAnsi="FangSong_GB2312" w:eastAsia="FangSong_GB2312" w:cs="Times New Roman"/>
          <w:color w:val="auto"/>
          <w:sz w:val="32"/>
          <w:szCs w:val="24"/>
          <w:highlight w:val="none"/>
          <w:lang w:val="en-US" w:eastAsia="zh-CN"/>
        </w:rPr>
        <w:t>7.26</w:t>
      </w:r>
      <w:r>
        <w:rPr>
          <w:rFonts w:hint="eastAsia" w:ascii="FangSong_GB2312" w:hAnsi="FangSong_GB2312" w:eastAsia="FangSong_GB2312" w:cs="Times New Roman"/>
          <w:sz w:val="32"/>
        </w:rPr>
        <w:t>分、项目过程得分</w:t>
      </w:r>
      <w:r>
        <w:rPr>
          <w:rFonts w:hint="eastAsia" w:ascii="FangSong_GB2312" w:hAnsi="FangSong_GB2312" w:eastAsia="FangSong_GB2312" w:cs="Times New Roman"/>
          <w:sz w:val="32"/>
          <w:szCs w:val="24"/>
          <w:highlight w:val="none"/>
          <w:lang w:val="en-US" w:eastAsia="zh-CN"/>
        </w:rPr>
        <w:t>15.85</w:t>
      </w:r>
      <w:r>
        <w:rPr>
          <w:rFonts w:hint="eastAsia" w:ascii="FangSong_GB2312" w:hAnsi="FangSong_GB2312" w:eastAsia="FangSong_GB2312" w:cs="Times New Roman"/>
          <w:sz w:val="32"/>
        </w:rPr>
        <w:t>分、项目产出得分</w:t>
      </w:r>
      <w:r>
        <w:rPr>
          <w:rFonts w:hint="eastAsia" w:ascii="FangSong_GB2312" w:hAnsi="FangSong_GB2312" w:eastAsia="FangSong_GB2312" w:cs="Times New Roman"/>
          <w:sz w:val="32"/>
          <w:szCs w:val="24"/>
          <w:highlight w:val="none"/>
          <w:lang w:val="en-US" w:eastAsia="zh-CN"/>
        </w:rPr>
        <w:t>34.62</w:t>
      </w:r>
      <w:r>
        <w:rPr>
          <w:rFonts w:hint="eastAsia" w:ascii="FangSong_GB2312" w:hAnsi="FangSong_GB2312" w:eastAsia="FangSong_GB2312" w:cs="Times New Roman"/>
          <w:sz w:val="32"/>
        </w:rPr>
        <w:t>分、项目效益得分</w:t>
      </w:r>
      <w:r>
        <w:rPr>
          <w:rFonts w:hint="eastAsia" w:ascii="FangSong_GB2312" w:hAnsi="FangSong_GB2312" w:eastAsia="FangSong_GB2312" w:cs="Times New Roman"/>
          <w:sz w:val="32"/>
          <w:szCs w:val="24"/>
          <w:highlight w:val="none"/>
          <w:lang w:val="en-US" w:eastAsia="zh-CN"/>
        </w:rPr>
        <w:t>23.50</w:t>
      </w:r>
      <w:r>
        <w:rPr>
          <w:rFonts w:hint="eastAsia" w:ascii="FangSong_GB2312" w:hAnsi="FangSong_GB2312" w:eastAsia="FangSong_GB2312" w:cs="Times New Roman"/>
          <w:sz w:val="32"/>
        </w:rPr>
        <w:t>分。</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sz w:val="32"/>
        </w:rPr>
        <w:t>评价结论：“</w:t>
      </w:r>
      <w:r>
        <w:rPr>
          <w:rFonts w:hint="eastAsia" w:ascii="FangSong_GB2312" w:hAnsi="FangSong_GB2312" w:eastAsia="FangSong_GB2312" w:cs="Times New Roman"/>
          <w:sz w:val="32"/>
          <w:szCs w:val="24"/>
          <w:lang w:val="en-US" w:eastAsia="zh-CN"/>
        </w:rPr>
        <w:t>良</w:t>
      </w:r>
      <w:r>
        <w:rPr>
          <w:rFonts w:hint="eastAsia" w:ascii="FangSong_GB2312" w:hAnsi="FangSong_GB2312" w:eastAsia="FangSong_GB2312" w:cs="Times New Roman"/>
          <w:sz w:val="32"/>
        </w:rPr>
        <w:t>”</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三、项目产出及绩效</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（一）项目产出情况</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1.产出数量情况分析</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rPr>
      </w:pPr>
      <w:r>
        <w:rPr>
          <w:rFonts w:hint="eastAsia" w:ascii="FangSong_GB2312" w:hAnsi="FangSong_GB2312" w:eastAsia="FangSong_GB2312" w:cs="Times New Roman"/>
          <w:sz w:val="32"/>
          <w:szCs w:val="24"/>
          <w:highlight w:val="none"/>
        </w:rPr>
        <w:t>该项目已完成对凤凰嘴街、金泽东路、骆驼湾街东段、金泽路这四条道路的整治提升工作</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rPr>
        <w:t>项目建设内容涵盖道路及交通工程、景观改造提升工程（含绿化、庭院、给排水、电气等分项工程）、通信架空线迁改入地工程。</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rPr>
      </w:pPr>
      <w:r>
        <w:rPr>
          <w:rFonts w:hint="eastAsia" w:ascii="FangSong_GB2312" w:hAnsi="FangSong_GB2312" w:eastAsia="FangSong_GB2312" w:cs="Times New Roman"/>
          <w:sz w:val="32"/>
          <w:szCs w:val="24"/>
          <w:highlight w:val="none"/>
        </w:rPr>
        <w:t>在道路及交通工程方面，完成车行道铣刨及加铺14183平方米，拆除并新建人行道3492.8平方米，新增机非隔离护栏761米，并同步实施树池新建、阻车桩更换、交通标线标识重新施划等工程，全面提升道路通行安全与交通秩序。</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rPr>
      </w:pPr>
      <w:r>
        <w:rPr>
          <w:rFonts w:hint="eastAsia" w:ascii="FangSong_GB2312" w:hAnsi="FangSong_GB2312" w:eastAsia="FangSong_GB2312" w:cs="Times New Roman"/>
          <w:sz w:val="32"/>
          <w:szCs w:val="24"/>
          <w:highlight w:val="none"/>
        </w:rPr>
        <w:t>景观改造提升工程新植48株落叶乔木、12株灌木，铺设地被及花卉904平方米，同时配套实施庭院、灌溉、电气等工程，完善公共空间功能，提升区域景观品质。</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rPr>
      </w:pPr>
      <w:r>
        <w:rPr>
          <w:rFonts w:hint="eastAsia" w:ascii="FangSong_GB2312" w:hAnsi="FangSong_GB2312" w:eastAsia="FangSong_GB2312" w:cs="Times New Roman"/>
          <w:sz w:val="32"/>
          <w:szCs w:val="24"/>
          <w:highlight w:val="none"/>
        </w:rPr>
        <w:t>通信架空线迁改入地工程完成81条架空通信电缆的入地改造，进一步优化城市天际线，助力城市精细化管理水平提升。</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bookmarkStart w:id="17" w:name="_Toc9239"/>
      <w:r>
        <w:rPr>
          <w:rFonts w:hint="eastAsia" w:ascii="FangSong_GB2312" w:hAnsi="FangSong_GB2312" w:eastAsia="FangSong_GB2312" w:cs="Times New Roman"/>
          <w:kern w:val="2"/>
          <w:sz w:val="32"/>
          <w:szCs w:val="24"/>
          <w:highlight w:val="none"/>
        </w:rPr>
        <w:t>2.产出质量情况分析</w:t>
      </w:r>
      <w:bookmarkEnd w:id="17"/>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lang w:val="en-US" w:eastAsia="zh-CN"/>
        </w:rPr>
      </w:pPr>
      <w:r>
        <w:rPr>
          <w:rFonts w:hint="eastAsia" w:ascii="FangSong_GB2312" w:hAnsi="FangSong_GB2312" w:eastAsia="FangSong_GB2312" w:cs="Times New Roman"/>
          <w:sz w:val="32"/>
          <w:szCs w:val="24"/>
          <w:highlight w:val="none"/>
        </w:rPr>
        <w:t>该项目工程质量验收结果显示合格率已达100%</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rPr>
        <w:t>从数据层面实现了既定目标。但</w:t>
      </w:r>
      <w:r>
        <w:rPr>
          <w:rFonts w:hint="eastAsia" w:ascii="FangSong_GB2312" w:hAnsi="FangSong_GB2312" w:eastAsia="FangSong_GB2312" w:cs="Times New Roman"/>
          <w:sz w:val="32"/>
          <w:szCs w:val="24"/>
          <w:highlight w:val="none"/>
          <w:lang w:val="en-US" w:eastAsia="zh-CN"/>
        </w:rPr>
        <w:t>从现场踏勘情况看工程质量略有瑕疵。如，部分区域的</w:t>
      </w:r>
      <w:r>
        <w:rPr>
          <w:rFonts w:hint="eastAsia" w:ascii="FangSong_GB2312" w:hAnsi="FangSong_GB2312" w:eastAsia="FangSong_GB2312" w:cs="Times New Roman"/>
          <w:sz w:val="32"/>
          <w:szCs w:val="24"/>
          <w:highlight w:val="none"/>
          <w:lang w:eastAsia="zh-CN"/>
        </w:rPr>
        <w:t>马路牙</w:t>
      </w:r>
      <w:r>
        <w:rPr>
          <w:rFonts w:hint="eastAsia" w:ascii="FangSong_GB2312" w:hAnsi="FangSong_GB2312" w:eastAsia="FangSong_GB2312" w:cs="Times New Roman"/>
          <w:sz w:val="32"/>
          <w:szCs w:val="24"/>
          <w:highlight w:val="none"/>
          <w:lang w:val="en-US" w:eastAsia="zh-CN"/>
        </w:rPr>
        <w:t>铺设、</w:t>
      </w:r>
      <w:r>
        <w:rPr>
          <w:rFonts w:hint="eastAsia" w:ascii="FangSong_GB2312" w:hAnsi="FangSong_GB2312" w:eastAsia="FangSong_GB2312" w:cs="Times New Roman"/>
          <w:sz w:val="32"/>
          <w:szCs w:val="24"/>
          <w:highlight w:val="none"/>
          <w:lang w:eastAsia="zh-CN"/>
        </w:rPr>
        <w:t>沥青混凝土面层</w:t>
      </w:r>
      <w:r>
        <w:rPr>
          <w:rFonts w:hint="eastAsia" w:ascii="FangSong_GB2312" w:hAnsi="FangSong_GB2312" w:eastAsia="FangSong_GB2312" w:cs="Times New Roman"/>
          <w:sz w:val="32"/>
          <w:szCs w:val="24"/>
          <w:highlight w:val="none"/>
          <w:lang w:val="en-US" w:eastAsia="zh-CN"/>
        </w:rPr>
        <w:t>施工略显</w:t>
      </w:r>
      <w:r>
        <w:rPr>
          <w:rFonts w:hint="eastAsia" w:ascii="FangSong_GB2312" w:hAnsi="FangSong_GB2312" w:eastAsia="FangSong_GB2312" w:cs="Times New Roman"/>
          <w:sz w:val="32"/>
          <w:szCs w:val="24"/>
          <w:highlight w:val="none"/>
          <w:lang w:eastAsia="zh-CN"/>
        </w:rPr>
        <w:t>粗糙；</w:t>
      </w:r>
      <w:r>
        <w:rPr>
          <w:rFonts w:hint="eastAsia" w:ascii="FangSong_GB2312" w:hAnsi="FangSong_GB2312" w:eastAsia="FangSong_GB2312" w:cs="Times New Roman"/>
          <w:sz w:val="32"/>
          <w:szCs w:val="24"/>
          <w:highlight w:val="none"/>
          <w:lang w:val="en-US" w:eastAsia="zh-CN"/>
        </w:rPr>
        <w:t>部分城市家具</w:t>
      </w:r>
      <w:r>
        <w:rPr>
          <w:rFonts w:hint="eastAsia" w:ascii="FangSong_GB2312" w:hAnsi="FangSong_GB2312" w:eastAsia="FangSong_GB2312" w:cs="Times New Roman"/>
          <w:sz w:val="32"/>
          <w:szCs w:val="24"/>
          <w:highlight w:val="none"/>
          <w:lang w:eastAsia="zh-CN"/>
        </w:rPr>
        <w:t>刷漆</w:t>
      </w:r>
      <w:r>
        <w:rPr>
          <w:rFonts w:hint="eastAsia" w:ascii="FangSong_GB2312" w:hAnsi="FangSong_GB2312" w:eastAsia="FangSong_GB2312" w:cs="Times New Roman"/>
          <w:sz w:val="32"/>
          <w:szCs w:val="24"/>
          <w:highlight w:val="none"/>
          <w:lang w:val="en-US" w:eastAsia="zh-CN"/>
        </w:rPr>
        <w:t>不够</w:t>
      </w:r>
      <w:r>
        <w:rPr>
          <w:rFonts w:hint="eastAsia" w:ascii="FangSong_GB2312" w:hAnsi="FangSong_GB2312" w:eastAsia="FangSong_GB2312" w:cs="Times New Roman"/>
          <w:sz w:val="32"/>
          <w:szCs w:val="24"/>
          <w:highlight w:val="none"/>
          <w:lang w:eastAsia="zh-CN"/>
        </w:rPr>
        <w:t>均匀。</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bookmarkStart w:id="18" w:name="_Toc5635"/>
      <w:r>
        <w:rPr>
          <w:rFonts w:hint="eastAsia" w:ascii="FangSong_GB2312" w:hAnsi="FangSong_GB2312" w:eastAsia="FangSong_GB2312" w:cs="Times New Roman"/>
          <w:kern w:val="2"/>
          <w:sz w:val="32"/>
          <w:szCs w:val="24"/>
          <w:highlight w:val="none"/>
        </w:rPr>
        <w:t>3.产出时效情况分析</w:t>
      </w:r>
      <w:bookmarkEnd w:id="18"/>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sz w:val="32"/>
          <w:szCs w:val="24"/>
          <w:highlight w:val="none"/>
        </w:rPr>
        <w:t>该项目</w:t>
      </w:r>
      <w:r>
        <w:rPr>
          <w:rFonts w:hint="eastAsia" w:ascii="FangSong_GB2312" w:hAnsi="FangSong_GB2312" w:eastAsia="FangSong_GB2312" w:cs="Times New Roman"/>
          <w:sz w:val="32"/>
          <w:szCs w:val="24"/>
          <w:highlight w:val="none"/>
          <w:lang w:val="en-US" w:eastAsia="zh-CN"/>
        </w:rPr>
        <w:t>于</w:t>
      </w:r>
      <w:r>
        <w:rPr>
          <w:rFonts w:hint="eastAsia" w:ascii="FangSong_GB2312" w:hAnsi="FangSong_GB2312" w:eastAsia="FangSong_GB2312" w:cs="Times New Roman"/>
          <w:sz w:val="32"/>
          <w:szCs w:val="24"/>
          <w:highlight w:val="none"/>
        </w:rPr>
        <w:t>2023年</w:t>
      </w:r>
      <w:r>
        <w:rPr>
          <w:rFonts w:hint="eastAsia" w:ascii="FangSong_GB2312" w:hAnsi="FangSong_GB2312" w:eastAsia="FangSong_GB2312" w:cs="Times New Roman"/>
          <w:sz w:val="32"/>
          <w:szCs w:val="24"/>
          <w:highlight w:val="none"/>
          <w:lang w:val="en-US" w:eastAsia="zh-CN"/>
        </w:rPr>
        <w:t>12</w:t>
      </w:r>
      <w:r>
        <w:rPr>
          <w:rFonts w:hint="eastAsia" w:ascii="FangSong_GB2312" w:hAnsi="FangSong_GB2312" w:eastAsia="FangSong_GB2312" w:cs="Times New Roman"/>
          <w:sz w:val="32"/>
          <w:szCs w:val="24"/>
          <w:highlight w:val="none"/>
        </w:rPr>
        <w:t>月</w:t>
      </w:r>
      <w:r>
        <w:rPr>
          <w:rFonts w:hint="eastAsia" w:ascii="FangSong_GB2312" w:hAnsi="FangSong_GB2312" w:eastAsia="FangSong_GB2312" w:cs="Times New Roman"/>
          <w:sz w:val="32"/>
          <w:szCs w:val="24"/>
          <w:highlight w:val="none"/>
          <w:lang w:val="en-US" w:eastAsia="zh-CN"/>
        </w:rPr>
        <w:t>正式</w:t>
      </w:r>
      <w:r>
        <w:rPr>
          <w:rFonts w:hint="eastAsia" w:ascii="FangSong_GB2312" w:hAnsi="FangSong_GB2312" w:eastAsia="FangSong_GB2312" w:cs="Times New Roman"/>
          <w:sz w:val="32"/>
          <w:szCs w:val="24"/>
          <w:highlight w:val="none"/>
        </w:rPr>
        <w:t>启动</w:t>
      </w:r>
      <w:r>
        <w:rPr>
          <w:rFonts w:hint="eastAsia" w:ascii="FangSong_GB2312" w:hAnsi="FangSong_GB2312" w:eastAsia="FangSong_GB2312" w:cs="Times New Roman"/>
          <w:sz w:val="32"/>
          <w:szCs w:val="24"/>
          <w:highlight w:val="none"/>
          <w:lang w:val="en-US" w:eastAsia="zh-CN"/>
        </w:rPr>
        <w:t>建设</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rPr>
        <w:t>2024年4月完成了道路工程、交通工程、架空入地工程及电气工程等</w:t>
      </w:r>
      <w:r>
        <w:rPr>
          <w:rFonts w:hint="eastAsia" w:ascii="FangSong_GB2312" w:hAnsi="FangSong_GB2312" w:eastAsia="FangSong_GB2312" w:cs="Times New Roman"/>
          <w:sz w:val="32"/>
          <w:szCs w:val="24"/>
          <w:highlight w:val="none"/>
          <w:lang w:val="en-US" w:eastAsia="zh-CN"/>
        </w:rPr>
        <w:t>重要建设内容，并通过阶段性</w:t>
      </w:r>
      <w:r>
        <w:rPr>
          <w:rFonts w:hint="eastAsia" w:ascii="FangSong_GB2312" w:hAnsi="FangSong_GB2312" w:eastAsia="FangSong_GB2312" w:cs="Times New Roman"/>
          <w:sz w:val="32"/>
          <w:szCs w:val="24"/>
          <w:highlight w:val="none"/>
        </w:rPr>
        <w:t>验收</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lang w:val="en-US" w:eastAsia="zh-CN"/>
        </w:rPr>
        <w:t>随后</w:t>
      </w:r>
      <w:r>
        <w:rPr>
          <w:rFonts w:hint="eastAsia" w:ascii="FangSong_GB2312" w:hAnsi="FangSong_GB2312" w:eastAsia="FangSong_GB2312" w:cs="Times New Roman"/>
          <w:sz w:val="32"/>
          <w:szCs w:val="24"/>
          <w:highlight w:val="none"/>
        </w:rPr>
        <w:t>园林绿化工程及配套灌溉工程</w:t>
      </w:r>
      <w:r>
        <w:rPr>
          <w:rFonts w:hint="eastAsia" w:ascii="FangSong_GB2312" w:hAnsi="FangSong_GB2312" w:eastAsia="FangSong_GB2312" w:cs="Times New Roman"/>
          <w:sz w:val="32"/>
          <w:szCs w:val="24"/>
          <w:highlight w:val="none"/>
          <w:lang w:val="en-US" w:eastAsia="zh-CN"/>
        </w:rPr>
        <w:t>持续推进</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lang w:val="en-US" w:eastAsia="zh-CN"/>
        </w:rPr>
        <w:t>至2024年8</w:t>
      </w:r>
      <w:r>
        <w:rPr>
          <w:rFonts w:hint="eastAsia" w:ascii="FangSong_GB2312" w:hAnsi="FangSong_GB2312" w:eastAsia="FangSong_GB2312" w:cs="Times New Roman"/>
          <w:sz w:val="32"/>
          <w:szCs w:val="24"/>
          <w:highlight w:val="none"/>
        </w:rPr>
        <w:t>月</w:t>
      </w:r>
      <w:r>
        <w:rPr>
          <w:rFonts w:hint="eastAsia" w:ascii="FangSong_GB2312" w:hAnsi="FangSong_GB2312" w:eastAsia="FangSong_GB2312" w:cs="Times New Roman"/>
          <w:sz w:val="32"/>
          <w:szCs w:val="24"/>
          <w:highlight w:val="none"/>
          <w:lang w:val="en-US" w:eastAsia="zh-CN"/>
        </w:rPr>
        <w:t>全部完成</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sz w:val="32"/>
          <w:szCs w:val="24"/>
          <w:highlight w:val="none"/>
          <w:lang w:val="en-US" w:eastAsia="zh-CN"/>
        </w:rPr>
        <w:t>整体来看，项目</w:t>
      </w:r>
      <w:r>
        <w:rPr>
          <w:rFonts w:hint="eastAsia" w:ascii="FangSong_GB2312" w:hAnsi="FangSong_GB2312" w:eastAsia="FangSong_GB2312" w:cs="Times New Roman"/>
          <w:sz w:val="32"/>
          <w:szCs w:val="24"/>
          <w:highlight w:val="none"/>
          <w:lang w:eastAsia="zh-CN"/>
        </w:rPr>
        <w:t>工程施工工期约</w:t>
      </w:r>
      <w:r>
        <w:rPr>
          <w:rFonts w:hint="eastAsia" w:ascii="FangSong_GB2312" w:hAnsi="FangSong_GB2312" w:eastAsia="FangSong_GB2312" w:cs="Times New Roman"/>
          <w:sz w:val="32"/>
          <w:szCs w:val="24"/>
          <w:highlight w:val="none"/>
          <w:lang w:val="en-US" w:eastAsia="zh-CN"/>
        </w:rPr>
        <w:t>为</w:t>
      </w:r>
      <w:r>
        <w:rPr>
          <w:rFonts w:hint="eastAsia" w:ascii="FangSong_GB2312" w:hAnsi="FangSong_GB2312" w:eastAsia="FangSong_GB2312" w:cs="Times New Roman"/>
          <w:sz w:val="32"/>
          <w:szCs w:val="24"/>
          <w:highlight w:val="none"/>
          <w:lang w:eastAsia="zh-CN"/>
        </w:rPr>
        <w:t>8个月。</w:t>
      </w:r>
      <w:r>
        <w:rPr>
          <w:rFonts w:hint="eastAsia" w:ascii="FangSong_GB2312" w:hAnsi="FangSong_GB2312" w:eastAsia="FangSong_GB2312" w:cs="Times New Roman"/>
          <w:sz w:val="32"/>
          <w:szCs w:val="24"/>
          <w:highlight w:val="none"/>
          <w:lang w:val="en-US" w:eastAsia="zh-CN"/>
        </w:rPr>
        <w:t>除</w:t>
      </w:r>
      <w:r>
        <w:rPr>
          <w:rFonts w:hint="eastAsia" w:ascii="FangSong_GB2312" w:hAnsi="FangSong_GB2312" w:eastAsia="FangSong_GB2312" w:cs="Times New Roman"/>
          <w:sz w:val="32"/>
          <w:szCs w:val="24"/>
          <w:highlight w:val="none"/>
        </w:rPr>
        <w:t>园林绿化工程及配套实施</w:t>
      </w:r>
      <w:r>
        <w:rPr>
          <w:rFonts w:hint="eastAsia" w:ascii="FangSong_GB2312" w:hAnsi="FangSong_GB2312" w:eastAsia="FangSong_GB2312" w:cs="Times New Roman"/>
          <w:sz w:val="32"/>
          <w:szCs w:val="24"/>
          <w:highlight w:val="none"/>
          <w:lang w:val="en-US" w:eastAsia="zh-CN"/>
        </w:rPr>
        <w:t>部分</w:t>
      </w:r>
      <w:r>
        <w:rPr>
          <w:rFonts w:hint="eastAsia" w:ascii="FangSong_GB2312" w:hAnsi="FangSong_GB2312" w:eastAsia="FangSong_GB2312" w:cs="Times New Roman"/>
          <w:sz w:val="32"/>
          <w:szCs w:val="24"/>
          <w:highlight w:val="none"/>
        </w:rPr>
        <w:t>未按照预期</w:t>
      </w:r>
      <w:r>
        <w:rPr>
          <w:rFonts w:hint="eastAsia" w:ascii="FangSong_GB2312" w:hAnsi="FangSong_GB2312" w:eastAsia="FangSong_GB2312" w:cs="Times New Roman"/>
          <w:sz w:val="32"/>
          <w:szCs w:val="24"/>
          <w:highlight w:val="none"/>
          <w:lang w:val="en-US" w:eastAsia="zh-CN"/>
        </w:rPr>
        <w:t>时效目标</w:t>
      </w:r>
      <w:r>
        <w:rPr>
          <w:rFonts w:hint="eastAsia" w:ascii="FangSong_GB2312" w:hAnsi="FangSong_GB2312" w:eastAsia="FangSong_GB2312" w:cs="Times New Roman"/>
          <w:sz w:val="32"/>
          <w:szCs w:val="24"/>
          <w:highlight w:val="none"/>
        </w:rPr>
        <w:t>完成</w:t>
      </w:r>
      <w:r>
        <w:rPr>
          <w:rFonts w:hint="eastAsia" w:ascii="FangSong_GB2312" w:hAnsi="FangSong_GB2312" w:eastAsia="FangSong_GB2312" w:cs="Times New Roman"/>
          <w:sz w:val="32"/>
          <w:szCs w:val="24"/>
          <w:highlight w:val="none"/>
          <w:lang w:val="en-US" w:eastAsia="zh-CN"/>
        </w:rPr>
        <w:t>外，</w:t>
      </w:r>
      <w:r>
        <w:rPr>
          <w:rFonts w:hint="eastAsia" w:ascii="FangSong_GB2312" w:hAnsi="FangSong_GB2312" w:eastAsia="FangSong_GB2312" w:cs="Times New Roman"/>
          <w:sz w:val="32"/>
          <w:szCs w:val="24"/>
          <w:highlight w:val="none"/>
        </w:rPr>
        <w:t>道路工程、交通工程、架空入地工程及电气工程等</w:t>
      </w:r>
      <w:r>
        <w:rPr>
          <w:rFonts w:hint="eastAsia" w:ascii="FangSong_GB2312" w:hAnsi="FangSong_GB2312" w:eastAsia="FangSong_GB2312" w:cs="Times New Roman"/>
          <w:sz w:val="32"/>
          <w:szCs w:val="24"/>
          <w:highlight w:val="none"/>
          <w:lang w:val="en-US" w:eastAsia="zh-CN"/>
        </w:rPr>
        <w:t>工程遵循既定计划，完成建设与验收工作</w:t>
      </w:r>
      <w:r>
        <w:rPr>
          <w:rFonts w:hint="eastAsia" w:ascii="FangSong_GB2312" w:hAnsi="FangSong_GB2312" w:eastAsia="FangSong_GB2312" w:cs="Times New Roman"/>
          <w:sz w:val="32"/>
          <w:szCs w:val="24"/>
          <w:highlight w:val="none"/>
        </w:rPr>
        <w:t>。</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bookmarkStart w:id="19" w:name="_Toc14115"/>
      <w:r>
        <w:rPr>
          <w:rFonts w:hint="eastAsia" w:ascii="FangSong_GB2312" w:hAnsi="FangSong_GB2312" w:eastAsia="FangSong_GB2312" w:cs="Times New Roman"/>
          <w:kern w:val="2"/>
          <w:sz w:val="32"/>
          <w:szCs w:val="24"/>
          <w:highlight w:val="none"/>
        </w:rPr>
        <w:t>4.产出成本情况分析</w:t>
      </w:r>
      <w:bookmarkEnd w:id="19"/>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kern w:val="2"/>
          <w:sz w:val="32"/>
          <w:szCs w:val="24"/>
          <w:highlight w:val="none"/>
          <w:lang w:val="en-US" w:eastAsia="zh-CN"/>
        </w:rPr>
        <w:t>该项目在实施过程中，</w:t>
      </w:r>
      <w:r>
        <w:rPr>
          <w:rFonts w:hint="eastAsia" w:ascii="FangSong_GB2312" w:hAnsi="FangSong_GB2312" w:eastAsia="FangSong_GB2312" w:cs="Times New Roman"/>
          <w:kern w:val="2"/>
          <w:sz w:val="32"/>
          <w:szCs w:val="24"/>
          <w:highlight w:val="none"/>
          <w:lang w:eastAsia="zh-CN"/>
        </w:rPr>
        <w:t>丽泽商务区管委会</w:t>
      </w:r>
      <w:r>
        <w:rPr>
          <w:rFonts w:hint="eastAsia" w:ascii="FangSong_GB2312" w:hAnsi="FangSong_GB2312" w:eastAsia="FangSong_GB2312" w:cs="Times New Roman"/>
          <w:kern w:val="2"/>
          <w:sz w:val="32"/>
          <w:szCs w:val="24"/>
          <w:highlight w:val="none"/>
          <w:lang w:val="en-US" w:eastAsia="zh-CN"/>
        </w:rPr>
        <w:t>履行</w:t>
      </w:r>
      <w:r>
        <w:rPr>
          <w:rFonts w:hint="eastAsia" w:ascii="FangSong_GB2312" w:hAnsi="FangSong_GB2312" w:eastAsia="FangSong_GB2312" w:cs="Times New Roman"/>
          <w:kern w:val="2"/>
          <w:sz w:val="32"/>
          <w:szCs w:val="24"/>
          <w:highlight w:val="none"/>
        </w:rPr>
        <w:t>公开招标程序，</w:t>
      </w:r>
      <w:r>
        <w:rPr>
          <w:rFonts w:hint="eastAsia" w:ascii="FangSong_GB2312" w:hAnsi="FangSong_GB2312" w:eastAsia="FangSong_GB2312" w:cs="Times New Roman"/>
          <w:kern w:val="2"/>
          <w:sz w:val="32"/>
          <w:szCs w:val="24"/>
          <w:highlight w:val="none"/>
          <w:lang w:val="en-US" w:eastAsia="zh-CN"/>
        </w:rPr>
        <w:t>在项目竣工后组织申报决算</w:t>
      </w:r>
      <w:r>
        <w:rPr>
          <w:rFonts w:hint="eastAsia" w:ascii="FangSong_GB2312" w:hAnsi="FangSong_GB2312" w:eastAsia="FangSong_GB2312" w:cs="Times New Roman"/>
          <w:kern w:val="2"/>
          <w:sz w:val="32"/>
          <w:szCs w:val="24"/>
          <w:highlight w:val="none"/>
        </w:rPr>
        <w:t>评审</w:t>
      </w:r>
      <w:r>
        <w:rPr>
          <w:rFonts w:hint="eastAsia" w:ascii="FangSong_GB2312" w:hAnsi="FangSong_GB2312" w:eastAsia="FangSong_GB2312" w:cs="Times New Roman"/>
          <w:kern w:val="2"/>
          <w:sz w:val="32"/>
          <w:szCs w:val="24"/>
          <w:highlight w:val="none"/>
          <w:lang w:val="en-US" w:eastAsia="zh-CN"/>
        </w:rPr>
        <w:t>工作。根据区发改委出具的决算评审报告，项目决算送审金额为2,945.51万元，审定金额为2,489.95万元，核减金额高达455.56万元，决算核减率达到15.47%</w:t>
      </w:r>
      <w:r>
        <w:rPr>
          <w:rFonts w:hint="eastAsia" w:ascii="FangSong_GB2312" w:hAnsi="FangSong_GB2312" w:eastAsia="FangSong_GB2312" w:cs="Times New Roman"/>
          <w:kern w:val="2"/>
          <w:sz w:val="32"/>
          <w:szCs w:val="24"/>
          <w:highlight w:val="none"/>
        </w:rPr>
        <w:t>。送审</w:t>
      </w:r>
      <w:r>
        <w:rPr>
          <w:rFonts w:hint="eastAsia" w:ascii="FangSong_GB2312" w:hAnsi="FangSong_GB2312" w:eastAsia="FangSong_GB2312" w:cs="Times New Roman"/>
          <w:kern w:val="2"/>
          <w:sz w:val="32"/>
          <w:szCs w:val="24"/>
          <w:highlight w:val="none"/>
          <w:lang w:val="en-US" w:eastAsia="zh-CN"/>
        </w:rPr>
        <w:t>金额</w:t>
      </w:r>
      <w:r>
        <w:rPr>
          <w:rFonts w:hint="eastAsia" w:ascii="FangSong_GB2312" w:hAnsi="FangSong_GB2312" w:eastAsia="FangSong_GB2312" w:cs="Times New Roman"/>
          <w:kern w:val="2"/>
          <w:sz w:val="32"/>
          <w:szCs w:val="24"/>
          <w:highlight w:val="none"/>
        </w:rPr>
        <w:t>与</w:t>
      </w:r>
      <w:r>
        <w:rPr>
          <w:rFonts w:hint="eastAsia" w:ascii="FangSong_GB2312" w:hAnsi="FangSong_GB2312" w:eastAsia="FangSong_GB2312" w:cs="Times New Roman"/>
          <w:kern w:val="2"/>
          <w:sz w:val="32"/>
          <w:szCs w:val="24"/>
          <w:highlight w:val="none"/>
          <w:lang w:eastAsia="zh-CN"/>
        </w:rPr>
        <w:t>最终</w:t>
      </w:r>
      <w:r>
        <w:rPr>
          <w:rFonts w:hint="eastAsia" w:ascii="FangSong_GB2312" w:hAnsi="FangSong_GB2312" w:eastAsia="FangSong_GB2312" w:cs="Times New Roman"/>
          <w:kern w:val="2"/>
          <w:sz w:val="32"/>
          <w:szCs w:val="24"/>
          <w:highlight w:val="none"/>
          <w:lang w:val="en-US" w:eastAsia="zh-CN"/>
        </w:rPr>
        <w:t>审定金额差距较大</w:t>
      </w:r>
      <w:r>
        <w:rPr>
          <w:rFonts w:hint="eastAsia" w:ascii="FangSong_GB2312" w:hAnsi="FangSong_GB2312" w:eastAsia="FangSong_GB2312" w:cs="Times New Roman"/>
          <w:kern w:val="2"/>
          <w:sz w:val="32"/>
          <w:szCs w:val="24"/>
          <w:highlight w:val="none"/>
        </w:rPr>
        <w:t>，</w:t>
      </w:r>
      <w:r>
        <w:rPr>
          <w:rFonts w:hint="eastAsia" w:ascii="FangSong_GB2312" w:hAnsi="FangSong_GB2312" w:eastAsia="FangSong_GB2312" w:cs="Times New Roman"/>
          <w:kern w:val="2"/>
          <w:sz w:val="32"/>
          <w:szCs w:val="24"/>
          <w:highlight w:val="none"/>
          <w:lang w:val="en-US" w:eastAsia="zh-CN"/>
        </w:rPr>
        <w:t>项目单位提供了</w:t>
      </w:r>
      <w:r>
        <w:rPr>
          <w:rFonts w:hint="eastAsia" w:ascii="FangSong_GB2312" w:hAnsi="FangSong_GB2312" w:eastAsia="FangSong_GB2312" w:cs="Times New Roman"/>
          <w:kern w:val="2"/>
          <w:sz w:val="32"/>
          <w:szCs w:val="24"/>
          <w:highlight w:val="none"/>
        </w:rPr>
        <w:t>实际完成数量与计划数量</w:t>
      </w:r>
      <w:r>
        <w:rPr>
          <w:rFonts w:hint="eastAsia" w:ascii="FangSong_GB2312" w:hAnsi="FangSong_GB2312" w:eastAsia="FangSong_GB2312" w:cs="Times New Roman"/>
          <w:kern w:val="2"/>
          <w:sz w:val="32"/>
          <w:szCs w:val="24"/>
          <w:highlight w:val="none"/>
          <w:lang w:val="en-US" w:eastAsia="zh-CN"/>
        </w:rPr>
        <w:t>的对比资料，但系统性不足</w:t>
      </w:r>
      <w:r>
        <w:rPr>
          <w:rFonts w:hint="eastAsia" w:ascii="FangSong_GB2312" w:hAnsi="FangSong_GB2312" w:eastAsia="FangSong_GB2312" w:cs="Times New Roman"/>
          <w:kern w:val="2"/>
          <w:sz w:val="32"/>
          <w:szCs w:val="24"/>
          <w:highlight w:val="none"/>
          <w:lang w:eastAsia="zh-CN"/>
        </w:rPr>
        <w:t>，无法</w:t>
      </w:r>
      <w:r>
        <w:rPr>
          <w:rFonts w:hint="eastAsia" w:ascii="FangSong_GB2312" w:hAnsi="FangSong_GB2312" w:eastAsia="FangSong_GB2312" w:cs="Times New Roman"/>
          <w:kern w:val="2"/>
          <w:sz w:val="32"/>
          <w:szCs w:val="24"/>
          <w:highlight w:val="none"/>
          <w:lang w:val="en-US" w:eastAsia="zh-CN"/>
        </w:rPr>
        <w:t>全面、客观地评价</w:t>
      </w:r>
      <w:r>
        <w:rPr>
          <w:rFonts w:hint="eastAsia" w:ascii="FangSong_GB2312" w:hAnsi="FangSong_GB2312" w:eastAsia="FangSong_GB2312" w:cs="Times New Roman"/>
          <w:kern w:val="2"/>
          <w:sz w:val="32"/>
          <w:szCs w:val="24"/>
          <w:highlight w:val="none"/>
          <w:lang w:eastAsia="zh-CN"/>
        </w:rPr>
        <w:t>项目是否通过改进施工工艺、加强成本管</w:t>
      </w:r>
      <w:r>
        <w:rPr>
          <w:rFonts w:hint="eastAsia" w:ascii="FangSong_GB2312" w:hAnsi="FangSong_GB2312" w:eastAsia="FangSong_GB2312" w:cs="Times New Roman"/>
          <w:kern w:val="2"/>
          <w:sz w:val="32"/>
          <w:szCs w:val="24"/>
          <w:highlight w:val="none"/>
          <w:lang w:val="en-US" w:eastAsia="zh-CN"/>
        </w:rPr>
        <w:t>控</w:t>
      </w:r>
      <w:r>
        <w:rPr>
          <w:rFonts w:hint="eastAsia" w:ascii="FangSong_GB2312" w:hAnsi="FangSong_GB2312" w:eastAsia="FangSong_GB2312" w:cs="Times New Roman"/>
          <w:kern w:val="2"/>
          <w:sz w:val="32"/>
          <w:szCs w:val="24"/>
          <w:highlight w:val="none"/>
          <w:lang w:eastAsia="zh-CN"/>
        </w:rPr>
        <w:t>等</w:t>
      </w:r>
      <w:r>
        <w:rPr>
          <w:rFonts w:hint="eastAsia" w:ascii="FangSong_GB2312" w:hAnsi="FangSong_GB2312" w:eastAsia="FangSong_GB2312" w:cs="Times New Roman"/>
          <w:kern w:val="2"/>
          <w:sz w:val="32"/>
          <w:szCs w:val="24"/>
          <w:highlight w:val="none"/>
          <w:lang w:val="en-US" w:eastAsia="zh-CN"/>
        </w:rPr>
        <w:t>手段</w:t>
      </w:r>
      <w:r>
        <w:rPr>
          <w:rFonts w:hint="eastAsia" w:ascii="FangSong_GB2312" w:hAnsi="FangSong_GB2312" w:eastAsia="FangSong_GB2312" w:cs="Times New Roman"/>
          <w:kern w:val="2"/>
          <w:sz w:val="32"/>
          <w:szCs w:val="24"/>
          <w:highlight w:val="none"/>
          <w:lang w:eastAsia="zh-CN"/>
        </w:rPr>
        <w:t>实现了成本节约</w:t>
      </w:r>
      <w:r>
        <w:rPr>
          <w:rFonts w:hint="eastAsia" w:ascii="FangSong_GB2312" w:hAnsi="FangSong_GB2312" w:eastAsia="FangSong_GB2312" w:cs="Times New Roman"/>
          <w:kern w:val="2"/>
          <w:sz w:val="32"/>
          <w:szCs w:val="24"/>
          <w:highlight w:val="none"/>
        </w:rPr>
        <w:t>。</w:t>
      </w:r>
    </w:p>
    <w:p>
      <w:pPr>
        <w:spacing w:beforeLines="0" w:afterLines="0" w:line="560" w:lineRule="exact"/>
        <w:ind w:firstLine="640" w:firstLineChars="200"/>
        <w:jc w:val="both"/>
        <w:rPr>
          <w:rFonts w:hint="eastAsia" w:ascii="KaiTi_GB2312" w:hAnsi="KaiTi_GB2312" w:eastAsia="KaiTi_GB2312" w:cs="Times New Roman"/>
          <w:sz w:val="32"/>
        </w:rPr>
      </w:pPr>
      <w:r>
        <w:rPr>
          <w:rFonts w:hint="eastAsia" w:ascii="KaiTi_GB2312" w:hAnsi="KaiTi_GB2312" w:eastAsia="KaiTi_GB2312" w:cs="Times New Roman"/>
          <w:sz w:val="32"/>
        </w:rPr>
        <w:t>（二）项目效益情况</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1.项目实施效益</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项目建成投用后，通过对凤凰嘴街、金泽东路等四条道路的综合整治提升，改善了周边区域的交通通行条件，大幅提升了入驻企业员工与居民的出行便捷性和舒适度。同时，通过景观改造、绿化提升等工程，有效优化了城市空间环境，增强了城市景观的美观度与吸引力，为区域形象品质升级注入新动能，也为城市长期经济发展和营商环境优化提供了有力支撑。</w:t>
      </w:r>
      <w:r>
        <w:rPr>
          <w:rFonts w:hint="eastAsia" w:ascii="FangSong_GB2312" w:hAnsi="FangSong_GB2312" w:eastAsia="FangSong_GB2312" w:cs="Times New Roman"/>
          <w:kern w:val="2"/>
          <w:sz w:val="32"/>
          <w:szCs w:val="24"/>
          <w:highlight w:val="none"/>
          <w:lang w:val="en-US" w:eastAsia="zh-CN"/>
        </w:rPr>
        <w:t>但</w:t>
      </w:r>
      <w:r>
        <w:rPr>
          <w:rFonts w:hint="eastAsia" w:ascii="FangSong_GB2312" w:hAnsi="FangSong_GB2312" w:eastAsia="FangSong_GB2312" w:cs="Times New Roman"/>
          <w:kern w:val="2"/>
          <w:sz w:val="32"/>
          <w:szCs w:val="24"/>
          <w:highlight w:val="none"/>
        </w:rPr>
        <w:t>在项目绩效成果的呈现与</w:t>
      </w:r>
      <w:r>
        <w:rPr>
          <w:rFonts w:hint="eastAsia" w:ascii="FangSong_GB2312" w:hAnsi="FangSong_GB2312" w:eastAsia="FangSong_GB2312" w:cs="Times New Roman"/>
          <w:kern w:val="2"/>
          <w:sz w:val="32"/>
          <w:szCs w:val="24"/>
          <w:highlight w:val="none"/>
          <w:lang w:val="en-US" w:eastAsia="zh-CN"/>
        </w:rPr>
        <w:t>分析</w:t>
      </w:r>
      <w:r>
        <w:rPr>
          <w:rFonts w:hint="eastAsia" w:ascii="FangSong_GB2312" w:hAnsi="FangSong_GB2312" w:eastAsia="FangSong_GB2312" w:cs="Times New Roman"/>
          <w:kern w:val="2"/>
          <w:sz w:val="32"/>
          <w:szCs w:val="24"/>
          <w:highlight w:val="none"/>
        </w:rPr>
        <w:t>总结方面不足，未能充分挖掘和提炼项目实施带来的经济、社会和环境效益，影响项目实施效果的体现。</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bookmarkStart w:id="20" w:name="_Toc30057"/>
      <w:r>
        <w:rPr>
          <w:rFonts w:hint="eastAsia" w:ascii="FangSong_GB2312" w:hAnsi="FangSong_GB2312" w:eastAsia="FangSong_GB2312" w:cs="Times New Roman"/>
          <w:kern w:val="2"/>
          <w:sz w:val="32"/>
          <w:szCs w:val="24"/>
          <w:highlight w:val="none"/>
        </w:rPr>
        <w:t>2.服务对象满意度</w:t>
      </w:r>
      <w:bookmarkEnd w:id="20"/>
    </w:p>
    <w:p>
      <w:pPr>
        <w:keepNext w:val="0"/>
        <w:keepLines w:val="0"/>
        <w:pageBreakBefore w:val="0"/>
        <w:widowControl/>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sz w:val="32"/>
          <w:szCs w:val="24"/>
          <w:highlight w:val="none"/>
        </w:rPr>
      </w:pPr>
      <w:r>
        <w:rPr>
          <w:rFonts w:hint="eastAsia" w:ascii="FangSong_GB2312" w:hAnsi="FangSong_GB2312" w:eastAsia="FangSong_GB2312" w:cs="Times New Roman"/>
          <w:sz w:val="32"/>
          <w:szCs w:val="24"/>
          <w:highlight w:val="none"/>
          <w:lang w:val="en-US" w:eastAsia="zh-CN"/>
        </w:rPr>
        <w:t>该</w:t>
      </w:r>
      <w:r>
        <w:rPr>
          <w:rFonts w:hint="eastAsia" w:ascii="FangSong_GB2312" w:hAnsi="FangSong_GB2312" w:eastAsia="FangSong_GB2312" w:cs="Times New Roman"/>
          <w:sz w:val="32"/>
          <w:szCs w:val="24"/>
          <w:highlight w:val="none"/>
        </w:rPr>
        <w:t>项目满意度调查</w:t>
      </w:r>
      <w:r>
        <w:rPr>
          <w:rFonts w:hint="eastAsia" w:ascii="FangSong_GB2312" w:hAnsi="FangSong_GB2312" w:eastAsia="FangSong_GB2312" w:cs="Times New Roman"/>
          <w:sz w:val="32"/>
          <w:szCs w:val="24"/>
          <w:highlight w:val="none"/>
          <w:lang w:val="en-US" w:eastAsia="zh-CN"/>
        </w:rPr>
        <w:t>支撑资料不够充分</w:t>
      </w:r>
      <w:r>
        <w:rPr>
          <w:rFonts w:hint="eastAsia" w:ascii="FangSong_GB2312" w:hAnsi="FangSong_GB2312" w:eastAsia="FangSong_GB2312" w:cs="Times New Roman"/>
          <w:sz w:val="32"/>
          <w:szCs w:val="24"/>
          <w:highlight w:val="none"/>
        </w:rPr>
        <w:t>。具体分析如下：</w:t>
      </w:r>
    </w:p>
    <w:p>
      <w:pPr>
        <w:spacing w:beforeLines="0" w:afterLines="0" w:line="560" w:lineRule="exact"/>
        <w:ind w:firstLine="640" w:firstLineChars="200"/>
        <w:jc w:val="both"/>
        <w:rPr>
          <w:rFonts w:hint="eastAsia" w:ascii="FangSong_GB2312" w:hAnsi="FangSong_GB2312" w:eastAsia="FangSong_GB2312" w:cs="Times New Roman"/>
          <w:sz w:val="32"/>
        </w:rPr>
      </w:pPr>
      <w:r>
        <w:rPr>
          <w:rFonts w:hint="eastAsia" w:ascii="FangSong_GB2312" w:hAnsi="FangSong_GB2312" w:eastAsia="FangSong_GB2312" w:cs="Times New Roman"/>
          <w:kern w:val="2"/>
          <w:sz w:val="32"/>
          <w:szCs w:val="24"/>
          <w:highlight w:val="none"/>
          <w:lang w:val="en-US" w:eastAsia="zh-CN"/>
        </w:rPr>
        <w:t>该</w:t>
      </w:r>
      <w:r>
        <w:rPr>
          <w:rFonts w:hint="eastAsia" w:ascii="FangSong_GB2312" w:hAnsi="FangSong_GB2312" w:eastAsia="FangSong_GB2312" w:cs="Times New Roman"/>
          <w:kern w:val="2"/>
          <w:sz w:val="32"/>
          <w:szCs w:val="24"/>
          <w:highlight w:val="none"/>
        </w:rPr>
        <w:t>项目</w:t>
      </w:r>
      <w:r>
        <w:rPr>
          <w:rFonts w:hint="eastAsia" w:ascii="FangSong_GB2312" w:hAnsi="FangSong_GB2312" w:eastAsia="FangSong_GB2312" w:cs="Times New Roman"/>
          <w:kern w:val="2"/>
          <w:sz w:val="32"/>
          <w:szCs w:val="24"/>
          <w:highlight w:val="none"/>
          <w:lang w:val="en-US" w:eastAsia="zh-CN"/>
        </w:rPr>
        <w:t>竣工</w:t>
      </w:r>
      <w:r>
        <w:rPr>
          <w:rFonts w:hint="eastAsia" w:ascii="FangSong_GB2312" w:hAnsi="FangSong_GB2312" w:eastAsia="FangSong_GB2312" w:cs="Times New Roman"/>
          <w:kern w:val="2"/>
          <w:sz w:val="32"/>
          <w:szCs w:val="24"/>
          <w:highlight w:val="none"/>
        </w:rPr>
        <w:t>后，</w:t>
      </w:r>
      <w:r>
        <w:rPr>
          <w:rFonts w:hint="eastAsia" w:ascii="FangSong_GB2312" w:hAnsi="FangSong_GB2312" w:eastAsia="FangSong_GB2312" w:cs="Times New Roman"/>
          <w:kern w:val="2"/>
          <w:sz w:val="32"/>
          <w:szCs w:val="24"/>
          <w:highlight w:val="none"/>
          <w:lang w:eastAsia="zh-CN"/>
        </w:rPr>
        <w:t>丽泽商务区管委会</w:t>
      </w:r>
      <w:r>
        <w:rPr>
          <w:rFonts w:hint="eastAsia" w:ascii="FangSong_GB2312" w:hAnsi="FangSong_GB2312" w:eastAsia="FangSong_GB2312" w:cs="Times New Roman"/>
          <w:kern w:val="2"/>
          <w:sz w:val="32"/>
          <w:szCs w:val="24"/>
          <w:highlight w:val="none"/>
          <w:lang w:val="en-US" w:eastAsia="zh-CN"/>
        </w:rPr>
        <w:t>开展</w:t>
      </w:r>
      <w:r>
        <w:rPr>
          <w:rFonts w:hint="eastAsia" w:ascii="FangSong_GB2312" w:hAnsi="FangSong_GB2312" w:eastAsia="FangSong_GB2312" w:cs="Times New Roman"/>
          <w:kern w:val="2"/>
          <w:sz w:val="32"/>
          <w:szCs w:val="24"/>
          <w:highlight w:val="none"/>
        </w:rPr>
        <w:t>了</w:t>
      </w:r>
      <w:r>
        <w:rPr>
          <w:rFonts w:hint="eastAsia" w:ascii="FangSong_GB2312" w:hAnsi="FangSong_GB2312" w:eastAsia="FangSong_GB2312" w:cs="Times New Roman"/>
          <w:kern w:val="2"/>
          <w:sz w:val="32"/>
          <w:szCs w:val="24"/>
          <w:highlight w:val="none"/>
          <w:lang w:val="en-US" w:eastAsia="zh-CN"/>
        </w:rPr>
        <w:t>公众</w:t>
      </w:r>
      <w:r>
        <w:rPr>
          <w:rFonts w:hint="eastAsia" w:ascii="FangSong_GB2312" w:hAnsi="FangSong_GB2312" w:eastAsia="FangSong_GB2312" w:cs="Times New Roman"/>
          <w:kern w:val="2"/>
          <w:sz w:val="32"/>
          <w:szCs w:val="24"/>
          <w:highlight w:val="none"/>
        </w:rPr>
        <w:t>满意度调查</w:t>
      </w:r>
      <w:r>
        <w:rPr>
          <w:rFonts w:hint="eastAsia" w:ascii="FangSong_GB2312" w:hAnsi="FangSong_GB2312" w:eastAsia="FangSong_GB2312" w:cs="Times New Roman"/>
          <w:kern w:val="2"/>
          <w:sz w:val="32"/>
          <w:szCs w:val="24"/>
          <w:highlight w:val="none"/>
          <w:lang w:val="en-US" w:eastAsia="zh-CN"/>
        </w:rPr>
        <w:t>工作</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lang w:val="en-US" w:eastAsia="zh-CN"/>
        </w:rPr>
        <w:t>提供了</w:t>
      </w:r>
      <w:r>
        <w:rPr>
          <w:rFonts w:hint="eastAsia" w:ascii="FangSong_GB2312" w:hAnsi="FangSong_GB2312" w:eastAsia="FangSong_GB2312" w:cs="Times New Roman"/>
          <w:kern w:val="2"/>
          <w:sz w:val="32"/>
          <w:szCs w:val="24"/>
          <w:highlight w:val="none"/>
        </w:rPr>
        <w:t>调查报告</w:t>
      </w:r>
      <w:r>
        <w:rPr>
          <w:rFonts w:hint="eastAsia" w:ascii="FangSong_GB2312" w:hAnsi="FangSong_GB2312" w:eastAsia="FangSong_GB2312" w:cs="Times New Roman"/>
          <w:kern w:val="2"/>
          <w:sz w:val="32"/>
          <w:szCs w:val="24"/>
          <w:highlight w:val="none"/>
          <w:lang w:val="en-US" w:eastAsia="zh-CN"/>
        </w:rPr>
        <w:t>等支撑资料</w:t>
      </w:r>
      <w:r>
        <w:rPr>
          <w:rFonts w:hint="eastAsia" w:ascii="FangSong_GB2312" w:hAnsi="FangSong_GB2312" w:eastAsia="FangSong_GB2312" w:cs="Times New Roman"/>
          <w:kern w:val="2"/>
          <w:sz w:val="32"/>
          <w:szCs w:val="24"/>
          <w:highlight w:val="none"/>
        </w:rPr>
        <w:t>。本次调查面向凤凰嘴街、金泽东路等四条整治提升道路周边的入驻企业及居民，共计发放40份调查问卷</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lang w:val="en-US" w:eastAsia="zh-CN"/>
        </w:rPr>
        <w:t>调查结果显示，</w:t>
      </w:r>
      <w:r>
        <w:rPr>
          <w:rFonts w:hint="eastAsia" w:ascii="FangSong_GB2312" w:hAnsi="FangSong_GB2312" w:eastAsia="FangSong_GB2312" w:cs="Times New Roman"/>
          <w:color w:val="000000"/>
          <w:kern w:val="2"/>
          <w:sz w:val="32"/>
          <w:szCs w:val="24"/>
          <w:highlight w:val="none"/>
          <w:lang w:val="en-US" w:eastAsia="zh-CN" w:bidi="ar"/>
        </w:rPr>
        <w:t>核心工程效果满意度</w:t>
      </w:r>
      <w:r>
        <w:rPr>
          <w:rFonts w:hint="eastAsia" w:ascii="FangSong_GB2312" w:hAnsi="FangSong_GB2312" w:eastAsia="FangSong_GB2312" w:cs="Times New Roman"/>
          <w:kern w:val="2"/>
          <w:sz w:val="32"/>
          <w:szCs w:val="24"/>
          <w:highlight w:val="none"/>
          <w:lang w:val="en-US" w:eastAsia="zh-CN"/>
        </w:rPr>
        <w:t>达90%、商务区环境提升效果综合满意度为100%</w:t>
      </w:r>
      <w:r>
        <w:rPr>
          <w:rFonts w:hint="eastAsia" w:ascii="FangSong_GB2312" w:hAnsi="FangSong_GB2312" w:eastAsia="FangSong_GB2312" w:cs="Times New Roman"/>
          <w:kern w:val="2"/>
          <w:sz w:val="32"/>
          <w:szCs w:val="24"/>
          <w:highlight w:val="none"/>
        </w:rPr>
        <w:t>。</w:t>
      </w:r>
      <w:r>
        <w:rPr>
          <w:rFonts w:hint="eastAsia" w:ascii="FangSong_GB2312" w:hAnsi="FangSong_GB2312" w:eastAsia="FangSong_GB2312" w:cs="Times New Roman"/>
          <w:kern w:val="2"/>
          <w:sz w:val="32"/>
          <w:szCs w:val="24"/>
          <w:highlight w:val="none"/>
          <w:lang w:val="en-US" w:eastAsia="zh-CN"/>
        </w:rPr>
        <w:t>但评价认为，</w:t>
      </w:r>
      <w:r>
        <w:rPr>
          <w:rFonts w:hint="eastAsia" w:ascii="FangSong_GB2312" w:hAnsi="FangSong_GB2312" w:eastAsia="FangSong_GB2312" w:cs="Times New Roman"/>
          <w:kern w:val="2"/>
          <w:sz w:val="32"/>
          <w:szCs w:val="24"/>
          <w:highlight w:val="none"/>
        </w:rPr>
        <w:t>调查样本</w:t>
      </w:r>
      <w:r>
        <w:rPr>
          <w:rFonts w:hint="eastAsia" w:ascii="FangSong_GB2312" w:hAnsi="FangSong_GB2312" w:eastAsia="FangSong_GB2312" w:cs="Times New Roman"/>
          <w:kern w:val="2"/>
          <w:sz w:val="32"/>
          <w:szCs w:val="24"/>
          <w:highlight w:val="none"/>
          <w:lang w:val="en-US" w:eastAsia="zh-CN"/>
        </w:rPr>
        <w:t>数</w:t>
      </w:r>
      <w:r>
        <w:rPr>
          <w:rFonts w:hint="eastAsia" w:ascii="FangSong_GB2312" w:hAnsi="FangSong_GB2312" w:eastAsia="FangSong_GB2312" w:cs="Times New Roman"/>
          <w:kern w:val="2"/>
          <w:sz w:val="32"/>
          <w:szCs w:val="24"/>
          <w:highlight w:val="none"/>
        </w:rPr>
        <w:t>量</w:t>
      </w:r>
      <w:r>
        <w:rPr>
          <w:rFonts w:hint="eastAsia" w:ascii="FangSong_GB2312" w:hAnsi="FangSong_GB2312" w:eastAsia="FangSong_GB2312" w:cs="Times New Roman"/>
          <w:kern w:val="2"/>
          <w:sz w:val="32"/>
          <w:szCs w:val="24"/>
          <w:highlight w:val="none"/>
          <w:lang w:val="en-US" w:eastAsia="zh-CN"/>
        </w:rPr>
        <w:t>相对有限，难以全面覆盖项目受益群体，可能存在调查结果的偏差；调查内容侧重于正面反馈收集，缺乏对公众负面体验的深度挖掘，未设置如“项目实施中最不满意的3个环节”等开放性问题，无法精准定位项目实施过程中的痛点与不足；调查工作与工程建设各阶段脱节，未能建立起满意度数据与关键工程节点的有效关联，难以分析不同建设阶段对公众体验的影响；调查成果未充分发挥作用，未将调查结果与整改机制相关联，未能切实转化为提升项目质量与服务水平的实际举措</w:t>
      </w:r>
      <w:r>
        <w:rPr>
          <w:rFonts w:hint="eastAsia" w:ascii="FangSong_GB2312" w:hAnsi="FangSong_GB2312" w:eastAsia="FangSong_GB2312" w:cs="Times New Roman"/>
          <w:kern w:val="2"/>
          <w:sz w:val="32"/>
          <w:szCs w:val="24"/>
          <w:highlight w:val="none"/>
        </w:rPr>
        <w:t>‌。</w:t>
      </w:r>
    </w:p>
    <w:p>
      <w:pPr>
        <w:spacing w:beforeLines="0" w:afterLines="0" w:line="560" w:lineRule="exact"/>
        <w:ind w:firstLine="640" w:firstLineChars="200"/>
        <w:jc w:val="both"/>
        <w:rPr>
          <w:rFonts w:hint="eastAsia" w:ascii="黑体" w:hAnsi="黑体" w:eastAsia="黑体" w:cs="Times New Roman"/>
          <w:sz w:val="32"/>
        </w:rPr>
      </w:pPr>
      <w:r>
        <w:rPr>
          <w:rFonts w:hint="eastAsia" w:ascii="黑体" w:hAnsi="黑体" w:eastAsia="黑体" w:cs="Times New Roman"/>
          <w:sz w:val="32"/>
        </w:rPr>
        <w:t>四、存在的主要问题</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1.缺乏前置调研与可行性论证</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sz w:val="32"/>
          <w:szCs w:val="24"/>
          <w:highlight w:val="none"/>
        </w:rPr>
        <w:t>预算编制科学精确度不够</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lang w:val="en-US" w:eastAsia="zh-CN"/>
        </w:rPr>
      </w:pPr>
      <w:r>
        <w:rPr>
          <w:rFonts w:hint="eastAsia" w:ascii="FangSong_GB2312" w:hAnsi="FangSong_GB2312" w:eastAsia="FangSong_GB2312" w:cs="Times New Roman"/>
          <w:kern w:val="2"/>
          <w:sz w:val="32"/>
          <w:szCs w:val="24"/>
          <w:highlight w:val="none"/>
        </w:rPr>
        <w:t>该项目立项前未进行深入细致的可行性研究论证</w:t>
      </w:r>
      <w:r>
        <w:rPr>
          <w:rFonts w:hint="eastAsia" w:ascii="FangSong_GB2312" w:hAnsi="FangSong_GB2312" w:eastAsia="FangSong_GB2312" w:cs="Times New Roman"/>
          <w:kern w:val="2"/>
          <w:sz w:val="32"/>
          <w:szCs w:val="24"/>
          <w:highlight w:val="none"/>
          <w:lang w:eastAsia="zh-CN"/>
        </w:rPr>
        <w:t>，未见与实施内容相关的专项规划</w:t>
      </w:r>
      <w:r>
        <w:rPr>
          <w:rFonts w:hint="eastAsia" w:ascii="FangSong_GB2312" w:hAnsi="FangSong_GB2312" w:eastAsia="FangSong_GB2312" w:cs="Times New Roman"/>
          <w:kern w:val="2"/>
          <w:sz w:val="32"/>
          <w:szCs w:val="24"/>
          <w:highlight w:val="none"/>
          <w:lang w:val="en-US" w:eastAsia="zh-CN"/>
        </w:rPr>
        <w:t>或</w:t>
      </w:r>
      <w:r>
        <w:rPr>
          <w:rFonts w:hint="eastAsia" w:ascii="FangSong_GB2312" w:hAnsi="FangSong_GB2312" w:eastAsia="FangSong_GB2312" w:cs="Times New Roman"/>
          <w:kern w:val="2"/>
          <w:sz w:val="32"/>
          <w:szCs w:val="24"/>
          <w:highlight w:val="none"/>
          <w:lang w:eastAsia="zh-CN"/>
        </w:rPr>
        <w:t>计划</w:t>
      </w:r>
      <w:r>
        <w:rPr>
          <w:rFonts w:hint="eastAsia" w:ascii="FangSong_GB2312" w:hAnsi="FangSong_GB2312" w:eastAsia="FangSong_GB2312" w:cs="Times New Roman"/>
          <w:kern w:val="2"/>
          <w:sz w:val="32"/>
          <w:szCs w:val="24"/>
          <w:highlight w:val="none"/>
        </w:rPr>
        <w:t>，导致</w:t>
      </w:r>
      <w:r>
        <w:rPr>
          <w:rFonts w:hint="eastAsia" w:ascii="FangSong_GB2312" w:hAnsi="FangSong_GB2312" w:eastAsia="FangSong_GB2312" w:cs="Times New Roman"/>
          <w:kern w:val="2"/>
          <w:sz w:val="32"/>
          <w:szCs w:val="24"/>
          <w:highlight w:val="none"/>
          <w:lang w:val="en-US" w:eastAsia="zh-CN"/>
        </w:rPr>
        <w:t>项目计划与实际执行情况有一定差异，立项程序的</w:t>
      </w:r>
      <w:r>
        <w:rPr>
          <w:rFonts w:hint="eastAsia" w:ascii="FangSong_GB2312" w:hAnsi="FangSong_GB2312" w:eastAsia="FangSong_GB2312" w:cs="Times New Roman"/>
          <w:kern w:val="2"/>
          <w:sz w:val="32"/>
          <w:szCs w:val="24"/>
          <w:highlight w:val="none"/>
        </w:rPr>
        <w:t>规范</w:t>
      </w:r>
      <w:r>
        <w:rPr>
          <w:rFonts w:hint="eastAsia" w:ascii="FangSong_GB2312" w:hAnsi="FangSong_GB2312" w:eastAsia="FangSong_GB2312" w:cs="Times New Roman"/>
          <w:kern w:val="2"/>
          <w:sz w:val="32"/>
          <w:szCs w:val="24"/>
          <w:highlight w:val="none"/>
          <w:lang w:val="en-US" w:eastAsia="zh-CN"/>
        </w:rPr>
        <w:t>性不足。</w:t>
      </w:r>
    </w:p>
    <w:p>
      <w:pPr>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项目</w:t>
      </w:r>
      <w:r>
        <w:rPr>
          <w:rFonts w:hint="eastAsia" w:ascii="FangSong_GB2312" w:hAnsi="FangSong_GB2312" w:eastAsia="FangSong_GB2312" w:cs="Times New Roman"/>
          <w:kern w:val="2"/>
          <w:sz w:val="32"/>
          <w:szCs w:val="24"/>
          <w:highlight w:val="none"/>
          <w:lang w:val="en-US" w:eastAsia="zh-CN"/>
        </w:rPr>
        <w:t>批准投资金额3,182.41万元、决算</w:t>
      </w:r>
      <w:r>
        <w:rPr>
          <w:rFonts w:hint="eastAsia" w:ascii="FangSong_GB2312" w:hAnsi="FangSong_GB2312" w:eastAsia="FangSong_GB2312" w:cs="Times New Roman"/>
          <w:kern w:val="2"/>
          <w:sz w:val="32"/>
          <w:szCs w:val="24"/>
          <w:highlight w:val="none"/>
        </w:rPr>
        <w:t>评审送审</w:t>
      </w:r>
      <w:r>
        <w:rPr>
          <w:rFonts w:hint="eastAsia" w:ascii="FangSong_GB2312" w:hAnsi="FangSong_GB2312" w:eastAsia="FangSong_GB2312" w:cs="Times New Roman"/>
          <w:kern w:val="2"/>
          <w:sz w:val="32"/>
          <w:szCs w:val="24"/>
          <w:highlight w:val="none"/>
          <w:lang w:val="en-US" w:eastAsia="zh-CN"/>
        </w:rPr>
        <w:t>金额2,945.52万元、决算评审审定金额2,489.95万元，差异较大</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lang w:val="en-US" w:eastAsia="zh-CN"/>
        </w:rPr>
        <w:t>反映出</w:t>
      </w:r>
      <w:r>
        <w:rPr>
          <w:rFonts w:hint="eastAsia" w:ascii="FangSong_GB2312" w:hAnsi="FangSong_GB2312" w:eastAsia="FangSong_GB2312" w:cs="Times New Roman"/>
          <w:kern w:val="2"/>
          <w:sz w:val="32"/>
          <w:szCs w:val="24"/>
          <w:highlight w:val="none"/>
        </w:rPr>
        <w:t>预算编制</w:t>
      </w:r>
      <w:r>
        <w:rPr>
          <w:rFonts w:hint="eastAsia" w:ascii="FangSong_GB2312" w:hAnsi="FangSong_GB2312" w:eastAsia="FangSong_GB2312" w:cs="Times New Roman"/>
          <w:kern w:val="2"/>
          <w:sz w:val="32"/>
          <w:szCs w:val="24"/>
          <w:highlight w:val="none"/>
          <w:lang w:val="en-US" w:eastAsia="zh-CN"/>
        </w:rPr>
        <w:t>在</w:t>
      </w:r>
      <w:r>
        <w:rPr>
          <w:rFonts w:hint="eastAsia" w:ascii="FangSong_GB2312" w:hAnsi="FangSong_GB2312" w:eastAsia="FangSong_GB2312" w:cs="Times New Roman"/>
          <w:kern w:val="2"/>
          <w:sz w:val="32"/>
          <w:szCs w:val="24"/>
          <w:highlight w:val="none"/>
        </w:rPr>
        <w:t>科学性</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lang w:val="en-US" w:eastAsia="zh-CN"/>
        </w:rPr>
        <w:t>精准性方面存在</w:t>
      </w:r>
      <w:r>
        <w:rPr>
          <w:rFonts w:hint="eastAsia" w:ascii="FangSong_GB2312" w:hAnsi="FangSong_GB2312" w:eastAsia="FangSong_GB2312" w:cs="Times New Roman"/>
          <w:kern w:val="2"/>
          <w:sz w:val="32"/>
          <w:szCs w:val="24"/>
          <w:highlight w:val="none"/>
        </w:rPr>
        <w:t>不足。</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rPr>
      </w:pPr>
      <w:r>
        <w:rPr>
          <w:rFonts w:hint="eastAsia" w:ascii="FangSong_GB2312" w:hAnsi="FangSong_GB2312" w:eastAsia="FangSong_GB2312" w:cs="Times New Roman"/>
          <w:kern w:val="2"/>
          <w:sz w:val="32"/>
          <w:szCs w:val="24"/>
          <w:highlight w:val="none"/>
        </w:rPr>
        <w:t>2.</w:t>
      </w:r>
      <w:r>
        <w:rPr>
          <w:rFonts w:hint="eastAsia" w:ascii="FangSong_GB2312" w:hAnsi="FangSong_GB2312" w:eastAsia="FangSong_GB2312" w:cs="Times New Roman"/>
          <w:bCs w:val="0"/>
          <w:sz w:val="32"/>
          <w:szCs w:val="24"/>
          <w:highlight w:val="none"/>
        </w:rPr>
        <w:t>绩效目标及指标的细化、量化度不足</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lang w:val="en-US" w:eastAsia="zh-CN"/>
        </w:rPr>
      </w:pPr>
      <w:r>
        <w:rPr>
          <w:rFonts w:hint="eastAsia" w:ascii="FangSong_GB2312" w:hAnsi="FangSong_GB2312" w:eastAsia="FangSong_GB2312" w:cs="Times New Roman"/>
          <w:bCs w:val="0"/>
          <w:sz w:val="32"/>
          <w:szCs w:val="24"/>
          <w:highlight w:val="none"/>
        </w:rPr>
        <w:t>该项目绩效目标</w:t>
      </w:r>
      <w:r>
        <w:rPr>
          <w:rFonts w:hint="eastAsia" w:ascii="FangSong_GB2312" w:hAnsi="FangSong_GB2312" w:eastAsia="FangSong_GB2312" w:cs="Times New Roman"/>
          <w:bCs w:val="0"/>
          <w:sz w:val="32"/>
          <w:szCs w:val="24"/>
          <w:highlight w:val="none"/>
          <w:lang w:val="en-US" w:eastAsia="zh-CN"/>
        </w:rPr>
        <w:t>设定较为笼统</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rPr>
        <w:t>量化</w:t>
      </w:r>
      <w:r>
        <w:rPr>
          <w:rFonts w:hint="eastAsia" w:ascii="FangSong_GB2312" w:hAnsi="FangSong_GB2312" w:eastAsia="FangSong_GB2312" w:cs="Times New Roman"/>
          <w:bCs w:val="0"/>
          <w:sz w:val="32"/>
          <w:szCs w:val="24"/>
          <w:highlight w:val="none"/>
          <w:lang w:val="en-US" w:eastAsia="zh-CN"/>
        </w:rPr>
        <w:t>程度</w:t>
      </w:r>
      <w:r>
        <w:rPr>
          <w:rFonts w:hint="eastAsia" w:ascii="FangSong_GB2312" w:hAnsi="FangSong_GB2312" w:eastAsia="FangSong_GB2312" w:cs="Times New Roman"/>
          <w:bCs w:val="0"/>
          <w:sz w:val="32"/>
          <w:szCs w:val="24"/>
          <w:highlight w:val="none"/>
        </w:rPr>
        <w:t>不足，</w:t>
      </w:r>
      <w:r>
        <w:rPr>
          <w:rFonts w:hint="eastAsia" w:ascii="FangSong_GB2312" w:hAnsi="FangSong_GB2312" w:eastAsia="FangSong_GB2312" w:cs="Times New Roman"/>
          <w:bCs w:val="0"/>
          <w:sz w:val="32"/>
          <w:szCs w:val="24"/>
          <w:highlight w:val="none"/>
          <w:lang w:val="en-US" w:eastAsia="zh-CN"/>
        </w:rPr>
        <w:t>具体指标不够</w:t>
      </w:r>
      <w:r>
        <w:rPr>
          <w:rFonts w:hint="eastAsia" w:ascii="FangSong_GB2312" w:hAnsi="FangSong_GB2312" w:eastAsia="FangSong_GB2312" w:cs="Times New Roman"/>
          <w:bCs w:val="0"/>
          <w:sz w:val="32"/>
          <w:szCs w:val="24"/>
          <w:highlight w:val="none"/>
        </w:rPr>
        <w:t>细化、量化</w:t>
      </w:r>
      <w:r>
        <w:rPr>
          <w:rFonts w:hint="eastAsia" w:ascii="FangSong_GB2312" w:hAnsi="FangSong_GB2312" w:eastAsia="FangSong_GB2312" w:cs="Times New Roman"/>
          <w:bCs w:val="0"/>
          <w:sz w:val="32"/>
          <w:szCs w:val="24"/>
          <w:highlight w:val="none"/>
          <w:lang w:val="en-US" w:eastAsia="zh-CN"/>
        </w:rPr>
        <w:t>：一是</w:t>
      </w:r>
      <w:r>
        <w:rPr>
          <w:rFonts w:hint="eastAsia" w:ascii="FangSong_GB2312" w:hAnsi="FangSong_GB2312" w:eastAsia="FangSong_GB2312" w:cs="Times New Roman"/>
          <w:bCs w:val="0"/>
          <w:sz w:val="32"/>
          <w:szCs w:val="24"/>
          <w:highlight w:val="none"/>
        </w:rPr>
        <w:t>产出</w:t>
      </w:r>
      <w:r>
        <w:rPr>
          <w:rFonts w:hint="eastAsia" w:ascii="FangSong_GB2312" w:hAnsi="FangSong_GB2312" w:eastAsia="FangSong_GB2312" w:cs="Times New Roman"/>
          <w:bCs w:val="0"/>
          <w:sz w:val="32"/>
          <w:szCs w:val="24"/>
          <w:highlight w:val="none"/>
          <w:lang w:val="en-US" w:eastAsia="zh-CN"/>
        </w:rPr>
        <w:t>数量指标、</w:t>
      </w:r>
      <w:r>
        <w:rPr>
          <w:rFonts w:hint="eastAsia" w:ascii="FangSong_GB2312" w:hAnsi="FangSong_GB2312" w:eastAsia="FangSong_GB2312" w:cs="Times New Roman"/>
          <w:bCs w:val="0"/>
          <w:sz w:val="32"/>
          <w:szCs w:val="24"/>
          <w:highlight w:val="none"/>
        </w:rPr>
        <w:t>质量指标</w:t>
      </w:r>
      <w:r>
        <w:rPr>
          <w:rFonts w:hint="eastAsia" w:ascii="FangSong_GB2312" w:hAnsi="FangSong_GB2312" w:eastAsia="FangSong_GB2312" w:cs="Times New Roman"/>
          <w:bCs w:val="0"/>
          <w:sz w:val="32"/>
          <w:szCs w:val="24"/>
          <w:highlight w:val="none"/>
          <w:lang w:val="en-US" w:eastAsia="zh-CN"/>
        </w:rPr>
        <w:t>均未分项细化</w:t>
      </w:r>
      <w:r>
        <w:rPr>
          <w:rFonts w:hint="eastAsia" w:ascii="FangSong_GB2312" w:hAnsi="FangSong_GB2312" w:eastAsia="FangSong_GB2312" w:cs="Times New Roman"/>
          <w:bCs w:val="0"/>
          <w:sz w:val="32"/>
          <w:szCs w:val="24"/>
          <w:highlight w:val="none"/>
        </w:rPr>
        <w:t>，不利于</w:t>
      </w:r>
      <w:r>
        <w:rPr>
          <w:rFonts w:hint="eastAsia" w:ascii="FangSong_GB2312" w:hAnsi="FangSong_GB2312" w:eastAsia="FangSong_GB2312" w:cs="Times New Roman"/>
          <w:bCs w:val="0"/>
          <w:sz w:val="32"/>
          <w:szCs w:val="24"/>
          <w:highlight w:val="none"/>
          <w:lang w:val="en-US" w:eastAsia="zh-CN"/>
        </w:rPr>
        <w:t>项目</w:t>
      </w:r>
      <w:r>
        <w:rPr>
          <w:rFonts w:hint="eastAsia" w:ascii="FangSong_GB2312" w:hAnsi="FangSong_GB2312" w:eastAsia="FangSong_GB2312" w:cs="Times New Roman"/>
          <w:bCs w:val="0"/>
          <w:sz w:val="32"/>
          <w:szCs w:val="24"/>
          <w:highlight w:val="none"/>
        </w:rPr>
        <w:t>验收和考核评价；</w:t>
      </w:r>
      <w:r>
        <w:rPr>
          <w:rFonts w:hint="eastAsia" w:ascii="FangSong_GB2312" w:hAnsi="FangSong_GB2312" w:eastAsia="FangSong_GB2312" w:cs="Times New Roman"/>
          <w:bCs w:val="0"/>
          <w:sz w:val="32"/>
          <w:szCs w:val="24"/>
          <w:highlight w:val="none"/>
          <w:lang w:val="en-US" w:eastAsia="zh-CN"/>
        </w:rPr>
        <w:t>二是</w:t>
      </w:r>
      <w:r>
        <w:rPr>
          <w:rFonts w:hint="eastAsia" w:ascii="FangSong_GB2312" w:hAnsi="FangSong_GB2312" w:eastAsia="FangSong_GB2312" w:cs="Times New Roman"/>
          <w:bCs w:val="0"/>
          <w:sz w:val="32"/>
          <w:szCs w:val="24"/>
          <w:highlight w:val="none"/>
        </w:rPr>
        <w:t>产出时效指标未明确项目的起止时间</w:t>
      </w:r>
      <w:r>
        <w:rPr>
          <w:rFonts w:hint="eastAsia" w:ascii="FangSong_GB2312" w:hAnsi="FangSong_GB2312" w:eastAsia="FangSong_GB2312" w:cs="Times New Roman"/>
          <w:bCs w:val="0"/>
          <w:sz w:val="32"/>
          <w:szCs w:val="24"/>
          <w:highlight w:val="none"/>
          <w:lang w:val="en-US" w:eastAsia="zh-CN"/>
        </w:rPr>
        <w:t>及</w:t>
      </w:r>
      <w:r>
        <w:rPr>
          <w:rFonts w:hint="eastAsia" w:ascii="FangSong_GB2312" w:hAnsi="FangSong_GB2312" w:eastAsia="FangSong_GB2312" w:cs="Times New Roman"/>
          <w:bCs w:val="0"/>
          <w:sz w:val="32"/>
          <w:szCs w:val="24"/>
          <w:highlight w:val="none"/>
        </w:rPr>
        <w:t>各环节具体进度要求，</w:t>
      </w:r>
      <w:r>
        <w:rPr>
          <w:rFonts w:hint="eastAsia" w:ascii="FangSong_GB2312" w:hAnsi="FangSong_GB2312" w:eastAsia="FangSong_GB2312" w:cs="Times New Roman"/>
          <w:bCs w:val="0"/>
          <w:sz w:val="32"/>
          <w:szCs w:val="24"/>
          <w:highlight w:val="none"/>
          <w:lang w:val="en-US" w:eastAsia="zh-CN"/>
        </w:rPr>
        <w:t>无法</w:t>
      </w:r>
      <w:r>
        <w:rPr>
          <w:rFonts w:hint="eastAsia" w:ascii="FangSong_GB2312" w:hAnsi="FangSong_GB2312" w:eastAsia="FangSong_GB2312" w:cs="Times New Roman"/>
          <w:bCs w:val="0"/>
          <w:sz w:val="32"/>
          <w:szCs w:val="24"/>
          <w:highlight w:val="none"/>
        </w:rPr>
        <w:t>对项目实施进度</w:t>
      </w:r>
      <w:r>
        <w:rPr>
          <w:rFonts w:hint="eastAsia" w:ascii="FangSong_GB2312" w:hAnsi="FangSong_GB2312" w:eastAsia="FangSong_GB2312" w:cs="Times New Roman"/>
          <w:bCs w:val="0"/>
          <w:sz w:val="32"/>
          <w:szCs w:val="24"/>
          <w:highlight w:val="none"/>
          <w:lang w:val="en-US" w:eastAsia="zh-CN"/>
        </w:rPr>
        <w:t>形成有效</w:t>
      </w:r>
      <w:r>
        <w:rPr>
          <w:rFonts w:hint="eastAsia" w:ascii="FangSong_GB2312" w:hAnsi="FangSong_GB2312" w:eastAsia="FangSong_GB2312" w:cs="Times New Roman"/>
          <w:bCs w:val="0"/>
          <w:sz w:val="32"/>
          <w:szCs w:val="24"/>
          <w:highlight w:val="none"/>
        </w:rPr>
        <w:t>约</w:t>
      </w:r>
      <w:r>
        <w:rPr>
          <w:rFonts w:hint="eastAsia" w:ascii="FangSong_GB2312" w:hAnsi="FangSong_GB2312" w:eastAsia="FangSong_GB2312" w:cs="Times New Roman"/>
          <w:bCs w:val="0"/>
          <w:sz w:val="32"/>
          <w:szCs w:val="24"/>
          <w:highlight w:val="none"/>
          <w:lang w:val="en-US" w:eastAsia="zh-CN"/>
        </w:rPr>
        <w:t>束</w:t>
      </w:r>
      <w:r>
        <w:rPr>
          <w:rFonts w:hint="eastAsia" w:ascii="FangSong_GB2312" w:hAnsi="FangSong_GB2312" w:eastAsia="FangSong_GB2312" w:cs="Times New Roman"/>
          <w:bCs w:val="0"/>
          <w:sz w:val="32"/>
          <w:szCs w:val="24"/>
          <w:highlight w:val="none"/>
        </w:rPr>
        <w:t>；</w:t>
      </w:r>
      <w:r>
        <w:rPr>
          <w:rFonts w:hint="eastAsia" w:ascii="FangSong_GB2312" w:hAnsi="FangSong_GB2312" w:eastAsia="FangSong_GB2312" w:cs="Times New Roman"/>
          <w:bCs w:val="0"/>
          <w:sz w:val="32"/>
          <w:szCs w:val="24"/>
          <w:highlight w:val="none"/>
          <w:lang w:val="en-US" w:eastAsia="zh-CN"/>
        </w:rPr>
        <w:t>三是</w:t>
      </w:r>
      <w:r>
        <w:rPr>
          <w:rFonts w:hint="eastAsia" w:ascii="FangSong_GB2312" w:hAnsi="FangSong_GB2312" w:eastAsia="FangSong_GB2312" w:cs="Times New Roman"/>
          <w:bCs w:val="0"/>
          <w:sz w:val="32"/>
          <w:szCs w:val="24"/>
          <w:highlight w:val="none"/>
        </w:rPr>
        <w:t>产出成本指标未设置</w:t>
      </w:r>
      <w:r>
        <w:rPr>
          <w:rFonts w:hint="eastAsia" w:ascii="FangSong_GB2312" w:hAnsi="FangSong_GB2312" w:eastAsia="FangSong_GB2312" w:cs="Times New Roman"/>
          <w:kern w:val="2"/>
          <w:sz w:val="32"/>
          <w:szCs w:val="24"/>
          <w:highlight w:val="none"/>
        </w:rPr>
        <w:t>分项成本指标、单位成本指标或成本定额标准</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lang w:val="en-US" w:eastAsia="zh-CN"/>
        </w:rPr>
        <w:t>四是</w:t>
      </w:r>
      <w:r>
        <w:rPr>
          <w:rFonts w:hint="eastAsia" w:ascii="FangSong_GB2312" w:hAnsi="FangSong_GB2312" w:eastAsia="FangSong_GB2312" w:cs="Times New Roman"/>
          <w:bCs w:val="0"/>
          <w:sz w:val="32"/>
          <w:szCs w:val="24"/>
          <w:highlight w:val="none"/>
          <w:lang w:val="en-US" w:eastAsia="zh-CN"/>
        </w:rPr>
        <w:t>社会</w:t>
      </w:r>
      <w:r>
        <w:rPr>
          <w:rFonts w:hint="eastAsia" w:ascii="FangSong_GB2312" w:hAnsi="FangSong_GB2312" w:eastAsia="FangSong_GB2312" w:cs="Times New Roman"/>
          <w:bCs w:val="0"/>
          <w:sz w:val="32"/>
          <w:szCs w:val="24"/>
          <w:highlight w:val="none"/>
        </w:rPr>
        <w:t>效益指标为定性描述，量化不足，</w:t>
      </w:r>
      <w:r>
        <w:rPr>
          <w:rFonts w:hint="eastAsia" w:ascii="FangSong_GB2312" w:hAnsi="FangSong_GB2312" w:eastAsia="FangSong_GB2312" w:cs="Times New Roman"/>
          <w:bCs w:val="0"/>
          <w:sz w:val="32"/>
          <w:szCs w:val="24"/>
          <w:highlight w:val="none"/>
          <w:lang w:val="en-US" w:eastAsia="zh-CN"/>
        </w:rPr>
        <w:t>且效益指标不完整，未设置生态效益、可持续影响指标。</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lang w:val="en-US" w:eastAsia="zh-CN"/>
        </w:rPr>
      </w:pPr>
      <w:r>
        <w:rPr>
          <w:rFonts w:hint="eastAsia" w:ascii="FangSong_GB2312" w:hAnsi="FangSong_GB2312" w:eastAsia="FangSong_GB2312" w:cs="Times New Roman"/>
          <w:sz w:val="32"/>
          <w:szCs w:val="24"/>
          <w:highlight w:val="none"/>
          <w:lang w:val="en-US" w:eastAsia="zh-CN"/>
        </w:rPr>
        <w:t>3.</w:t>
      </w:r>
      <w:r>
        <w:rPr>
          <w:rFonts w:hint="eastAsia" w:ascii="FangSong_GB2312" w:hAnsi="FangSong_GB2312" w:eastAsia="FangSong_GB2312" w:cs="Times New Roman"/>
          <w:sz w:val="32"/>
          <w:szCs w:val="24"/>
          <w:highlight w:val="none"/>
        </w:rPr>
        <w:t>未编制项目实施方案</w:t>
      </w:r>
      <w:r>
        <w:rPr>
          <w:rFonts w:hint="eastAsia" w:ascii="FangSong_GB2312" w:hAnsi="FangSong_GB2312" w:eastAsia="FangSong_GB2312" w:cs="Times New Roman"/>
          <w:sz w:val="32"/>
          <w:szCs w:val="24"/>
          <w:highlight w:val="none"/>
          <w:lang w:eastAsia="zh-CN"/>
        </w:rPr>
        <w:t>，</w:t>
      </w:r>
      <w:r>
        <w:rPr>
          <w:rFonts w:hint="eastAsia" w:ascii="FangSong_GB2312" w:hAnsi="FangSong_GB2312" w:eastAsia="FangSong_GB2312" w:cs="Times New Roman"/>
          <w:bCs w:val="0"/>
          <w:sz w:val="32"/>
          <w:szCs w:val="24"/>
          <w:highlight w:val="none"/>
        </w:rPr>
        <w:t>项目主管部门和</w:t>
      </w:r>
      <w:r>
        <w:rPr>
          <w:rFonts w:hint="eastAsia" w:ascii="FangSong_GB2312" w:hAnsi="FangSong_GB2312" w:eastAsia="FangSong_GB2312" w:cs="Times New Roman"/>
          <w:bCs w:val="0"/>
          <w:sz w:val="32"/>
          <w:szCs w:val="24"/>
          <w:highlight w:val="none"/>
          <w:lang w:val="en-US" w:eastAsia="zh-CN"/>
        </w:rPr>
        <w:t>项目管理公司</w:t>
      </w:r>
      <w:r>
        <w:rPr>
          <w:rFonts w:hint="eastAsia" w:ascii="FangSong_GB2312" w:hAnsi="FangSong_GB2312" w:eastAsia="FangSong_GB2312" w:cs="Times New Roman"/>
          <w:bCs w:val="0"/>
          <w:sz w:val="32"/>
          <w:szCs w:val="24"/>
          <w:highlight w:val="none"/>
        </w:rPr>
        <w:t>的职责分工不清晰</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lang w:val="en-US" w:eastAsia="zh-CN"/>
        </w:rPr>
        <w:t>管理制度不够健全，管理过程不够规范</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rPr>
      </w:pPr>
      <w:r>
        <w:rPr>
          <w:rFonts w:hint="eastAsia" w:ascii="FangSong_GB2312" w:hAnsi="FangSong_GB2312" w:eastAsia="FangSong_GB2312" w:cs="Times New Roman"/>
          <w:kern w:val="2"/>
          <w:sz w:val="32"/>
          <w:szCs w:val="24"/>
          <w:highlight w:val="none"/>
          <w:lang w:eastAsia="zh-CN"/>
        </w:rPr>
        <w:t>丽泽商务区管委会</w:t>
      </w:r>
      <w:r>
        <w:rPr>
          <w:rFonts w:hint="eastAsia" w:ascii="FangSong_GB2312" w:hAnsi="FangSong_GB2312" w:eastAsia="FangSong_GB2312" w:cs="Times New Roman"/>
          <w:bCs w:val="0"/>
          <w:sz w:val="32"/>
          <w:szCs w:val="24"/>
          <w:highlight w:val="none"/>
        </w:rPr>
        <w:t>未针对该项目编制专</w:t>
      </w:r>
      <w:r>
        <w:rPr>
          <w:rFonts w:hint="eastAsia" w:ascii="FangSong_GB2312" w:hAnsi="FangSong_GB2312" w:eastAsia="FangSong_GB2312" w:cs="Times New Roman"/>
          <w:bCs w:val="0"/>
          <w:sz w:val="32"/>
          <w:szCs w:val="24"/>
          <w:highlight w:val="none"/>
          <w:lang w:val="en-US" w:eastAsia="zh-CN"/>
        </w:rPr>
        <w:t>项</w:t>
      </w:r>
      <w:r>
        <w:rPr>
          <w:rFonts w:hint="eastAsia" w:ascii="FangSong_GB2312" w:hAnsi="FangSong_GB2312" w:eastAsia="FangSong_GB2312" w:cs="Times New Roman"/>
          <w:bCs w:val="0"/>
          <w:sz w:val="32"/>
          <w:szCs w:val="24"/>
          <w:highlight w:val="none"/>
        </w:rPr>
        <w:t>实施方案，未</w:t>
      </w:r>
      <w:r>
        <w:rPr>
          <w:rFonts w:hint="eastAsia" w:ascii="FangSong_GB2312" w:hAnsi="FangSong_GB2312" w:eastAsia="FangSong_GB2312" w:cs="Times New Roman"/>
          <w:bCs w:val="0"/>
          <w:sz w:val="32"/>
          <w:szCs w:val="24"/>
          <w:highlight w:val="none"/>
          <w:lang w:val="en-US" w:eastAsia="zh-CN"/>
        </w:rPr>
        <w:t>能</w:t>
      </w:r>
      <w:r>
        <w:rPr>
          <w:rFonts w:hint="eastAsia" w:ascii="FangSong_GB2312" w:hAnsi="FangSong_GB2312" w:eastAsia="FangSong_GB2312" w:cs="Times New Roman"/>
          <w:bCs w:val="0"/>
          <w:sz w:val="32"/>
          <w:szCs w:val="24"/>
          <w:highlight w:val="none"/>
        </w:rPr>
        <w:t>对项目职责分工、实施方式、工作流程、资金分配、进度安排、质量标准及保障机制、过程管控措施等</w:t>
      </w:r>
      <w:r>
        <w:rPr>
          <w:rFonts w:hint="eastAsia" w:ascii="FangSong_GB2312" w:hAnsi="FangSong_GB2312" w:eastAsia="FangSong_GB2312" w:cs="Times New Roman"/>
          <w:bCs w:val="0"/>
          <w:sz w:val="32"/>
          <w:szCs w:val="24"/>
          <w:highlight w:val="none"/>
          <w:lang w:val="en-US" w:eastAsia="zh-CN"/>
        </w:rPr>
        <w:t>关键内容进行系统规划和统筹安排</w:t>
      </w:r>
      <w:r>
        <w:rPr>
          <w:rFonts w:hint="eastAsia" w:ascii="FangSong_GB2312" w:hAnsi="FangSong_GB2312" w:eastAsia="FangSong_GB2312" w:cs="Times New Roman"/>
          <w:bCs w:val="0"/>
          <w:sz w:val="32"/>
          <w:szCs w:val="24"/>
          <w:highlight w:val="none"/>
        </w:rPr>
        <w:t>，</w:t>
      </w:r>
      <w:r>
        <w:rPr>
          <w:rFonts w:hint="eastAsia" w:ascii="FangSong_GB2312" w:hAnsi="FangSong_GB2312" w:eastAsia="FangSong_GB2312" w:cs="Times New Roman"/>
          <w:bCs w:val="0"/>
          <w:sz w:val="32"/>
          <w:szCs w:val="24"/>
          <w:highlight w:val="none"/>
          <w:lang w:val="en-US" w:eastAsia="zh-CN"/>
        </w:rPr>
        <w:t>项目实施缺少有效指导和约束</w:t>
      </w:r>
      <w:r>
        <w:rPr>
          <w:rFonts w:hint="eastAsia" w:ascii="FangSong_GB2312" w:hAnsi="FangSong_GB2312" w:eastAsia="FangSong_GB2312" w:cs="Times New Roman"/>
          <w:bCs w:val="0"/>
          <w:sz w:val="32"/>
          <w:szCs w:val="24"/>
          <w:highlight w:val="none"/>
        </w:rPr>
        <w:t>。</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rPr>
      </w:pPr>
      <w:r>
        <w:rPr>
          <w:rFonts w:hint="eastAsia" w:ascii="FangSong_GB2312" w:hAnsi="FangSong_GB2312" w:eastAsia="FangSong_GB2312" w:cs="Times New Roman"/>
          <w:bCs w:val="0"/>
          <w:sz w:val="32"/>
          <w:szCs w:val="24"/>
          <w:highlight w:val="none"/>
        </w:rPr>
        <w:t>项目实施过程中，</w:t>
      </w:r>
      <w:r>
        <w:rPr>
          <w:rFonts w:hint="eastAsia" w:ascii="FangSong_GB2312" w:hAnsi="FangSong_GB2312" w:eastAsia="FangSong_GB2312" w:cs="Times New Roman"/>
          <w:bCs w:val="0"/>
          <w:sz w:val="32"/>
          <w:szCs w:val="24"/>
          <w:highlight w:val="none"/>
          <w:lang w:eastAsia="zh-CN"/>
        </w:rPr>
        <w:t>丽泽商务区管委会</w:t>
      </w:r>
      <w:r>
        <w:rPr>
          <w:rFonts w:hint="eastAsia" w:ascii="FangSong_GB2312" w:hAnsi="FangSong_GB2312" w:eastAsia="FangSong_GB2312" w:cs="Times New Roman"/>
          <w:bCs w:val="0"/>
          <w:sz w:val="32"/>
          <w:szCs w:val="24"/>
          <w:highlight w:val="none"/>
          <w:lang w:val="en-US" w:eastAsia="zh-CN"/>
        </w:rPr>
        <w:t>与项目管理</w:t>
      </w:r>
      <w:r>
        <w:rPr>
          <w:rFonts w:hint="eastAsia" w:ascii="FangSong_GB2312" w:hAnsi="FangSong_GB2312" w:eastAsia="FangSong_GB2312" w:cs="Times New Roman"/>
          <w:bCs w:val="0"/>
          <w:sz w:val="32"/>
          <w:szCs w:val="24"/>
          <w:highlight w:val="none"/>
        </w:rPr>
        <w:t>服务供应商北京北咨工程项目管理咨询有限公司</w:t>
      </w:r>
      <w:r>
        <w:rPr>
          <w:rFonts w:hint="eastAsia" w:ascii="FangSong_GB2312" w:hAnsi="FangSong_GB2312" w:eastAsia="FangSong_GB2312" w:cs="Times New Roman"/>
          <w:bCs w:val="0"/>
          <w:sz w:val="32"/>
          <w:szCs w:val="24"/>
          <w:highlight w:val="none"/>
          <w:lang w:val="en-US" w:eastAsia="zh-CN"/>
        </w:rPr>
        <w:t>之间</w:t>
      </w:r>
      <w:r>
        <w:rPr>
          <w:rFonts w:hint="eastAsia" w:ascii="FangSong_GB2312" w:hAnsi="FangSong_GB2312" w:eastAsia="FangSong_GB2312" w:cs="Times New Roman"/>
          <w:bCs w:val="0"/>
          <w:sz w:val="32"/>
          <w:szCs w:val="24"/>
          <w:highlight w:val="none"/>
        </w:rPr>
        <w:t>的职责</w:t>
      </w:r>
      <w:r>
        <w:rPr>
          <w:rFonts w:hint="eastAsia" w:ascii="FangSong_GB2312" w:hAnsi="FangSong_GB2312" w:eastAsia="FangSong_GB2312" w:cs="Times New Roman"/>
          <w:bCs w:val="0"/>
          <w:sz w:val="32"/>
          <w:szCs w:val="24"/>
          <w:highlight w:val="none"/>
          <w:lang w:val="en-US" w:eastAsia="zh-CN"/>
        </w:rPr>
        <w:t>边界</w:t>
      </w:r>
      <w:r>
        <w:rPr>
          <w:rFonts w:hint="eastAsia" w:ascii="FangSong_GB2312" w:hAnsi="FangSong_GB2312" w:eastAsia="FangSong_GB2312" w:cs="Times New Roman"/>
          <w:bCs w:val="0"/>
          <w:sz w:val="32"/>
          <w:szCs w:val="24"/>
          <w:highlight w:val="none"/>
        </w:rPr>
        <w:t>不</w:t>
      </w:r>
      <w:r>
        <w:rPr>
          <w:rFonts w:hint="eastAsia" w:ascii="FangSong_GB2312" w:hAnsi="FangSong_GB2312" w:eastAsia="FangSong_GB2312" w:cs="Times New Roman"/>
          <w:bCs w:val="0"/>
          <w:sz w:val="32"/>
          <w:szCs w:val="24"/>
          <w:highlight w:val="none"/>
          <w:lang w:val="en-US" w:eastAsia="zh-CN"/>
        </w:rPr>
        <w:t>清晰</w:t>
      </w:r>
      <w:r>
        <w:rPr>
          <w:rFonts w:hint="eastAsia" w:ascii="FangSong_GB2312" w:hAnsi="FangSong_GB2312" w:eastAsia="FangSong_GB2312" w:cs="Times New Roman"/>
          <w:bCs w:val="0"/>
          <w:sz w:val="32"/>
          <w:szCs w:val="24"/>
          <w:highlight w:val="none"/>
          <w:lang w:eastAsia="zh-CN"/>
        </w:rPr>
        <w:t>。丽泽商务区管委会</w:t>
      </w:r>
      <w:r>
        <w:rPr>
          <w:rFonts w:hint="eastAsia" w:ascii="FangSong_GB2312" w:hAnsi="FangSong_GB2312" w:eastAsia="FangSong_GB2312" w:cs="Times New Roman"/>
          <w:bCs w:val="0"/>
          <w:sz w:val="32"/>
          <w:szCs w:val="24"/>
          <w:highlight w:val="none"/>
        </w:rPr>
        <w:t>对第三方服务供应商的过程监管资料不足，双方在工作</w:t>
      </w:r>
      <w:r>
        <w:rPr>
          <w:rFonts w:hint="eastAsia" w:ascii="FangSong_GB2312" w:hAnsi="FangSong_GB2312" w:eastAsia="FangSong_GB2312" w:cs="Times New Roman"/>
          <w:bCs w:val="0"/>
          <w:sz w:val="32"/>
          <w:szCs w:val="24"/>
          <w:highlight w:val="none"/>
          <w:lang w:val="en-US" w:eastAsia="zh-CN"/>
        </w:rPr>
        <w:t>协同配合过程中的资料</w:t>
      </w:r>
      <w:r>
        <w:rPr>
          <w:rFonts w:hint="eastAsia" w:ascii="FangSong_GB2312" w:hAnsi="FangSong_GB2312" w:eastAsia="FangSong_GB2312" w:cs="Times New Roman"/>
          <w:bCs w:val="0"/>
          <w:sz w:val="32"/>
          <w:szCs w:val="24"/>
          <w:highlight w:val="none"/>
        </w:rPr>
        <w:t>留存不完整</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rPr>
        <w:t>项目统筹管理机制</w:t>
      </w:r>
      <w:r>
        <w:rPr>
          <w:rFonts w:hint="eastAsia" w:ascii="FangSong_GB2312" w:hAnsi="FangSong_GB2312" w:eastAsia="FangSong_GB2312" w:cs="Times New Roman"/>
          <w:bCs w:val="0"/>
          <w:sz w:val="32"/>
          <w:szCs w:val="24"/>
          <w:highlight w:val="none"/>
          <w:lang w:val="en-US" w:eastAsia="zh-CN"/>
        </w:rPr>
        <w:t>不完善</w:t>
      </w:r>
      <w:r>
        <w:rPr>
          <w:rFonts w:hint="eastAsia" w:ascii="FangSong_GB2312" w:hAnsi="FangSong_GB2312" w:eastAsia="FangSong_GB2312" w:cs="Times New Roman"/>
          <w:bCs w:val="0"/>
          <w:sz w:val="32"/>
          <w:szCs w:val="24"/>
          <w:highlight w:val="none"/>
        </w:rPr>
        <w:t>。</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lang w:val="en-US" w:eastAsia="zh-CN"/>
        </w:rPr>
      </w:pPr>
      <w:r>
        <w:rPr>
          <w:rFonts w:hint="eastAsia" w:ascii="FangSong_GB2312" w:hAnsi="FangSong_GB2312" w:eastAsia="FangSong_GB2312" w:cs="Times New Roman"/>
          <w:bCs w:val="0"/>
          <w:sz w:val="32"/>
          <w:szCs w:val="24"/>
          <w:highlight w:val="none"/>
          <w:lang w:val="en-US" w:eastAsia="zh-CN"/>
        </w:rPr>
        <w:t>项目管理过程中，未能建立</w:t>
      </w:r>
      <w:r>
        <w:rPr>
          <w:rFonts w:hint="eastAsia" w:ascii="FangSong_GB2312" w:hAnsi="FangSong_GB2312" w:eastAsia="FangSong_GB2312" w:cs="Times New Roman"/>
          <w:bCs w:val="0"/>
          <w:sz w:val="32"/>
          <w:szCs w:val="24"/>
          <w:highlight w:val="none"/>
        </w:rPr>
        <w:t>强制性数据互通机制，导致信息碎片化</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lang w:val="en-US" w:eastAsia="zh-CN"/>
        </w:rPr>
        <w:t>未能完整体现项目单位的</w:t>
      </w:r>
      <w:r>
        <w:rPr>
          <w:rFonts w:hint="eastAsia" w:ascii="FangSong_GB2312" w:hAnsi="FangSong_GB2312" w:eastAsia="FangSong_GB2312" w:cs="Times New Roman"/>
          <w:bCs w:val="0"/>
          <w:sz w:val="32"/>
          <w:szCs w:val="24"/>
          <w:highlight w:val="none"/>
        </w:rPr>
        <w:t>履职</w:t>
      </w:r>
      <w:r>
        <w:rPr>
          <w:rFonts w:hint="eastAsia" w:ascii="FangSong_GB2312" w:hAnsi="FangSong_GB2312" w:eastAsia="FangSong_GB2312" w:cs="Times New Roman"/>
          <w:bCs w:val="0"/>
          <w:sz w:val="32"/>
          <w:szCs w:val="24"/>
          <w:highlight w:val="none"/>
          <w:lang w:val="en-US" w:eastAsia="zh-CN"/>
        </w:rPr>
        <w:t>全过程</w:t>
      </w:r>
      <w:r>
        <w:rPr>
          <w:rFonts w:hint="eastAsia" w:ascii="FangSong_GB2312" w:hAnsi="FangSong_GB2312" w:eastAsia="FangSong_GB2312" w:cs="Times New Roman"/>
          <w:bCs w:val="0"/>
          <w:sz w:val="32"/>
          <w:szCs w:val="24"/>
          <w:highlight w:val="none"/>
          <w:lang w:eastAsia="zh-CN"/>
        </w:rPr>
        <w:t>。</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bCs w:val="0"/>
          <w:sz w:val="32"/>
          <w:szCs w:val="24"/>
          <w:highlight w:val="none"/>
        </w:rPr>
      </w:pPr>
      <w:r>
        <w:rPr>
          <w:rFonts w:hint="eastAsia" w:ascii="FangSong_GB2312" w:hAnsi="FangSong_GB2312" w:eastAsia="FangSong_GB2312" w:cs="Times New Roman"/>
          <w:bCs w:val="0"/>
          <w:sz w:val="32"/>
          <w:szCs w:val="24"/>
          <w:highlight w:val="none"/>
          <w:lang w:val="en-US" w:eastAsia="zh-CN"/>
        </w:rPr>
        <w:t>4.</w:t>
      </w:r>
      <w:r>
        <w:rPr>
          <w:rFonts w:hint="eastAsia" w:ascii="FangSong_GB2312" w:hAnsi="FangSong_GB2312" w:eastAsia="FangSong_GB2312" w:cs="Times New Roman"/>
          <w:bCs w:val="0"/>
          <w:sz w:val="32"/>
          <w:szCs w:val="24"/>
          <w:highlight w:val="none"/>
        </w:rPr>
        <w:t>绩效成果体现不充分，满意度调查</w:t>
      </w:r>
      <w:r>
        <w:rPr>
          <w:rFonts w:hint="eastAsia" w:ascii="FangSong_GB2312" w:hAnsi="FangSong_GB2312" w:eastAsia="FangSong_GB2312" w:cs="Times New Roman"/>
          <w:bCs w:val="0"/>
          <w:sz w:val="32"/>
          <w:szCs w:val="24"/>
          <w:highlight w:val="none"/>
          <w:lang w:eastAsia="zh-CN"/>
        </w:rPr>
        <w:t>科学性</w:t>
      </w:r>
      <w:r>
        <w:rPr>
          <w:rFonts w:hint="eastAsia" w:ascii="FangSong_GB2312" w:hAnsi="FangSong_GB2312" w:eastAsia="FangSong_GB2312" w:cs="Times New Roman"/>
          <w:bCs w:val="0"/>
          <w:sz w:val="32"/>
          <w:szCs w:val="24"/>
          <w:highlight w:val="none"/>
        </w:rPr>
        <w:t>不强</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bCs w:val="0"/>
          <w:sz w:val="32"/>
          <w:szCs w:val="24"/>
          <w:highlight w:val="none"/>
          <w:lang w:eastAsia="zh-CN"/>
        </w:rPr>
        <w:t>丽泽商务区管委会</w:t>
      </w:r>
      <w:r>
        <w:rPr>
          <w:rFonts w:hint="eastAsia" w:ascii="FangSong_GB2312" w:hAnsi="FangSong_GB2312" w:eastAsia="FangSong_GB2312" w:cs="Times New Roman"/>
          <w:bCs w:val="0"/>
          <w:sz w:val="32"/>
          <w:szCs w:val="24"/>
          <w:highlight w:val="none"/>
        </w:rPr>
        <w:t>对项目绩效成果的全面梳理不足，对项目实施的</w:t>
      </w:r>
      <w:r>
        <w:rPr>
          <w:rFonts w:hint="eastAsia" w:ascii="FangSong_GB2312" w:hAnsi="FangSong_GB2312" w:eastAsia="FangSong_GB2312" w:cs="Times New Roman"/>
          <w:bCs w:val="0"/>
          <w:sz w:val="32"/>
          <w:szCs w:val="24"/>
          <w:highlight w:val="none"/>
          <w:lang w:val="en-US" w:eastAsia="zh-CN"/>
        </w:rPr>
        <w:t>社会效益和生态效益分</w:t>
      </w:r>
      <w:r>
        <w:rPr>
          <w:rFonts w:hint="eastAsia" w:ascii="FangSong_GB2312" w:hAnsi="FangSong_GB2312" w:eastAsia="FangSong_GB2312" w:cs="Times New Roman"/>
          <w:bCs w:val="0"/>
          <w:sz w:val="32"/>
          <w:szCs w:val="24"/>
          <w:highlight w:val="none"/>
        </w:rPr>
        <w:t>析深度不够。</w:t>
      </w:r>
      <w:r>
        <w:rPr>
          <w:rFonts w:hint="eastAsia" w:ascii="FangSong_GB2312" w:hAnsi="FangSong_GB2312" w:eastAsia="FangSong_GB2312" w:cs="Times New Roman"/>
          <w:bCs w:val="0"/>
          <w:sz w:val="32"/>
          <w:szCs w:val="24"/>
          <w:highlight w:val="none"/>
          <w:lang w:val="en-US" w:eastAsia="zh-CN"/>
        </w:rPr>
        <w:t>现场踏勘发现，</w:t>
      </w:r>
      <w:r>
        <w:rPr>
          <w:rFonts w:hint="eastAsia" w:ascii="FangSong_GB2312" w:hAnsi="FangSong_GB2312" w:eastAsia="FangSong_GB2312" w:cs="Times New Roman"/>
          <w:sz w:val="32"/>
          <w:szCs w:val="24"/>
          <w:highlight w:val="none"/>
          <w:lang w:val="en-US" w:eastAsia="zh-CN"/>
        </w:rPr>
        <w:t>部分区域施工略显</w:t>
      </w:r>
      <w:r>
        <w:rPr>
          <w:rFonts w:hint="eastAsia" w:ascii="FangSong_GB2312" w:hAnsi="FangSong_GB2312" w:eastAsia="FangSong_GB2312" w:cs="Times New Roman"/>
          <w:sz w:val="32"/>
          <w:szCs w:val="24"/>
          <w:highlight w:val="none"/>
          <w:lang w:eastAsia="zh-CN"/>
        </w:rPr>
        <w:t>粗糙，</w:t>
      </w:r>
      <w:r>
        <w:rPr>
          <w:rFonts w:hint="eastAsia" w:ascii="FangSong_GB2312" w:hAnsi="FangSong_GB2312" w:eastAsia="FangSong_GB2312" w:cs="Times New Roman"/>
          <w:sz w:val="32"/>
          <w:szCs w:val="24"/>
          <w:highlight w:val="none"/>
          <w:lang w:val="en-US" w:eastAsia="zh-CN"/>
        </w:rPr>
        <w:t>部分城市家具</w:t>
      </w:r>
      <w:r>
        <w:rPr>
          <w:rFonts w:hint="eastAsia" w:ascii="FangSong_GB2312" w:hAnsi="FangSong_GB2312" w:eastAsia="FangSong_GB2312" w:cs="Times New Roman"/>
          <w:sz w:val="32"/>
          <w:szCs w:val="24"/>
          <w:highlight w:val="none"/>
          <w:lang w:eastAsia="zh-CN"/>
        </w:rPr>
        <w:t>刷漆</w:t>
      </w:r>
      <w:r>
        <w:rPr>
          <w:rFonts w:hint="eastAsia" w:ascii="FangSong_GB2312" w:hAnsi="FangSong_GB2312" w:eastAsia="FangSong_GB2312" w:cs="Times New Roman"/>
          <w:sz w:val="32"/>
          <w:szCs w:val="24"/>
          <w:highlight w:val="none"/>
          <w:lang w:val="en-US" w:eastAsia="zh-CN"/>
        </w:rPr>
        <w:t>不够</w:t>
      </w:r>
      <w:r>
        <w:rPr>
          <w:rFonts w:hint="eastAsia" w:ascii="FangSong_GB2312" w:hAnsi="FangSong_GB2312" w:eastAsia="FangSong_GB2312" w:cs="Times New Roman"/>
          <w:sz w:val="32"/>
          <w:szCs w:val="24"/>
          <w:highlight w:val="none"/>
          <w:lang w:eastAsia="zh-CN"/>
        </w:rPr>
        <w:t>均匀。</w:t>
      </w:r>
      <w:r>
        <w:rPr>
          <w:rFonts w:hint="eastAsia" w:ascii="FangSong_GB2312" w:hAnsi="FangSong_GB2312" w:eastAsia="FangSong_GB2312" w:cs="Times New Roman"/>
          <w:bCs w:val="0"/>
          <w:sz w:val="32"/>
          <w:szCs w:val="24"/>
          <w:highlight w:val="none"/>
          <w:lang w:eastAsia="zh-CN"/>
        </w:rPr>
        <w:t>丽泽商务区管委会</w:t>
      </w:r>
      <w:r>
        <w:rPr>
          <w:rFonts w:hint="eastAsia" w:ascii="FangSong_GB2312" w:hAnsi="FangSong_GB2312" w:eastAsia="FangSong_GB2312" w:cs="Times New Roman"/>
          <w:bCs w:val="0"/>
          <w:sz w:val="32"/>
          <w:szCs w:val="24"/>
          <w:highlight w:val="none"/>
        </w:rPr>
        <w:t>针对该项目发放了</w:t>
      </w:r>
      <w:r>
        <w:rPr>
          <w:rFonts w:hint="eastAsia" w:ascii="FangSong_GB2312" w:hAnsi="FangSong_GB2312" w:eastAsia="FangSong_GB2312" w:cs="Times New Roman"/>
          <w:bCs w:val="0"/>
          <w:sz w:val="32"/>
          <w:szCs w:val="24"/>
          <w:highlight w:val="none"/>
          <w:lang w:val="en-US" w:eastAsia="zh-CN"/>
        </w:rPr>
        <w:t>40</w:t>
      </w:r>
      <w:r>
        <w:rPr>
          <w:rFonts w:hint="eastAsia" w:ascii="FangSong_GB2312" w:hAnsi="FangSong_GB2312" w:eastAsia="FangSong_GB2312" w:cs="Times New Roman"/>
          <w:bCs w:val="0"/>
          <w:sz w:val="32"/>
          <w:szCs w:val="24"/>
          <w:highlight w:val="none"/>
        </w:rPr>
        <w:t>份满意度调查问卷，但问卷调查的范围和深度均不充分</w:t>
      </w:r>
      <w:r>
        <w:rPr>
          <w:rFonts w:hint="eastAsia" w:ascii="FangSong_GB2312" w:hAnsi="FangSong_GB2312" w:eastAsia="FangSong_GB2312" w:cs="Times New Roman"/>
          <w:bCs w:val="0"/>
          <w:sz w:val="32"/>
          <w:szCs w:val="24"/>
          <w:highlight w:val="none"/>
          <w:lang w:eastAsia="zh-CN"/>
        </w:rPr>
        <w:t>，</w:t>
      </w:r>
      <w:r>
        <w:rPr>
          <w:rFonts w:hint="eastAsia" w:ascii="FangSong_GB2312" w:hAnsi="FangSong_GB2312" w:eastAsia="FangSong_GB2312" w:cs="Times New Roman"/>
          <w:bCs w:val="0"/>
          <w:sz w:val="32"/>
          <w:szCs w:val="24"/>
          <w:highlight w:val="none"/>
        </w:rPr>
        <w:t>未深入了解</w:t>
      </w:r>
      <w:r>
        <w:rPr>
          <w:rFonts w:hint="eastAsia" w:ascii="FangSong_GB2312" w:hAnsi="FangSong_GB2312" w:eastAsia="FangSong_GB2312" w:cs="Times New Roman"/>
          <w:bCs w:val="0"/>
          <w:sz w:val="32"/>
          <w:szCs w:val="24"/>
          <w:highlight w:val="none"/>
          <w:lang w:val="en-US" w:eastAsia="zh-CN"/>
        </w:rPr>
        <w:t>该</w:t>
      </w:r>
      <w:r>
        <w:rPr>
          <w:rFonts w:hint="eastAsia" w:ascii="FangSong_GB2312" w:hAnsi="FangSong_GB2312" w:eastAsia="FangSong_GB2312" w:cs="Times New Roman"/>
          <w:bCs w:val="0"/>
          <w:sz w:val="32"/>
          <w:szCs w:val="24"/>
          <w:highlight w:val="none"/>
        </w:rPr>
        <w:t>项目实施过程中可能存在的问题。</w:t>
      </w:r>
    </w:p>
    <w:p>
      <w:pPr>
        <w:spacing w:beforeLines="0" w:afterLines="0" w:line="560" w:lineRule="exact"/>
        <w:ind w:firstLine="640" w:firstLineChars="200"/>
        <w:jc w:val="both"/>
        <w:rPr>
          <w:rFonts w:hint="default" w:ascii="黑体" w:hAnsi="黑体" w:eastAsia="黑体" w:cs="Times New Roman"/>
          <w:sz w:val="32"/>
          <w:lang w:val="en-US" w:eastAsia="zh-CN"/>
        </w:rPr>
      </w:pPr>
      <w:r>
        <w:rPr>
          <w:rFonts w:hint="default" w:ascii="黑体" w:hAnsi="黑体" w:eastAsia="黑体" w:cs="Times New Roman"/>
          <w:sz w:val="32"/>
          <w:lang w:val="en-US" w:eastAsia="zh-CN"/>
        </w:rPr>
        <w:t>五、相关建议</w:t>
      </w:r>
    </w:p>
    <w:p>
      <w:pPr>
        <w:keepNext w:val="0"/>
        <w:keepLines w:val="0"/>
        <w:pageBreakBefore w:val="0"/>
        <w:kinsoku/>
        <w:wordWrap/>
        <w:overflowPunct/>
        <w:topLinePunct w:val="0"/>
        <w:autoSpaceDE/>
        <w:autoSpaceDN/>
        <w:bidi w:val="0"/>
        <w:spacing w:beforeLines="0" w:afterLines="0" w:line="560" w:lineRule="exact"/>
        <w:ind w:left="0" w:leftChars="0"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lang w:eastAsia="zh-CN"/>
        </w:rPr>
        <w:t>1</w:t>
      </w:r>
      <w:r>
        <w:rPr>
          <w:rFonts w:hint="eastAsia" w:ascii="FangSong_GB2312" w:hAnsi="FangSong_GB2312" w:eastAsia="FangSong_GB2312" w:cs="Times New Roman"/>
          <w:kern w:val="2"/>
          <w:sz w:val="32"/>
          <w:szCs w:val="24"/>
          <w:highlight w:val="none"/>
          <w:lang w:val="en-US" w:eastAsia="zh-CN"/>
        </w:rPr>
        <w:t>.</w:t>
      </w:r>
      <w:r>
        <w:rPr>
          <w:rFonts w:hint="eastAsia" w:ascii="FangSong_GB2312" w:hAnsi="FangSong_GB2312" w:eastAsia="FangSong_GB2312" w:cs="Times New Roman"/>
          <w:kern w:val="2"/>
          <w:sz w:val="32"/>
          <w:szCs w:val="24"/>
          <w:highlight w:val="none"/>
        </w:rPr>
        <w:t>加强前期调研和论证</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rPr>
        <w:t>提高立项</w:t>
      </w:r>
      <w:r>
        <w:rPr>
          <w:rFonts w:hint="eastAsia" w:ascii="FangSong_GB2312" w:hAnsi="FangSong_GB2312" w:eastAsia="FangSong_GB2312" w:cs="Times New Roman"/>
          <w:kern w:val="2"/>
          <w:sz w:val="32"/>
          <w:szCs w:val="24"/>
          <w:highlight w:val="none"/>
          <w:lang w:val="en-US" w:eastAsia="zh-CN"/>
        </w:rPr>
        <w:t>程序的规范性</w:t>
      </w:r>
      <w:r>
        <w:rPr>
          <w:rFonts w:hint="eastAsia" w:ascii="FangSong_GB2312" w:hAnsi="FangSong_GB2312" w:eastAsia="FangSong_GB2312" w:cs="Times New Roman"/>
          <w:kern w:val="2"/>
          <w:sz w:val="32"/>
          <w:szCs w:val="24"/>
          <w:highlight w:val="none"/>
          <w:lang w:eastAsia="zh-CN"/>
        </w:rPr>
        <w:t>，</w:t>
      </w:r>
      <w:r>
        <w:rPr>
          <w:rFonts w:hint="eastAsia" w:ascii="FangSong_GB2312" w:hAnsi="FangSong_GB2312" w:eastAsia="FangSong_GB2312" w:cs="Times New Roman"/>
          <w:kern w:val="2"/>
          <w:sz w:val="32"/>
          <w:szCs w:val="24"/>
          <w:highlight w:val="none"/>
        </w:rPr>
        <w:t>科学编制项目预算，强化预算刚性约束</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提高立项</w:t>
      </w:r>
      <w:r>
        <w:rPr>
          <w:rFonts w:hint="eastAsia" w:ascii="FangSong_GB2312" w:hAnsi="FangSong_GB2312" w:eastAsia="FangSong_GB2312" w:cs="Times New Roman"/>
          <w:kern w:val="2"/>
          <w:sz w:val="32"/>
          <w:szCs w:val="24"/>
          <w:highlight w:val="none"/>
          <w:lang w:val="en-US" w:eastAsia="zh-CN"/>
        </w:rPr>
        <w:t>程序的规范性</w:t>
      </w:r>
      <w:r>
        <w:rPr>
          <w:rFonts w:hint="eastAsia" w:ascii="FangSong_GB2312" w:hAnsi="FangSong_GB2312" w:eastAsia="FangSong_GB2312" w:cs="Times New Roman"/>
          <w:kern w:val="2"/>
          <w:sz w:val="32"/>
          <w:szCs w:val="24"/>
          <w:highlight w:val="none"/>
        </w:rPr>
        <w:t>，加强前期调研和论证，及时对项目实施情况和资金使用情况进行总结分析，科学制定中长期规划，合理编制年度计划，加强需求调研与分析，明确项目实施内容、形成成果归属及可持续性影响，</w:t>
      </w:r>
      <w:r>
        <w:rPr>
          <w:rFonts w:hint="eastAsia" w:ascii="FangSong_GB2312" w:hAnsi="FangSong_GB2312" w:eastAsia="FangSong_GB2312" w:cs="Times New Roman"/>
          <w:kern w:val="2"/>
          <w:sz w:val="32"/>
          <w:szCs w:val="24"/>
          <w:highlight w:val="none"/>
          <w:lang w:val="en-US" w:eastAsia="zh-CN"/>
        </w:rPr>
        <w:t>提高</w:t>
      </w:r>
      <w:r>
        <w:rPr>
          <w:rFonts w:hint="eastAsia" w:ascii="FangSong_GB2312" w:hAnsi="FangSong_GB2312" w:eastAsia="FangSong_GB2312" w:cs="Times New Roman"/>
          <w:kern w:val="2"/>
          <w:sz w:val="32"/>
          <w:szCs w:val="24"/>
          <w:highlight w:val="none"/>
        </w:rPr>
        <w:t>立项</w:t>
      </w:r>
      <w:r>
        <w:rPr>
          <w:rFonts w:hint="eastAsia" w:ascii="FangSong_GB2312" w:hAnsi="FangSong_GB2312" w:eastAsia="FangSong_GB2312" w:cs="Times New Roman"/>
          <w:kern w:val="2"/>
          <w:sz w:val="32"/>
          <w:szCs w:val="24"/>
          <w:highlight w:val="none"/>
          <w:lang w:val="en-US" w:eastAsia="zh-CN"/>
        </w:rPr>
        <w:t>程序的规范性</w:t>
      </w:r>
      <w:r>
        <w:rPr>
          <w:rFonts w:hint="eastAsia" w:ascii="FangSong_GB2312" w:hAnsi="FangSong_GB2312" w:eastAsia="FangSong_GB2312" w:cs="Times New Roman"/>
          <w:kern w:val="2"/>
          <w:sz w:val="32"/>
          <w:szCs w:val="24"/>
          <w:highlight w:val="none"/>
        </w:rPr>
        <w:t>。</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加强项目实施前需求分析论证，按照购买服务项目特点合理测算资金规模，精确编制项目预算，加强成本控制，提高风险防范意识，</w:t>
      </w:r>
      <w:r>
        <w:rPr>
          <w:rFonts w:hint="eastAsia" w:ascii="FangSong_GB2312" w:hAnsi="FangSong_GB2312" w:eastAsia="FangSong_GB2312" w:cs="Times New Roman"/>
          <w:kern w:val="2"/>
          <w:sz w:val="32"/>
          <w:szCs w:val="24"/>
          <w:highlight w:val="none"/>
          <w:lang w:eastAsia="zh-CN"/>
        </w:rPr>
        <w:t>提高改革决策的科学性</w:t>
      </w:r>
      <w:r>
        <w:rPr>
          <w:rFonts w:hint="eastAsia" w:ascii="FangSong_GB2312" w:hAnsi="FangSong_GB2312" w:eastAsia="FangSong_GB2312" w:cs="Times New Roman"/>
          <w:kern w:val="2"/>
          <w:sz w:val="32"/>
          <w:szCs w:val="24"/>
          <w:highlight w:val="none"/>
        </w:rPr>
        <w:t>；严格执行预算，强化对政府购买服务预算管理，任务调整应及时履行预算调整程序，强化预算刚性约束。</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lang w:eastAsia="zh-CN"/>
        </w:rPr>
        <w:t>2</w:t>
      </w:r>
      <w:r>
        <w:rPr>
          <w:rFonts w:hint="eastAsia" w:ascii="FangSong_GB2312" w:hAnsi="FangSong_GB2312" w:eastAsia="FangSong_GB2312" w:cs="Times New Roman"/>
          <w:kern w:val="2"/>
          <w:sz w:val="32"/>
          <w:szCs w:val="24"/>
          <w:highlight w:val="none"/>
          <w:lang w:val="en-US" w:eastAsia="zh-CN"/>
        </w:rPr>
        <w:t>.</w:t>
      </w:r>
      <w:r>
        <w:rPr>
          <w:rFonts w:hint="eastAsia" w:ascii="FangSong_GB2312" w:hAnsi="FangSong_GB2312" w:eastAsia="FangSong_GB2312" w:cs="Times New Roman"/>
          <w:kern w:val="2"/>
          <w:sz w:val="32"/>
          <w:szCs w:val="24"/>
          <w:highlight w:val="none"/>
        </w:rPr>
        <w:t>提高项目绩效管理理念，科学设计绩效目标</w:t>
      </w:r>
    </w:p>
    <w:p>
      <w:pPr>
        <w:keepNext w:val="0"/>
        <w:keepLines w:val="0"/>
        <w:pageBreakBefore w:val="0"/>
        <w:kinsoku/>
        <w:wordWrap/>
        <w:overflowPunct/>
        <w:topLinePunct w:val="0"/>
        <w:autoSpaceDE/>
        <w:autoSpaceDN/>
        <w:bidi w:val="0"/>
        <w:spacing w:beforeLines="0" w:afterLines="0" w:line="560" w:lineRule="exact"/>
        <w:ind w:firstLine="0" w:firstLineChars="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rPr>
        <w:t>强化绩效意识，依据相关文件和实施内容，规范填报绩效目标申报表，合理设定绩效目标，细化、量化绩效指标，为开展绩效目标管理夯实基础，为绩效评价创造条件。</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lang w:eastAsia="zh-CN"/>
        </w:rPr>
        <w:t>3</w:t>
      </w:r>
      <w:r>
        <w:rPr>
          <w:rFonts w:hint="eastAsia" w:ascii="FangSong_GB2312" w:hAnsi="FangSong_GB2312" w:eastAsia="FangSong_GB2312" w:cs="Times New Roman"/>
          <w:kern w:val="2"/>
          <w:sz w:val="32"/>
          <w:szCs w:val="24"/>
          <w:highlight w:val="none"/>
          <w:lang w:val="en-US" w:eastAsia="zh-CN"/>
        </w:rPr>
        <w:t>.制定并细化实施方案，健全</w:t>
      </w:r>
      <w:r>
        <w:rPr>
          <w:rFonts w:hint="eastAsia" w:ascii="FangSong_GB2312" w:hAnsi="FangSong_GB2312" w:eastAsia="FangSong_GB2312" w:cs="Times New Roman"/>
          <w:kern w:val="2"/>
          <w:sz w:val="32"/>
          <w:szCs w:val="24"/>
          <w:highlight w:val="none"/>
        </w:rPr>
        <w:t>管理制度</w:t>
      </w:r>
      <w:r>
        <w:rPr>
          <w:rFonts w:hint="eastAsia" w:ascii="FangSong_GB2312" w:hAnsi="FangSong_GB2312" w:eastAsia="FangSong_GB2312" w:cs="Times New Roman"/>
          <w:kern w:val="2"/>
          <w:sz w:val="32"/>
          <w:szCs w:val="24"/>
          <w:highlight w:val="none"/>
          <w:lang w:val="en-US" w:eastAsia="zh-CN"/>
        </w:rPr>
        <w:t>并</w:t>
      </w:r>
      <w:r>
        <w:rPr>
          <w:rFonts w:hint="eastAsia" w:ascii="FangSong_GB2312" w:hAnsi="FangSong_GB2312" w:eastAsia="FangSong_GB2312" w:cs="Times New Roman"/>
          <w:kern w:val="2"/>
          <w:sz w:val="32"/>
          <w:szCs w:val="24"/>
          <w:highlight w:val="none"/>
        </w:rPr>
        <w:t>规范项目过程管理</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lang w:val="en-US" w:eastAsia="zh-CN"/>
        </w:rPr>
      </w:pPr>
      <w:r>
        <w:rPr>
          <w:rFonts w:hint="eastAsia" w:ascii="FangSong_GB2312" w:hAnsi="FangSong_GB2312" w:eastAsia="FangSong_GB2312" w:cs="Times New Roman"/>
          <w:kern w:val="2"/>
          <w:sz w:val="32"/>
          <w:szCs w:val="24"/>
          <w:highlight w:val="none"/>
          <w:lang w:val="en-US" w:eastAsia="zh-CN"/>
        </w:rPr>
        <w:t>科学编制项目实施方案，系统明确各参与主体职责边界、实施路径、业务流程、资金配置方案、时间节点规划及质量验收标准，确保项目执行规范、稳步落实。进一步健全项目管理体系，推动管理模式从传统经验导向向制度规范化、技术智能化方向转型升级。同步强化项目全周期监管机制，提升风险预判与防控能力，通过制度约束与流程优化，为项目实施筑牢制度保障，也为后续成果验收、绩效评价提供科学量化依据。建议以责任主体清晰化、过程管控精细化、监督评估动态化为抓手，推动项目精细化管理。</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FangSong_GB2312" w:hAnsi="FangSong_GB2312" w:eastAsia="FangSong_GB2312" w:cs="Times New Roman"/>
          <w:kern w:val="2"/>
          <w:sz w:val="32"/>
          <w:szCs w:val="24"/>
          <w:highlight w:val="none"/>
        </w:rPr>
      </w:pPr>
      <w:r>
        <w:rPr>
          <w:rFonts w:hint="eastAsia" w:ascii="FangSong_GB2312" w:hAnsi="FangSong_GB2312" w:eastAsia="FangSong_GB2312" w:cs="Times New Roman"/>
          <w:kern w:val="2"/>
          <w:sz w:val="32"/>
          <w:szCs w:val="24"/>
          <w:highlight w:val="none"/>
          <w:lang w:eastAsia="zh-CN"/>
        </w:rPr>
        <w:t>4</w:t>
      </w:r>
      <w:r>
        <w:rPr>
          <w:rFonts w:hint="eastAsia" w:ascii="FangSong_GB2312" w:hAnsi="FangSong_GB2312" w:eastAsia="FangSong_GB2312" w:cs="Times New Roman"/>
          <w:kern w:val="2"/>
          <w:sz w:val="32"/>
          <w:szCs w:val="24"/>
          <w:highlight w:val="none"/>
          <w:lang w:val="en-US" w:eastAsia="zh-CN"/>
        </w:rPr>
        <w:t>.</w:t>
      </w:r>
      <w:r>
        <w:rPr>
          <w:rFonts w:hint="eastAsia" w:ascii="FangSong_GB2312" w:hAnsi="FangSong_GB2312" w:eastAsia="FangSong_GB2312" w:cs="Times New Roman"/>
          <w:kern w:val="2"/>
          <w:sz w:val="32"/>
          <w:szCs w:val="24"/>
          <w:highlight w:val="none"/>
        </w:rPr>
        <w:t>加强绩效成果资料收集，做好满意度调查与分析</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kern w:val="2"/>
          <w:sz w:val="32"/>
          <w:szCs w:val="24"/>
          <w:highlight w:val="none"/>
        </w:rPr>
        <w:t>强化公共财政支出绩效管理理念，</w:t>
      </w:r>
      <w:r>
        <w:rPr>
          <w:rFonts w:hint="eastAsia" w:ascii="FangSong_GB2312" w:hAnsi="FangSong_GB2312" w:eastAsia="FangSong_GB2312" w:cs="Times New Roman"/>
          <w:sz w:val="32"/>
          <w:szCs w:val="24"/>
          <w:highlight w:val="none"/>
        </w:rPr>
        <w:t>重视项目绩效成果及绩效挖掘展现，</w:t>
      </w:r>
      <w:r>
        <w:rPr>
          <w:rFonts w:hint="eastAsia" w:ascii="FangSong_GB2312" w:hAnsi="FangSong_GB2312" w:eastAsia="FangSong_GB2312" w:cs="Times New Roman"/>
          <w:kern w:val="2"/>
          <w:sz w:val="32"/>
          <w:szCs w:val="24"/>
          <w:highlight w:val="none"/>
        </w:rPr>
        <w:t>深化经济性、效益性分析和问题分析，明确后续计划和措施。合理制定服务对象满意度指标，</w:t>
      </w:r>
      <w:r>
        <w:rPr>
          <w:rFonts w:hint="eastAsia" w:ascii="FangSong_GB2312" w:hAnsi="FangSong_GB2312" w:eastAsia="FangSong_GB2312" w:cs="Times New Roman"/>
          <w:sz w:val="32"/>
          <w:szCs w:val="24"/>
          <w:highlight w:val="none"/>
        </w:rPr>
        <w:t>建立健全满意度调查回访机制，做好服务对象满意度问卷设计及调查分析，</w:t>
      </w:r>
      <w:r>
        <w:rPr>
          <w:rFonts w:hint="eastAsia" w:ascii="FangSong_GB2312" w:hAnsi="FangSong_GB2312" w:eastAsia="FangSong_GB2312" w:cs="Times New Roman"/>
          <w:kern w:val="2"/>
          <w:sz w:val="32"/>
          <w:szCs w:val="24"/>
          <w:highlight w:val="none"/>
        </w:rPr>
        <w:t>明确调查对象、范围、方式方法，合理确定样本量，加强统计分析和结果应用，持续推进项目绩效的提升</w:t>
      </w:r>
      <w:r>
        <w:rPr>
          <w:rFonts w:hint="eastAsia" w:ascii="FangSong_GB2312" w:hAnsi="FangSong_GB2312" w:eastAsia="FangSong_GB2312" w:cs="Times New Roman"/>
          <w:kern w:val="2"/>
          <w:sz w:val="32"/>
          <w:szCs w:val="24"/>
          <w:highlight w:val="none"/>
          <w:lang w:val="en-US" w:eastAsia="zh-CN"/>
        </w:rPr>
        <w:t>与改进</w:t>
      </w:r>
      <w:r>
        <w:rPr>
          <w:rFonts w:hint="eastAsia" w:ascii="FangSong_GB2312" w:hAnsi="FangSong_GB2312" w:eastAsia="FangSong_GB2312" w:cs="Times New Roman"/>
          <w:kern w:val="2"/>
          <w:sz w:val="32"/>
          <w:szCs w:val="24"/>
          <w:highlight w:val="none"/>
        </w:rPr>
        <w:t>。</w:t>
      </w:r>
    </w:p>
    <w:p>
      <w:pPr>
        <w:spacing w:beforeLines="0" w:afterLines="0" w:line="560" w:lineRule="exact"/>
        <w:ind w:firstLine="640" w:firstLineChars="200"/>
        <w:jc w:val="both"/>
        <w:rPr>
          <w:rFonts w:hint="eastAsia" w:ascii="FangSong_GB2312" w:hAnsi="FangSong_GB2312" w:eastAsia="FangSong_GB2312" w:cs="Times New Roman"/>
          <w:sz w:val="32"/>
          <w:lang w:val="en-US" w:eastAsia="zh-CN"/>
        </w:rPr>
      </w:pPr>
      <w:r>
        <w:rPr>
          <w:rFonts w:hint="eastAsia" w:ascii="FangSong_GB2312" w:hAnsi="FangSong_GB2312" w:eastAsia="FangSong_GB2312" w:cs="Times New Roman"/>
          <w:sz w:val="32"/>
          <w:lang w:val="en-US" w:eastAsia="zh-CN"/>
        </w:rPr>
        <w:t>附件：</w:t>
      </w:r>
      <w:r>
        <w:rPr>
          <w:rFonts w:hint="eastAsia" w:ascii="FangSong_GB2312" w:hAnsi="FangSong_GB2312" w:eastAsia="FangSong_GB2312" w:cs="Times New Roman"/>
          <w:sz w:val="32"/>
          <w:szCs w:val="24"/>
          <w:highlight w:val="none"/>
          <w:u w:val="none"/>
          <w:lang w:eastAsia="zh-CN"/>
        </w:rPr>
        <w:t>丽泽金融商务区2023年重点区域综合整治提升</w:t>
      </w:r>
      <w:r>
        <w:rPr>
          <w:rFonts w:hint="eastAsia" w:ascii="FangSong_GB2312" w:hAnsi="FangSong_GB2312" w:eastAsia="FangSong_GB2312" w:cs="Times New Roman"/>
          <w:sz w:val="32"/>
          <w:lang w:val="en-US" w:eastAsia="zh-CN"/>
        </w:rPr>
        <w:t>项目绩效评价指标体系及评分情况表</w:t>
      </w:r>
    </w:p>
    <w:p>
      <w:pPr>
        <w:spacing w:beforeLines="0" w:afterLines="0" w:line="560" w:lineRule="exact"/>
        <w:ind w:left="0" w:leftChars="0" w:firstLine="0" w:firstLineChars="0"/>
        <w:jc w:val="center"/>
        <w:rPr>
          <w:rFonts w:hint="eastAsia" w:ascii="黑体" w:hAnsi="黑体" w:eastAsia="黑体" w:cs="黑体"/>
          <w:sz w:val="32"/>
          <w:lang w:val="en-US" w:eastAsia="zh-CN"/>
        </w:rPr>
      </w:pPr>
      <w:r>
        <w:rPr>
          <w:rFonts w:hint="default" w:ascii="仿宋_GB2312" w:hAnsi="仿宋_GB2312" w:eastAsia="仿宋_GB2312" w:cs="仿宋_GB2312"/>
          <w:sz w:val="32"/>
          <w:lang w:val="en-US" w:eastAsia="zh-CN"/>
        </w:rPr>
        <w:br w:type="page"/>
      </w:r>
      <w:r>
        <w:rPr>
          <w:rFonts w:hint="eastAsia" w:ascii="黑体" w:hAnsi="黑体" w:eastAsia="黑体" w:cs="黑体"/>
          <w:sz w:val="32"/>
          <w:szCs w:val="24"/>
          <w:u w:val="none"/>
          <w:lang w:eastAsia="zh-CN"/>
        </w:rPr>
        <w:t>丽泽金融商务区2023年重点区域综合整治提升</w:t>
      </w:r>
      <w:r>
        <w:rPr>
          <w:rFonts w:hint="eastAsia" w:ascii="黑体" w:hAnsi="黑体" w:eastAsia="黑体" w:cs="黑体"/>
          <w:sz w:val="32"/>
          <w:lang w:val="en-US" w:eastAsia="zh-CN"/>
        </w:rPr>
        <w:t>项目</w:t>
      </w:r>
    </w:p>
    <w:p>
      <w:pPr>
        <w:spacing w:beforeLines="0" w:afterLines="0" w:line="560" w:lineRule="exact"/>
        <w:ind w:left="0" w:leftChars="0" w:firstLine="0" w:firstLineChars="0"/>
        <w:jc w:val="center"/>
        <w:rPr>
          <w:rFonts w:hint="eastAsia" w:ascii="黑体" w:hAnsi="黑体" w:eastAsia="黑体" w:cs="黑体"/>
          <w:sz w:val="32"/>
          <w:lang w:val="en-US" w:eastAsia="zh-CN"/>
        </w:rPr>
      </w:pPr>
      <w:r>
        <w:rPr>
          <w:rFonts w:hint="eastAsia" w:ascii="黑体" w:hAnsi="黑体" w:eastAsia="黑体" w:cs="黑体"/>
          <w:sz w:val="32"/>
          <w:lang w:val="en-US" w:eastAsia="zh-CN"/>
        </w:rPr>
        <w:t>绩效评价指标体系及评分情况表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95"/>
        <w:gridCol w:w="2295"/>
        <w:gridCol w:w="147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一级指标</w:t>
            </w: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二级指标</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三级指标</w:t>
            </w:r>
          </w:p>
        </w:tc>
        <w:tc>
          <w:tcPr>
            <w:tcW w:w="147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分值</w:t>
            </w:r>
          </w:p>
        </w:tc>
        <w:tc>
          <w:tcPr>
            <w:tcW w:w="1552"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决策</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项目立项</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立项依据充分</w:t>
            </w:r>
            <w:r>
              <w:rPr>
                <w:rFonts w:hint="eastAsia" w:ascii="仿宋" w:hAnsi="仿宋" w:eastAsia="仿宋" w:cs="仿宋"/>
                <w:sz w:val="24"/>
                <w:szCs w:val="24"/>
                <w:lang w:eastAsia="zh-CN"/>
              </w:rPr>
              <w:t>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立项程序规范性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绩效目标合理性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绩效指标明确性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资金投入</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预算编制科学性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资金分配合理性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过程</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资金管理</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资金到位率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预算执行率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资金使用合规性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组织实施</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管理制度健全性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制度执行有效性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w:t>
            </w: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产出数量</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实际完成率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产出质量</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质量达标率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完成及时性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产出成本</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成本节约率</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效益</w:t>
            </w:r>
          </w:p>
        </w:tc>
        <w:tc>
          <w:tcPr>
            <w:tcW w:w="1695" w:type="dxa"/>
            <w:vMerge w:val="restart"/>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项目效益</w:t>
            </w: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实施效益</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1695" w:type="dxa"/>
            <w:vMerge w:val="continue"/>
            <w:noWrap w:val="0"/>
            <w:vAlign w:val="center"/>
          </w:tcPr>
          <w:p>
            <w:pPr>
              <w:spacing w:beforeLines="0" w:afterLines="0" w:line="560" w:lineRule="exact"/>
              <w:ind w:firstLine="480" w:firstLineChars="200"/>
              <w:jc w:val="center"/>
              <w:rPr>
                <w:rFonts w:hint="eastAsia" w:ascii="仿宋" w:hAnsi="仿宋" w:eastAsia="仿宋" w:cs="仿宋"/>
                <w:sz w:val="24"/>
                <w:szCs w:val="24"/>
                <w:vertAlign w:val="baseline"/>
                <w:lang w:val="en-US" w:eastAsia="zh-CN"/>
              </w:rPr>
            </w:pPr>
          </w:p>
        </w:tc>
        <w:tc>
          <w:tcPr>
            <w:tcW w:w="2295" w:type="dxa"/>
            <w:noWrap w:val="0"/>
            <w:vAlign w:val="center"/>
          </w:tcPr>
          <w:p>
            <w:pPr>
              <w:spacing w:beforeLines="0" w:afterLines="0" w:line="560" w:lineRule="exact"/>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满意度</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0" w:type="dxa"/>
            <w:gridSpan w:val="3"/>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1470"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100</w:t>
            </w:r>
          </w:p>
        </w:tc>
        <w:tc>
          <w:tcPr>
            <w:tcW w:w="1552" w:type="dxa"/>
            <w:noWrap w:val="0"/>
            <w:vAlign w:val="center"/>
          </w:tcPr>
          <w:p>
            <w:pPr>
              <w:spacing w:beforeLines="0" w:afterLines="0" w:line="560" w:lineRule="exact"/>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81.23</w:t>
            </w:r>
          </w:p>
        </w:tc>
      </w:tr>
    </w:tbl>
    <w:p>
      <w:pPr>
        <w:rPr>
          <w:rFonts w:hint="eastAsia" w:ascii="仿宋_GB2312" w:hAnsi="宋体" w:eastAsia="仿宋_GB2312"/>
          <w:b w:val="0"/>
          <w:bCs w:val="0"/>
          <w:sz w:val="32"/>
          <w:szCs w:val="32"/>
          <w:lang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KaiTi_GB2312">
    <w:altName w:val="楷体"/>
    <w:panose1 w:val="00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b w:val="0"/>
                              <w:bCs w:val="0"/>
                              <w:lang w:eastAsia="zh-CN"/>
                            </w:rPr>
                          </w:pPr>
                          <w:r>
                            <w:rPr>
                              <w:rFonts w:hint="eastAsia"/>
                              <w:b w:val="0"/>
                              <w:bCs w:val="0"/>
                              <w:lang w:eastAsia="zh-CN"/>
                            </w:rPr>
                            <w:fldChar w:fldCharType="begin"/>
                          </w:r>
                          <w:r>
                            <w:rPr>
                              <w:rFonts w:hint="eastAsia"/>
                              <w:b w:val="0"/>
                              <w:bCs w:val="0"/>
                              <w:lang w:eastAsia="zh-CN"/>
                            </w:rPr>
                            <w:instrText xml:space="preserve"> PAGE  \* MERGEFORMAT </w:instrText>
                          </w:r>
                          <w:r>
                            <w:rPr>
                              <w:rFonts w:hint="eastAsia"/>
                              <w:b w:val="0"/>
                              <w:bCs w:val="0"/>
                              <w:lang w:eastAsia="zh-CN"/>
                            </w:rPr>
                            <w:fldChar w:fldCharType="separate"/>
                          </w:r>
                          <w:r>
                            <w:rPr>
                              <w:rFonts w:hint="eastAsia"/>
                              <w:b w:val="0"/>
                              <w:bCs w:val="0"/>
                              <w:lang w:eastAsia="zh-CN"/>
                            </w:rPr>
                            <w:t>5</w:t>
                          </w:r>
                          <w:r>
                            <w:rPr>
                              <w:rFonts w:hint="eastAsia"/>
                              <w:b w:val="0"/>
                              <w:bCs w:val="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b w:val="0"/>
                        <w:bCs w:val="0"/>
                        <w:lang w:eastAsia="zh-CN"/>
                      </w:rPr>
                    </w:pPr>
                    <w:r>
                      <w:rPr>
                        <w:rFonts w:hint="eastAsia"/>
                        <w:b w:val="0"/>
                        <w:bCs w:val="0"/>
                        <w:lang w:eastAsia="zh-CN"/>
                      </w:rPr>
                      <w:fldChar w:fldCharType="begin"/>
                    </w:r>
                    <w:r>
                      <w:rPr>
                        <w:rFonts w:hint="eastAsia"/>
                        <w:b w:val="0"/>
                        <w:bCs w:val="0"/>
                        <w:lang w:eastAsia="zh-CN"/>
                      </w:rPr>
                      <w:instrText xml:space="preserve"> PAGE  \* MERGEFORMAT </w:instrText>
                    </w:r>
                    <w:r>
                      <w:rPr>
                        <w:rFonts w:hint="eastAsia"/>
                        <w:b w:val="0"/>
                        <w:bCs w:val="0"/>
                        <w:lang w:eastAsia="zh-CN"/>
                      </w:rPr>
                      <w:fldChar w:fldCharType="separate"/>
                    </w:r>
                    <w:r>
                      <w:rPr>
                        <w:rFonts w:hint="eastAsia"/>
                        <w:b w:val="0"/>
                        <w:bCs w:val="0"/>
                        <w:lang w:eastAsia="zh-CN"/>
                      </w:rPr>
                      <w:t>5</w:t>
                    </w:r>
                    <w:r>
                      <w:rPr>
                        <w:rFonts w:hint="eastAsia"/>
                        <w:b w:val="0"/>
                        <w:bCs w:val="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03DB8"/>
    <w:multiLevelType w:val="singleLevel"/>
    <w:tmpl w:val="D4C03DB8"/>
    <w:lvl w:ilvl="0" w:tentative="0">
      <w:start w:val="2"/>
      <w:numFmt w:val="chineseCounting"/>
      <w:suff w:val="nothing"/>
      <w:lvlText w:val="（%1）"/>
      <w:lvlJc w:val="left"/>
      <w:rPr>
        <w:rFonts w:hint="eastAsia"/>
      </w:rPr>
    </w:lvl>
  </w:abstractNum>
  <w:abstractNum w:abstractNumId="1">
    <w:nsid w:val="49EC823A"/>
    <w:multiLevelType w:val="singleLevel"/>
    <w:tmpl w:val="49EC823A"/>
    <w:lvl w:ilvl="0" w:tentative="0">
      <w:start w:val="3"/>
      <w:numFmt w:val="chineseCounting"/>
      <w:suff w:val="nothing"/>
      <w:lvlText w:val="（%1）"/>
      <w:lvlJc w:val="left"/>
      <w:rPr>
        <w:rFonts w:hint="eastAsia"/>
      </w:rPr>
    </w:lvl>
  </w:abstractNum>
  <w:abstractNum w:abstractNumId="2">
    <w:nsid w:val="70D775ED"/>
    <w:multiLevelType w:val="singleLevel"/>
    <w:tmpl w:val="70D775ED"/>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1367"/>
    <w:rsid w:val="00325855"/>
    <w:rsid w:val="00DE2286"/>
    <w:rsid w:val="011E5764"/>
    <w:rsid w:val="01E321D4"/>
    <w:rsid w:val="02347576"/>
    <w:rsid w:val="02645841"/>
    <w:rsid w:val="035E1771"/>
    <w:rsid w:val="049B793D"/>
    <w:rsid w:val="0981140C"/>
    <w:rsid w:val="0BB5232C"/>
    <w:rsid w:val="0D1D48F6"/>
    <w:rsid w:val="11A26614"/>
    <w:rsid w:val="121B35EC"/>
    <w:rsid w:val="12CB592E"/>
    <w:rsid w:val="13761C92"/>
    <w:rsid w:val="13E64BDB"/>
    <w:rsid w:val="150B39BA"/>
    <w:rsid w:val="1854326B"/>
    <w:rsid w:val="19477063"/>
    <w:rsid w:val="1A803F7D"/>
    <w:rsid w:val="1D2B3BE5"/>
    <w:rsid w:val="1D2F507C"/>
    <w:rsid w:val="1DB76BCE"/>
    <w:rsid w:val="1E481FAC"/>
    <w:rsid w:val="1E743A4B"/>
    <w:rsid w:val="1F08543B"/>
    <w:rsid w:val="1F586D6E"/>
    <w:rsid w:val="1FD81367"/>
    <w:rsid w:val="20691DBD"/>
    <w:rsid w:val="20DC39F4"/>
    <w:rsid w:val="21FE5E5E"/>
    <w:rsid w:val="234B057F"/>
    <w:rsid w:val="235C2CBC"/>
    <w:rsid w:val="24D10AA1"/>
    <w:rsid w:val="27925037"/>
    <w:rsid w:val="284E31FC"/>
    <w:rsid w:val="29B97156"/>
    <w:rsid w:val="2B606BB9"/>
    <w:rsid w:val="2B9A09DE"/>
    <w:rsid w:val="2BAB1BA7"/>
    <w:rsid w:val="2BAD01F9"/>
    <w:rsid w:val="2CA2334B"/>
    <w:rsid w:val="2EC00303"/>
    <w:rsid w:val="2F2343F7"/>
    <w:rsid w:val="302D62D8"/>
    <w:rsid w:val="307125FD"/>
    <w:rsid w:val="308666E0"/>
    <w:rsid w:val="317A7AED"/>
    <w:rsid w:val="31C13B4B"/>
    <w:rsid w:val="32364D9C"/>
    <w:rsid w:val="33EA2CC8"/>
    <w:rsid w:val="348939EC"/>
    <w:rsid w:val="3531497A"/>
    <w:rsid w:val="354D1C0B"/>
    <w:rsid w:val="3BAE68DA"/>
    <w:rsid w:val="3D023363"/>
    <w:rsid w:val="3D790D16"/>
    <w:rsid w:val="3DC6010F"/>
    <w:rsid w:val="3E9D763D"/>
    <w:rsid w:val="3ED36E83"/>
    <w:rsid w:val="3ED53BED"/>
    <w:rsid w:val="4157437B"/>
    <w:rsid w:val="41E02062"/>
    <w:rsid w:val="43622826"/>
    <w:rsid w:val="46051C75"/>
    <w:rsid w:val="48E83895"/>
    <w:rsid w:val="49424D2C"/>
    <w:rsid w:val="4BD70C9D"/>
    <w:rsid w:val="4C0C1978"/>
    <w:rsid w:val="4CA848A8"/>
    <w:rsid w:val="4E7D5065"/>
    <w:rsid w:val="4EFD3766"/>
    <w:rsid w:val="536569C3"/>
    <w:rsid w:val="56170859"/>
    <w:rsid w:val="564F133A"/>
    <w:rsid w:val="57281F5C"/>
    <w:rsid w:val="580F3D51"/>
    <w:rsid w:val="58C870B8"/>
    <w:rsid w:val="59053D2C"/>
    <w:rsid w:val="596F02A0"/>
    <w:rsid w:val="59E269F9"/>
    <w:rsid w:val="59E52517"/>
    <w:rsid w:val="5A793481"/>
    <w:rsid w:val="5BEE55A5"/>
    <w:rsid w:val="5C8C230C"/>
    <w:rsid w:val="5E5A006D"/>
    <w:rsid w:val="5EA10436"/>
    <w:rsid w:val="5F300BEE"/>
    <w:rsid w:val="62FE47AE"/>
    <w:rsid w:val="6397588C"/>
    <w:rsid w:val="68237C2B"/>
    <w:rsid w:val="682545D3"/>
    <w:rsid w:val="689F6744"/>
    <w:rsid w:val="696A4207"/>
    <w:rsid w:val="6984503E"/>
    <w:rsid w:val="69EF5693"/>
    <w:rsid w:val="6C292772"/>
    <w:rsid w:val="6D5531B1"/>
    <w:rsid w:val="6E4E558C"/>
    <w:rsid w:val="6E6A39D6"/>
    <w:rsid w:val="6F117E13"/>
    <w:rsid w:val="71355971"/>
    <w:rsid w:val="71B47EDA"/>
    <w:rsid w:val="72B03D88"/>
    <w:rsid w:val="770A1D0A"/>
    <w:rsid w:val="787C400D"/>
    <w:rsid w:val="78A411AD"/>
    <w:rsid w:val="79181562"/>
    <w:rsid w:val="79B66FE3"/>
    <w:rsid w:val="7B094147"/>
    <w:rsid w:val="7CB74B34"/>
    <w:rsid w:val="7DC3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ind w:firstLine="200"/>
      <w:jc w:val="both"/>
    </w:pPr>
    <w:rPr>
      <w:rFonts w:ascii="仿宋_GB2312" w:hAnsi="Times New Roman" w:eastAsia="仿宋_GB2312" w:cs="Times New Roman"/>
      <w:sz w:val="30"/>
      <w:szCs w:val="22"/>
    </w:rPr>
  </w:style>
  <w:style w:type="paragraph" w:styleId="4">
    <w:name w:val="Plain Text"/>
    <w:basedOn w:val="1"/>
    <w:qFormat/>
    <w:uiPriority w:val="0"/>
    <w:rPr>
      <w:rFonts w:ascii="宋体" w:hAnsi="Courier New"/>
    </w:rPr>
  </w:style>
  <w:style w:type="paragraph" w:styleId="5">
    <w:name w:val="footer"/>
    <w:qFormat/>
    <w:uiPriority w:val="99"/>
    <w:pPr>
      <w:widowControl w:val="0"/>
      <w:tabs>
        <w:tab w:val="center" w:pos="4153"/>
        <w:tab w:val="right" w:pos="8306"/>
      </w:tabs>
      <w:snapToGrid w:val="0"/>
      <w:spacing w:line="240" w:lineRule="atLeast"/>
      <w:ind w:firstLine="880" w:firstLineChars="200"/>
      <w:jc w:val="left"/>
    </w:pPr>
    <w:rPr>
      <w:rFonts w:ascii="仿宋_GB2312" w:hAnsi="仿宋_GB2312" w:eastAsia="仿宋_GB2312" w:cs="Times New Roman"/>
      <w:kern w:val="2"/>
      <w:sz w:val="18"/>
      <w:szCs w:val="18"/>
      <w:lang w:val="en-US" w:eastAsia="zh-CN" w:bidi="ar-SA"/>
    </w:rPr>
  </w:style>
  <w:style w:type="paragraph" w:styleId="6">
    <w:name w:val="header"/>
    <w:qFormat/>
    <w:uiPriority w:val="0"/>
    <w:pPr>
      <w:widowControl w:val="0"/>
      <w:tabs>
        <w:tab w:val="center" w:pos="4153"/>
        <w:tab w:val="right" w:pos="8306"/>
      </w:tabs>
      <w:snapToGrid w:val="0"/>
      <w:spacing w:line="240" w:lineRule="atLeast"/>
      <w:ind w:firstLine="880" w:firstLineChars="200"/>
      <w:jc w:val="center"/>
    </w:pPr>
    <w:rPr>
      <w:rFonts w:ascii="仿宋_GB2312" w:hAnsi="仿宋_GB2312" w:eastAsia="仿宋_GB2312" w:cs="Times New Roman"/>
      <w:kern w:val="2"/>
      <w:sz w:val="18"/>
      <w:szCs w:val="18"/>
      <w:lang w:val="en-US" w:eastAsia="zh-CN" w:bidi="ar-SA"/>
    </w:rPr>
  </w:style>
  <w:style w:type="paragraph" w:styleId="7">
    <w:name w:val="index 9"/>
    <w:next w:val="1"/>
    <w:unhideWhenUsed/>
    <w:qFormat/>
    <w:uiPriority w:val="99"/>
    <w:pPr>
      <w:widowControl w:val="0"/>
      <w:spacing w:line="560" w:lineRule="exact"/>
      <w:ind w:left="1600" w:leftChars="1600" w:firstLine="880" w:firstLineChars="200"/>
      <w:jc w:val="both"/>
    </w:pPr>
    <w:rPr>
      <w:rFonts w:ascii="仿宋_GB2312" w:hAnsi="仿宋_GB2312" w:eastAsia="仿宋_GB2312" w:cs="Times New Roman"/>
      <w:kern w:val="2"/>
      <w:sz w:val="32"/>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2025-08-14T06:53:00Z</dcterms:created>
  <dc:creator>王嘉慧</dc:creator>
  <cp:lastModifiedBy>刘旸</cp:lastModifiedBy>
  <dcterms:modified xsi:type="dcterms:W3CDTF">2025-08-15T03:08:35Z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