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eastAsia" w:ascii="方正小标宋简体" w:hAnsi="方正小标宋简体" w:eastAsia="方正小标宋简体" w:cs="方正小标宋简体"/>
          <w:color w:val="auto"/>
          <w:spacing w:val="0"/>
          <w:kern w:val="21"/>
          <w:sz w:val="44"/>
          <w:szCs w:val="44"/>
        </w:rPr>
      </w:pPr>
      <w:r>
        <w:rPr>
          <w:rFonts w:hint="eastAsia" w:ascii="方正小标宋简体" w:hAnsi="方正小标宋简体" w:eastAsia="方正小标宋简体" w:cs="方正小标宋简体"/>
          <w:color w:val="auto"/>
          <w:sz w:val="44"/>
          <w:szCs w:val="44"/>
          <w:lang w:eastAsia="zh-CN"/>
        </w:rPr>
        <w:t>北京市</w:t>
      </w:r>
      <w:r>
        <w:rPr>
          <w:rFonts w:hint="eastAsia" w:ascii="方正小标宋简体" w:hAnsi="方正小标宋简体" w:eastAsia="方正小标宋简体" w:cs="方正小标宋简体"/>
          <w:color w:val="auto"/>
          <w:sz w:val="44"/>
          <w:szCs w:val="44"/>
        </w:rPr>
        <w:t>丰台区人民政府</w:t>
      </w: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方正小标宋简体" w:hAnsi="方正小标宋简体" w:eastAsia="方正小标宋简体" w:cs="方正小标宋简体"/>
          <w:color w:val="auto"/>
          <w:spacing w:val="0"/>
          <w:kern w:val="21"/>
          <w:sz w:val="44"/>
          <w:szCs w:val="44"/>
        </w:rPr>
      </w:pPr>
      <w:r>
        <w:rPr>
          <w:rFonts w:hint="eastAsia" w:ascii="方正小标宋简体" w:hAnsi="方正小标宋简体" w:eastAsia="方正小标宋简体" w:cs="方正小标宋简体"/>
          <w:color w:val="auto"/>
          <w:spacing w:val="0"/>
          <w:kern w:val="21"/>
          <w:sz w:val="44"/>
          <w:szCs w:val="44"/>
        </w:rPr>
        <w:t>关于丰台区202</w:t>
      </w:r>
      <w:r>
        <w:rPr>
          <w:rFonts w:hint="eastAsia" w:ascii="方正小标宋简体" w:hAnsi="方正小标宋简体" w:eastAsia="方正小标宋简体" w:cs="方正小标宋简体"/>
          <w:color w:val="auto"/>
          <w:spacing w:val="0"/>
          <w:kern w:val="21"/>
          <w:sz w:val="44"/>
          <w:szCs w:val="44"/>
          <w:lang w:val="en-US" w:eastAsia="zh-CN"/>
        </w:rPr>
        <w:t>4</w:t>
      </w:r>
      <w:r>
        <w:rPr>
          <w:rFonts w:hint="eastAsia" w:ascii="方正小标宋简体" w:hAnsi="方正小标宋简体" w:eastAsia="方正小标宋简体" w:cs="方正小标宋简体"/>
          <w:color w:val="auto"/>
          <w:spacing w:val="0"/>
          <w:kern w:val="21"/>
          <w:sz w:val="44"/>
          <w:szCs w:val="44"/>
        </w:rPr>
        <w:t>年预算执行情况和</w:t>
      </w: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方正小标宋简体" w:hAnsi="方正小标宋简体" w:eastAsia="方正小标宋简体" w:cs="方正小标宋简体"/>
          <w:color w:val="auto"/>
          <w:spacing w:val="0"/>
          <w:kern w:val="21"/>
          <w:sz w:val="44"/>
          <w:szCs w:val="44"/>
        </w:rPr>
      </w:pPr>
      <w:r>
        <w:rPr>
          <w:rFonts w:hint="eastAsia" w:ascii="方正小标宋简体" w:hAnsi="方正小标宋简体" w:eastAsia="方正小标宋简体" w:cs="方正小标宋简体"/>
          <w:color w:val="auto"/>
          <w:spacing w:val="0"/>
          <w:kern w:val="21"/>
          <w:sz w:val="44"/>
          <w:szCs w:val="44"/>
        </w:rPr>
        <w:t>202</w:t>
      </w:r>
      <w:r>
        <w:rPr>
          <w:rFonts w:hint="eastAsia" w:ascii="方正小标宋简体" w:hAnsi="方正小标宋简体" w:eastAsia="方正小标宋简体" w:cs="方正小标宋简体"/>
          <w:color w:val="auto"/>
          <w:spacing w:val="0"/>
          <w:kern w:val="21"/>
          <w:sz w:val="44"/>
          <w:szCs w:val="44"/>
          <w:lang w:val="en-US" w:eastAsia="zh-CN"/>
        </w:rPr>
        <w:t>5</w:t>
      </w:r>
      <w:r>
        <w:rPr>
          <w:rFonts w:hint="eastAsia" w:ascii="方正小标宋简体" w:hAnsi="方正小标宋简体" w:eastAsia="方正小标宋简体" w:cs="方正小标宋简体"/>
          <w:color w:val="auto"/>
          <w:spacing w:val="0"/>
          <w:kern w:val="21"/>
          <w:sz w:val="44"/>
          <w:szCs w:val="44"/>
        </w:rPr>
        <w:t>年预算草案的报告</w:t>
      </w: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ascii="仿宋_GB2312" w:hAnsi="Times New Roman" w:cs="Times New Roman"/>
          <w:color w:val="auto"/>
          <w:spacing w:val="0"/>
          <w:kern w:val="21"/>
        </w:rPr>
      </w:pP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楷体_GB2312" w:hAnsi="楷体_GB2312" w:eastAsia="楷体_GB2312" w:cs="楷体_GB2312"/>
          <w:color w:val="auto"/>
          <w:spacing w:val="0"/>
          <w:kern w:val="21"/>
          <w:sz w:val="32"/>
          <w:szCs w:val="32"/>
        </w:rPr>
      </w:pPr>
      <w:r>
        <w:rPr>
          <w:rFonts w:hint="eastAsia" w:ascii="楷体_GB2312" w:hAnsi="楷体_GB2312" w:eastAsia="楷体_GB2312" w:cs="楷体_GB2312"/>
          <w:color w:val="auto"/>
          <w:spacing w:val="0"/>
          <w:kern w:val="21"/>
          <w:sz w:val="32"/>
          <w:szCs w:val="32"/>
        </w:rPr>
        <w:t>——202</w:t>
      </w:r>
      <w:r>
        <w:rPr>
          <w:rFonts w:hint="eastAsia" w:ascii="楷体_GB2312" w:hAnsi="楷体_GB2312" w:eastAsia="楷体_GB2312" w:cs="楷体_GB2312"/>
          <w:color w:val="auto"/>
          <w:spacing w:val="0"/>
          <w:kern w:val="21"/>
          <w:sz w:val="32"/>
          <w:szCs w:val="32"/>
          <w:lang w:val="en-US" w:eastAsia="zh-CN"/>
        </w:rPr>
        <w:t>5</w:t>
      </w:r>
      <w:r>
        <w:rPr>
          <w:rFonts w:hint="eastAsia" w:ascii="楷体_GB2312" w:hAnsi="楷体_GB2312" w:eastAsia="楷体_GB2312" w:cs="楷体_GB2312"/>
          <w:color w:val="auto"/>
          <w:spacing w:val="0"/>
          <w:kern w:val="21"/>
          <w:sz w:val="32"/>
          <w:szCs w:val="32"/>
        </w:rPr>
        <w:t>年</w:t>
      </w:r>
      <w:r>
        <w:rPr>
          <w:rFonts w:hint="eastAsia" w:ascii="楷体_GB2312" w:hAnsi="楷体_GB2312" w:eastAsia="楷体_GB2312" w:cs="楷体_GB2312"/>
          <w:color w:val="auto"/>
          <w:spacing w:val="0"/>
          <w:kern w:val="21"/>
          <w:sz w:val="32"/>
          <w:szCs w:val="32"/>
          <w:lang w:val="en-US" w:eastAsia="zh-CN"/>
        </w:rPr>
        <w:t>1</w:t>
      </w:r>
      <w:r>
        <w:rPr>
          <w:rFonts w:hint="eastAsia" w:ascii="楷体_GB2312" w:hAnsi="楷体_GB2312" w:eastAsia="楷体_GB2312" w:cs="楷体_GB2312"/>
          <w:color w:val="auto"/>
          <w:spacing w:val="0"/>
          <w:kern w:val="21"/>
          <w:sz w:val="32"/>
          <w:szCs w:val="32"/>
        </w:rPr>
        <w:t>月</w:t>
      </w:r>
      <w:r>
        <w:rPr>
          <w:rFonts w:hint="eastAsia" w:ascii="楷体_GB2312" w:hAnsi="楷体_GB2312" w:eastAsia="楷体_GB2312" w:cs="楷体_GB2312"/>
          <w:color w:val="auto"/>
          <w:spacing w:val="0"/>
          <w:kern w:val="21"/>
          <w:sz w:val="32"/>
          <w:szCs w:val="32"/>
          <w:lang w:val="en-US" w:eastAsia="zh-CN"/>
        </w:rPr>
        <w:t>7</w:t>
      </w:r>
      <w:r>
        <w:rPr>
          <w:rFonts w:hint="eastAsia" w:ascii="楷体_GB2312" w:hAnsi="楷体_GB2312" w:eastAsia="楷体_GB2312" w:cs="楷体_GB2312"/>
          <w:color w:val="auto"/>
          <w:spacing w:val="0"/>
          <w:kern w:val="21"/>
          <w:sz w:val="32"/>
          <w:szCs w:val="32"/>
        </w:rPr>
        <w:t>日在北京市丰台区第十七届人民代表大会</w:t>
      </w: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楷体_GB2312" w:hAnsi="楷体_GB2312" w:eastAsia="楷体_GB2312" w:cs="楷体_GB2312"/>
          <w:color w:val="auto"/>
          <w:spacing w:val="0"/>
          <w:kern w:val="21"/>
          <w:sz w:val="32"/>
          <w:szCs w:val="32"/>
        </w:rPr>
      </w:pPr>
      <w:r>
        <w:rPr>
          <w:rFonts w:hint="eastAsia" w:ascii="楷体_GB2312" w:hAnsi="楷体_GB2312" w:eastAsia="楷体_GB2312" w:cs="楷体_GB2312"/>
          <w:color w:val="auto"/>
          <w:spacing w:val="0"/>
          <w:kern w:val="21"/>
          <w:sz w:val="32"/>
          <w:szCs w:val="32"/>
        </w:rPr>
        <w:t>第</w:t>
      </w:r>
      <w:r>
        <w:rPr>
          <w:rFonts w:hint="eastAsia" w:ascii="楷体_GB2312" w:hAnsi="楷体_GB2312" w:eastAsia="楷体_GB2312" w:cs="楷体_GB2312"/>
          <w:color w:val="auto"/>
          <w:spacing w:val="0"/>
          <w:kern w:val="21"/>
          <w:sz w:val="32"/>
          <w:szCs w:val="32"/>
          <w:lang w:eastAsia="zh-CN"/>
        </w:rPr>
        <w:t>五</w:t>
      </w:r>
      <w:r>
        <w:rPr>
          <w:rFonts w:hint="eastAsia" w:ascii="楷体_GB2312" w:hAnsi="楷体_GB2312" w:eastAsia="楷体_GB2312" w:cs="楷体_GB2312"/>
          <w:color w:val="auto"/>
          <w:spacing w:val="0"/>
          <w:kern w:val="21"/>
          <w:sz w:val="32"/>
          <w:szCs w:val="32"/>
        </w:rPr>
        <w:t>次会议上</w:t>
      </w:r>
    </w:p>
    <w:p>
      <w:pPr>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楷体_GB2312" w:hAnsi="楷体_GB2312" w:eastAsia="楷体_GB2312" w:cs="楷体_GB2312"/>
          <w:color w:val="auto"/>
          <w:spacing w:val="0"/>
          <w:kern w:val="21"/>
          <w:sz w:val="32"/>
          <w:szCs w:val="32"/>
          <w:lang w:eastAsia="zh-CN"/>
        </w:rPr>
      </w:pPr>
      <w:r>
        <w:rPr>
          <w:rFonts w:hint="eastAsia" w:ascii="楷体_GB2312" w:hAnsi="楷体_GB2312" w:eastAsia="楷体_GB2312" w:cs="楷体_GB2312"/>
          <w:color w:val="auto"/>
          <w:spacing w:val="0"/>
          <w:kern w:val="21"/>
          <w:sz w:val="32"/>
          <w:szCs w:val="32"/>
        </w:rPr>
        <w:t xml:space="preserve">丰台区财政局局长  </w:t>
      </w:r>
      <w:r>
        <w:rPr>
          <w:rFonts w:hint="eastAsia" w:ascii="楷体_GB2312" w:hAnsi="楷体_GB2312" w:eastAsia="楷体_GB2312" w:cs="楷体_GB2312"/>
          <w:color w:val="auto"/>
          <w:spacing w:val="0"/>
          <w:kern w:val="21"/>
          <w:sz w:val="32"/>
          <w:szCs w:val="32"/>
          <w:lang w:eastAsia="zh-CN"/>
        </w:rPr>
        <w:t>游</w:t>
      </w:r>
      <w:r>
        <w:rPr>
          <w:rFonts w:hint="eastAsia" w:ascii="楷体_GB2312" w:hAnsi="楷体_GB2312" w:eastAsia="楷体_GB2312" w:cs="楷体_GB2312"/>
          <w:color w:val="auto"/>
          <w:spacing w:val="0"/>
          <w:kern w:val="21"/>
          <w:sz w:val="32"/>
          <w:szCs w:val="32"/>
        </w:rPr>
        <w:t xml:space="preserve"> </w:t>
      </w:r>
      <w:r>
        <w:rPr>
          <w:rFonts w:hint="eastAsia" w:ascii="楷体_GB2312" w:hAnsi="楷体_GB2312" w:eastAsia="楷体_GB2312" w:cs="楷体_GB2312"/>
          <w:color w:val="auto"/>
          <w:spacing w:val="0"/>
          <w:kern w:val="21"/>
          <w:sz w:val="32"/>
          <w:szCs w:val="32"/>
          <w:lang w:eastAsia="zh-CN"/>
        </w:rPr>
        <w:t>海</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center"/>
        <w:textAlignment w:val="auto"/>
        <w:rPr>
          <w:rFonts w:ascii="仿宋_GB2312" w:hAnsi="Times New Roman" w:cs="Times New Roman"/>
          <w:color w:val="auto"/>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0" w:line="560" w:lineRule="exact"/>
        <w:textAlignment w:val="auto"/>
        <w:rPr>
          <w:rFonts w:ascii="仿宋_GB2312" w:hAnsi="仿宋_GB2312" w:cs="Times New Roman"/>
          <w:color w:val="auto"/>
          <w:spacing w:val="0"/>
          <w:kern w:val="21"/>
          <w:sz w:val="32"/>
          <w:szCs w:val="32"/>
        </w:rPr>
      </w:pPr>
      <w:r>
        <w:rPr>
          <w:rFonts w:hint="eastAsia" w:ascii="仿宋_GB2312" w:hAnsi="仿宋_GB2312" w:cs="Times New Roman"/>
          <w:color w:val="auto"/>
          <w:spacing w:val="0"/>
          <w:kern w:val="21"/>
          <w:sz w:val="32"/>
          <w:szCs w:val="32"/>
        </w:rPr>
        <w:t>各位代表：</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仿宋_GB2312" w:hAnsi="仿宋_GB2312" w:cs="Times New Roman"/>
          <w:color w:val="auto"/>
          <w:spacing w:val="0"/>
          <w:kern w:val="21"/>
          <w:sz w:val="32"/>
          <w:szCs w:val="32"/>
        </w:rPr>
      </w:pPr>
      <w:r>
        <w:rPr>
          <w:rFonts w:hint="eastAsia" w:ascii="仿宋_GB2312" w:hAnsi="仿宋_GB2312" w:cs="Times New Roman"/>
          <w:color w:val="auto"/>
          <w:spacing w:val="0"/>
          <w:kern w:val="21"/>
          <w:sz w:val="32"/>
          <w:szCs w:val="32"/>
        </w:rPr>
        <w:t>受区人民政府委托，向大会提交关于丰台区202</w:t>
      </w:r>
      <w:r>
        <w:rPr>
          <w:rFonts w:hint="eastAsia" w:ascii="仿宋_GB2312" w:hAnsi="仿宋_GB2312" w:cs="Times New Roman"/>
          <w:color w:val="auto"/>
          <w:spacing w:val="0"/>
          <w:kern w:val="21"/>
          <w:sz w:val="32"/>
          <w:szCs w:val="32"/>
          <w:lang w:val="en-US" w:eastAsia="zh-CN"/>
        </w:rPr>
        <w:t>4</w:t>
      </w:r>
      <w:r>
        <w:rPr>
          <w:rFonts w:hint="eastAsia" w:ascii="仿宋_GB2312" w:hAnsi="仿宋_GB2312" w:cs="Times New Roman"/>
          <w:color w:val="auto"/>
          <w:spacing w:val="0"/>
          <w:kern w:val="21"/>
          <w:sz w:val="32"/>
          <w:szCs w:val="32"/>
        </w:rPr>
        <w:t>年预算执行情况和202</w:t>
      </w:r>
      <w:r>
        <w:rPr>
          <w:rFonts w:hint="eastAsia" w:ascii="仿宋_GB2312" w:hAnsi="仿宋_GB2312" w:cs="Times New Roman"/>
          <w:color w:val="auto"/>
          <w:spacing w:val="0"/>
          <w:kern w:val="21"/>
          <w:sz w:val="32"/>
          <w:szCs w:val="32"/>
          <w:lang w:val="en-US" w:eastAsia="zh-CN"/>
        </w:rPr>
        <w:t>5</w:t>
      </w:r>
      <w:r>
        <w:rPr>
          <w:rFonts w:hint="eastAsia" w:ascii="仿宋_GB2312" w:hAnsi="仿宋_GB2312" w:cs="Times New Roman"/>
          <w:color w:val="auto"/>
          <w:spacing w:val="0"/>
          <w:kern w:val="21"/>
          <w:sz w:val="32"/>
          <w:szCs w:val="32"/>
        </w:rPr>
        <w:t>年预算草案的报告，请予审议。</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黑体" w:hAnsi="黑体" w:eastAsia="黑体" w:cs="黑体"/>
          <w:color w:val="auto"/>
          <w:spacing w:val="0"/>
          <w:kern w:val="21"/>
          <w:sz w:val="32"/>
          <w:szCs w:val="32"/>
        </w:rPr>
      </w:pPr>
      <w:r>
        <w:rPr>
          <w:rFonts w:hint="eastAsia" w:ascii="黑体" w:hAnsi="黑体" w:eastAsia="黑体" w:cs="黑体"/>
          <w:color w:val="auto"/>
          <w:spacing w:val="0"/>
          <w:kern w:val="21"/>
          <w:sz w:val="32"/>
          <w:szCs w:val="32"/>
        </w:rPr>
        <w:t>一、202</w:t>
      </w:r>
      <w:r>
        <w:rPr>
          <w:rFonts w:hint="eastAsia" w:ascii="黑体" w:hAnsi="黑体" w:eastAsia="黑体" w:cs="黑体"/>
          <w:color w:val="auto"/>
          <w:spacing w:val="0"/>
          <w:kern w:val="21"/>
          <w:sz w:val="32"/>
          <w:szCs w:val="32"/>
          <w:lang w:val="en-US" w:eastAsia="zh-CN"/>
        </w:rPr>
        <w:t>4</w:t>
      </w:r>
      <w:r>
        <w:rPr>
          <w:rFonts w:hint="eastAsia" w:ascii="黑体" w:hAnsi="黑体" w:eastAsia="黑体" w:cs="黑体"/>
          <w:color w:val="auto"/>
          <w:spacing w:val="0"/>
          <w:kern w:val="21"/>
          <w:sz w:val="32"/>
          <w:szCs w:val="32"/>
        </w:rPr>
        <w:t>年预算执行情况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202</w:t>
      </w:r>
      <w:r>
        <w:rPr>
          <w:rFonts w:hint="eastAsia" w:ascii="仿宋_GB2312" w:hAnsi="仿宋_GB2312" w:eastAsia="仿宋_GB2312" w:cs="仿宋_GB2312"/>
          <w:color w:val="auto"/>
          <w:spacing w:val="0"/>
          <w:kern w:val="21"/>
          <w:sz w:val="32"/>
          <w:szCs w:val="32"/>
          <w:lang w:val="en-US" w:eastAsia="zh-CN"/>
        </w:rPr>
        <w:t>4</w:t>
      </w:r>
      <w:r>
        <w:rPr>
          <w:rFonts w:hint="eastAsia" w:ascii="仿宋_GB2312" w:hAnsi="仿宋_GB2312" w:eastAsia="仿宋_GB2312" w:cs="仿宋_GB2312"/>
          <w:color w:val="auto"/>
          <w:spacing w:val="0"/>
          <w:kern w:val="21"/>
          <w:sz w:val="32"/>
          <w:szCs w:val="32"/>
        </w:rPr>
        <w:t>年，在区委的坚强领导下，在区人大及其常委会的监督指导下，</w:t>
      </w:r>
      <w:r>
        <w:rPr>
          <w:rFonts w:hint="eastAsia" w:ascii="仿宋_GB2312" w:hAnsi="仿宋_GB2312" w:eastAsia="仿宋_GB2312" w:cs="仿宋_GB2312"/>
          <w:bCs/>
          <w:color w:val="auto"/>
          <w:spacing w:val="0"/>
          <w:kern w:val="21"/>
          <w:sz w:val="32"/>
          <w:szCs w:val="32"/>
        </w:rPr>
        <w:t>坚持以习近平新时代中国特色社会主义思想为指导，全面贯彻党的二十大</w:t>
      </w:r>
      <w:r>
        <w:rPr>
          <w:rFonts w:hint="eastAsia" w:ascii="仿宋_GB2312" w:hAnsi="仿宋_GB2312" w:eastAsia="仿宋_GB2312" w:cs="仿宋_GB2312"/>
          <w:bCs/>
          <w:color w:val="auto"/>
          <w:spacing w:val="0"/>
          <w:kern w:val="21"/>
          <w:sz w:val="32"/>
          <w:szCs w:val="32"/>
          <w:lang w:eastAsia="zh-CN"/>
        </w:rPr>
        <w:t>和</w:t>
      </w:r>
      <w:r>
        <w:rPr>
          <w:rFonts w:hint="eastAsia" w:ascii="仿宋_GB2312" w:hAnsi="仿宋_GB2312" w:cs="仿宋_GB2312"/>
          <w:bCs/>
          <w:color w:val="auto"/>
          <w:spacing w:val="0"/>
          <w:kern w:val="21"/>
          <w:sz w:val="32"/>
          <w:szCs w:val="32"/>
          <w:lang w:eastAsia="zh-CN"/>
        </w:rPr>
        <w:t>二十届</w:t>
      </w:r>
      <w:bookmarkStart w:id="0" w:name="_GoBack"/>
      <w:bookmarkEnd w:id="0"/>
      <w:r>
        <w:rPr>
          <w:rFonts w:hint="eastAsia" w:ascii="仿宋_GB2312" w:hAnsi="仿宋_GB2312" w:eastAsia="仿宋_GB2312" w:cs="仿宋_GB2312"/>
          <w:bCs/>
          <w:color w:val="auto"/>
          <w:spacing w:val="0"/>
          <w:kern w:val="21"/>
          <w:sz w:val="32"/>
          <w:szCs w:val="32"/>
          <w:lang w:eastAsia="zh-CN"/>
        </w:rPr>
        <w:t>二中、三中全会</w:t>
      </w:r>
      <w:r>
        <w:rPr>
          <w:rFonts w:hint="eastAsia" w:ascii="仿宋_GB2312" w:hAnsi="仿宋_GB2312" w:eastAsia="仿宋_GB2312" w:cs="仿宋_GB2312"/>
          <w:bCs/>
          <w:color w:val="auto"/>
          <w:spacing w:val="0"/>
          <w:kern w:val="21"/>
          <w:sz w:val="32"/>
          <w:szCs w:val="32"/>
        </w:rPr>
        <w:t>精神</w:t>
      </w:r>
      <w:r>
        <w:rPr>
          <w:rFonts w:hint="eastAsia" w:ascii="仿宋_GB2312" w:hAnsi="仿宋_GB2312" w:eastAsia="仿宋_GB2312" w:cs="仿宋_GB2312"/>
          <w:bCs/>
          <w:color w:val="auto"/>
          <w:spacing w:val="0"/>
          <w:kern w:val="21"/>
          <w:sz w:val="32"/>
          <w:szCs w:val="32"/>
          <w:lang w:eastAsia="zh-CN"/>
        </w:rPr>
        <w:t>，认真落实“积极的财政政策要适度加力、提质增效”要求，</w:t>
      </w:r>
      <w:r>
        <w:rPr>
          <w:rFonts w:hint="eastAsia" w:ascii="仿宋_GB2312" w:hAnsi="仿宋_GB2312" w:eastAsia="仿宋_GB2312" w:cs="仿宋_GB2312"/>
          <w:color w:val="auto"/>
          <w:spacing w:val="0"/>
          <w:kern w:val="21"/>
          <w:sz w:val="32"/>
          <w:szCs w:val="32"/>
        </w:rPr>
        <w:t>强化财政综合调控保障，不断提升财政政策效能，扎实推进财政管理改革，</w:t>
      </w:r>
      <w:r>
        <w:rPr>
          <w:rFonts w:hint="eastAsia" w:ascii="仿宋_GB2312" w:hAnsi="仿宋_GB2312" w:eastAsia="仿宋_GB2312" w:cs="仿宋_GB2312"/>
          <w:color w:val="auto"/>
          <w:spacing w:val="0"/>
          <w:kern w:val="21"/>
          <w:sz w:val="32"/>
          <w:szCs w:val="32"/>
          <w:lang w:eastAsia="zh-CN"/>
        </w:rPr>
        <w:t>着力促进稳增长、调结构、化风险，高质量发展扎实推进</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color w:val="auto"/>
          <w:spacing w:val="0"/>
          <w:kern w:val="21"/>
          <w:sz w:val="32"/>
          <w:szCs w:val="32"/>
          <w:lang w:eastAsia="zh-CN"/>
        </w:rPr>
        <w:t>经济运行总体平稳，民生保障坚实有力，预算执行情况总体较好。</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color w:val="auto"/>
          <w:spacing w:val="0"/>
          <w:kern w:val="21"/>
          <w:sz w:val="32"/>
          <w:szCs w:val="32"/>
        </w:rPr>
      </w:pPr>
      <w:r>
        <w:rPr>
          <w:rFonts w:hint="eastAsia" w:ascii="楷体_GB2312" w:hAnsi="楷体_GB2312" w:eastAsia="楷体_GB2312" w:cs="楷体_GB2312"/>
          <w:color w:val="auto"/>
          <w:spacing w:val="0"/>
          <w:kern w:val="21"/>
          <w:sz w:val="32"/>
          <w:szCs w:val="32"/>
        </w:rPr>
        <w:t>（一）一般公共预算执行情况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color w:val="auto"/>
          <w:spacing w:val="0"/>
          <w:kern w:val="21"/>
          <w:sz w:val="32"/>
          <w:szCs w:val="32"/>
          <w:u w:val="none"/>
          <w:shd w:val="clear" w:color="auto" w:fill="auto"/>
        </w:rPr>
      </w:pPr>
      <w:r>
        <w:rPr>
          <w:rFonts w:hint="eastAsia" w:ascii="仿宋_GB2312" w:hAnsi="仿宋_GB2312" w:eastAsia="仿宋_GB2312" w:cs="Times New Roman"/>
          <w:color w:val="auto"/>
          <w:spacing w:val="0"/>
          <w:kern w:val="21"/>
          <w:sz w:val="32"/>
          <w:szCs w:val="32"/>
          <w:shd w:val="clear" w:color="auto" w:fill="auto"/>
        </w:rPr>
        <w:t>区</w:t>
      </w:r>
      <w:r>
        <w:rPr>
          <w:rFonts w:hint="eastAsia" w:ascii="仿宋_GB2312" w:hAnsi="仿宋_GB2312" w:eastAsia="仿宋_GB2312" w:cs="仿宋_GB2312"/>
          <w:color w:val="auto"/>
          <w:spacing w:val="0"/>
          <w:kern w:val="21"/>
          <w:sz w:val="32"/>
          <w:szCs w:val="32"/>
          <w:highlight w:val="none"/>
          <w:lang w:val="en-US" w:eastAsia="zh-CN"/>
        </w:rPr>
        <w:t>级一般公共预算收入完成163.5亿元，增长5%，完成调整预算的100%；加转移支付收入</w:t>
      </w:r>
      <w:r>
        <w:rPr>
          <w:rFonts w:hint="eastAsia" w:ascii="仿宋_GB2312" w:hAnsi="仿宋_GB2312" w:cs="仿宋_GB2312"/>
          <w:color w:val="auto"/>
          <w:spacing w:val="0"/>
          <w:kern w:val="21"/>
          <w:sz w:val="32"/>
          <w:szCs w:val="32"/>
          <w:highlight w:val="none"/>
          <w:lang w:val="en-US" w:eastAsia="zh-CN"/>
        </w:rPr>
        <w:t>146.2</w:t>
      </w:r>
      <w:r>
        <w:rPr>
          <w:rFonts w:hint="eastAsia" w:ascii="仿宋_GB2312" w:hAnsi="仿宋_GB2312" w:eastAsia="仿宋_GB2312" w:cs="仿宋_GB2312"/>
          <w:color w:val="auto"/>
          <w:spacing w:val="0"/>
          <w:kern w:val="21"/>
          <w:sz w:val="32"/>
          <w:szCs w:val="32"/>
          <w:highlight w:val="none"/>
          <w:lang w:val="en-US" w:eastAsia="zh-CN"/>
        </w:rPr>
        <w:t>亿元、上年结余20.5亿元、动用预算稳定调节基金12.4亿元、调入资金</w:t>
      </w:r>
      <w:r>
        <w:rPr>
          <w:rFonts w:hint="eastAsia" w:ascii="仿宋_GB2312" w:hAnsi="仿宋_GB2312" w:cs="仿宋_GB2312"/>
          <w:color w:val="auto"/>
          <w:spacing w:val="0"/>
          <w:kern w:val="21"/>
          <w:sz w:val="32"/>
          <w:szCs w:val="32"/>
          <w:highlight w:val="none"/>
          <w:lang w:val="en-US" w:eastAsia="zh-CN"/>
        </w:rPr>
        <w:t>0.3亿元</w:t>
      </w:r>
      <w:r>
        <w:rPr>
          <w:rFonts w:hint="eastAsia" w:ascii="仿宋_GB2312" w:hAnsi="仿宋_GB2312" w:eastAsia="仿宋_GB2312" w:cs="仿宋_GB2312"/>
          <w:color w:val="auto"/>
          <w:spacing w:val="0"/>
          <w:kern w:val="21"/>
          <w:sz w:val="32"/>
          <w:szCs w:val="32"/>
          <w:highlight w:val="none"/>
          <w:lang w:val="en-US" w:eastAsia="zh-CN"/>
        </w:rPr>
        <w:t>、一般债券转贷收入1.7亿元，收入</w:t>
      </w:r>
      <w:r>
        <w:rPr>
          <w:rFonts w:hint="eastAsia" w:ascii="仿宋_GB2312" w:hAnsi="仿宋_GB2312" w:cs="仿宋_GB2312"/>
          <w:color w:val="auto"/>
          <w:spacing w:val="0"/>
          <w:kern w:val="21"/>
          <w:sz w:val="32"/>
          <w:szCs w:val="32"/>
          <w:highlight w:val="none"/>
          <w:lang w:val="en-US" w:eastAsia="zh-CN"/>
        </w:rPr>
        <w:t>总计</w:t>
      </w:r>
      <w:r>
        <w:rPr>
          <w:rFonts w:hint="eastAsia" w:ascii="仿宋_GB2312" w:hAnsi="仿宋_GB2312" w:eastAsia="仿宋_GB2312" w:cs="仿宋_GB2312"/>
          <w:color w:val="auto"/>
          <w:spacing w:val="0"/>
          <w:kern w:val="21"/>
          <w:sz w:val="32"/>
          <w:szCs w:val="32"/>
          <w:highlight w:val="none"/>
          <w:lang w:val="en-US" w:eastAsia="zh-CN"/>
        </w:rPr>
        <w:t>3</w:t>
      </w:r>
      <w:r>
        <w:rPr>
          <w:rFonts w:hint="eastAsia" w:ascii="仿宋_GB2312" w:hAnsi="仿宋_GB2312" w:cs="仿宋_GB2312"/>
          <w:color w:val="auto"/>
          <w:spacing w:val="0"/>
          <w:kern w:val="21"/>
          <w:sz w:val="32"/>
          <w:szCs w:val="32"/>
          <w:highlight w:val="none"/>
          <w:lang w:val="en-US" w:eastAsia="zh-CN"/>
        </w:rPr>
        <w:t>44.6</w:t>
      </w:r>
      <w:r>
        <w:rPr>
          <w:rFonts w:hint="eastAsia" w:ascii="仿宋_GB2312" w:hAnsi="仿宋_GB2312" w:eastAsia="仿宋_GB2312" w:cs="仿宋_GB2312"/>
          <w:color w:val="auto"/>
          <w:spacing w:val="0"/>
          <w:kern w:val="21"/>
          <w:sz w:val="32"/>
          <w:szCs w:val="32"/>
          <w:highlight w:val="none"/>
          <w:lang w:val="en-US" w:eastAsia="zh-CN"/>
        </w:rPr>
        <w:t>亿元。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u w:val="none"/>
          <w:shd w:val="clear" w:color="auto" w:fill="auto"/>
          <w:lang w:eastAsia="zh-CN"/>
        </w:rPr>
        <w:t>区级</w:t>
      </w:r>
      <w:r>
        <w:rPr>
          <w:rFonts w:hint="eastAsia" w:ascii="仿宋_GB2312" w:hAnsi="仿宋_GB2312" w:eastAsia="仿宋_GB2312" w:cs="仿宋_GB2312"/>
          <w:color w:val="auto"/>
          <w:spacing w:val="0"/>
          <w:kern w:val="21"/>
          <w:sz w:val="32"/>
          <w:szCs w:val="32"/>
          <w:u w:val="none"/>
          <w:shd w:val="clear" w:color="auto" w:fill="auto"/>
        </w:rPr>
        <w:t>一般公共预算支出</w:t>
      </w:r>
      <w:r>
        <w:rPr>
          <w:rFonts w:hint="eastAsia" w:ascii="仿宋_GB2312" w:hAnsi="仿宋_GB2312" w:eastAsia="仿宋_GB2312" w:cs="仿宋_GB2312"/>
          <w:color w:val="auto"/>
          <w:spacing w:val="0"/>
          <w:kern w:val="21"/>
          <w:sz w:val="32"/>
          <w:szCs w:val="32"/>
          <w:u w:val="none"/>
          <w:shd w:val="clear" w:color="auto" w:fill="auto"/>
          <w:lang w:eastAsia="zh-CN"/>
        </w:rPr>
        <w:t>完成</w:t>
      </w:r>
      <w:r>
        <w:rPr>
          <w:rFonts w:hint="eastAsia" w:ascii="仿宋_GB2312" w:hAnsi="仿宋_GB2312" w:cs="仿宋_GB2312"/>
          <w:color w:val="auto"/>
          <w:spacing w:val="0"/>
          <w:kern w:val="21"/>
          <w:sz w:val="32"/>
          <w:szCs w:val="32"/>
          <w:u w:val="none"/>
          <w:shd w:val="clear" w:color="auto" w:fill="auto"/>
          <w:lang w:val="en-US" w:eastAsia="zh-CN"/>
        </w:rPr>
        <w:t>278.3</w:t>
      </w:r>
      <w:r>
        <w:rPr>
          <w:rFonts w:hint="eastAsia" w:ascii="仿宋_GB2312" w:hAnsi="仿宋_GB2312" w:eastAsia="仿宋_GB2312" w:cs="仿宋_GB2312"/>
          <w:color w:val="auto"/>
          <w:spacing w:val="0"/>
          <w:kern w:val="21"/>
          <w:sz w:val="32"/>
          <w:szCs w:val="32"/>
          <w:u w:val="none"/>
          <w:shd w:val="clear" w:color="auto" w:fill="auto"/>
          <w:lang w:val="en-US" w:eastAsia="zh-CN"/>
        </w:rPr>
        <w:t>亿元，</w:t>
      </w:r>
      <w:r>
        <w:rPr>
          <w:rFonts w:hint="eastAsia" w:ascii="仿宋_GB2312" w:hAnsi="仿宋_GB2312" w:eastAsia="仿宋_GB2312" w:cs="仿宋_GB2312"/>
          <w:color w:val="auto"/>
          <w:spacing w:val="0"/>
          <w:kern w:val="21"/>
          <w:sz w:val="32"/>
          <w:szCs w:val="32"/>
          <w:u w:val="none"/>
          <w:shd w:val="clear" w:color="auto" w:fill="auto"/>
        </w:rPr>
        <w:t>完成调整预算的</w:t>
      </w:r>
      <w:r>
        <w:rPr>
          <w:rFonts w:hint="eastAsia" w:ascii="仿宋_GB2312" w:hAnsi="仿宋_GB2312" w:cs="仿宋_GB2312"/>
          <w:color w:val="auto"/>
          <w:spacing w:val="0"/>
          <w:kern w:val="21"/>
          <w:sz w:val="32"/>
          <w:szCs w:val="32"/>
          <w:shd w:val="clear" w:color="auto" w:fill="auto"/>
          <w:lang w:val="en-US" w:eastAsia="zh-CN"/>
        </w:rPr>
        <w:t>97.6</w:t>
      </w:r>
      <w:r>
        <w:rPr>
          <w:rFonts w:hint="eastAsia" w:ascii="仿宋_GB2312" w:hAnsi="仿宋_GB2312" w:eastAsia="仿宋_GB2312" w:cs="仿宋_GB2312"/>
          <w:color w:val="auto"/>
          <w:spacing w:val="0"/>
          <w:kern w:val="21"/>
          <w:sz w:val="32"/>
          <w:szCs w:val="32"/>
          <w:shd w:val="clear" w:color="auto" w:fill="auto"/>
        </w:rPr>
        <w:t>%</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shd w:val="clear" w:color="auto" w:fill="auto"/>
          <w:lang w:eastAsia="zh-CN"/>
        </w:rPr>
        <w:t>加专项转移支付支出</w:t>
      </w:r>
      <w:r>
        <w:rPr>
          <w:rFonts w:hint="eastAsia" w:ascii="仿宋_GB2312" w:hAnsi="仿宋_GB2312" w:cs="仿宋_GB2312"/>
          <w:color w:val="auto"/>
          <w:spacing w:val="0"/>
          <w:kern w:val="21"/>
          <w:sz w:val="32"/>
          <w:szCs w:val="32"/>
          <w:shd w:val="clear" w:color="auto" w:fill="auto"/>
          <w:lang w:val="en-US" w:eastAsia="zh-CN"/>
        </w:rPr>
        <w:t>20.9</w:t>
      </w:r>
      <w:r>
        <w:rPr>
          <w:rFonts w:hint="eastAsia" w:ascii="仿宋_GB2312" w:hAnsi="仿宋_GB2312" w:eastAsia="仿宋_GB2312" w:cs="仿宋_GB2312"/>
          <w:color w:val="auto"/>
          <w:spacing w:val="0"/>
          <w:kern w:val="21"/>
          <w:sz w:val="32"/>
          <w:szCs w:val="32"/>
          <w:shd w:val="clear" w:color="auto" w:fill="auto"/>
          <w:lang w:val="en-US" w:eastAsia="zh-CN"/>
        </w:rPr>
        <w:t>亿元</w:t>
      </w:r>
      <w:r>
        <w:rPr>
          <w:rFonts w:hint="eastAsia" w:ascii="仿宋_GB2312" w:hAnsi="仿宋_GB2312" w:cs="仿宋_GB2312"/>
          <w:color w:val="auto"/>
          <w:spacing w:val="0"/>
          <w:kern w:val="21"/>
          <w:sz w:val="32"/>
          <w:szCs w:val="32"/>
          <w:shd w:val="clear" w:color="auto" w:fill="auto"/>
          <w:lang w:eastAsia="zh-CN"/>
        </w:rPr>
        <w:t>、</w:t>
      </w:r>
      <w:r>
        <w:rPr>
          <w:rFonts w:hint="eastAsia" w:ascii="仿宋_GB2312" w:hAnsi="仿宋_GB2312" w:eastAsia="仿宋_GB2312" w:cs="仿宋_GB2312"/>
          <w:color w:val="auto"/>
          <w:spacing w:val="0"/>
          <w:kern w:val="21"/>
          <w:sz w:val="32"/>
          <w:szCs w:val="32"/>
          <w:shd w:val="clear" w:color="auto" w:fill="auto"/>
          <w:lang w:eastAsia="zh-CN"/>
        </w:rPr>
        <w:t>上解支出</w:t>
      </w:r>
      <w:r>
        <w:rPr>
          <w:rFonts w:hint="eastAsia" w:ascii="仿宋_GB2312" w:hAnsi="仿宋_GB2312" w:eastAsia="仿宋_GB2312" w:cs="仿宋_GB2312"/>
          <w:color w:val="auto"/>
          <w:spacing w:val="0"/>
          <w:kern w:val="21"/>
          <w:sz w:val="32"/>
          <w:szCs w:val="32"/>
          <w:shd w:val="clear" w:color="auto" w:fill="auto"/>
          <w:lang w:val="en-US" w:eastAsia="zh-CN"/>
        </w:rPr>
        <w:t>7</w:t>
      </w:r>
      <w:r>
        <w:rPr>
          <w:rFonts w:hint="eastAsia" w:ascii="仿宋_GB2312" w:hAnsi="仿宋_GB2312" w:cs="仿宋_GB2312"/>
          <w:color w:val="auto"/>
          <w:spacing w:val="0"/>
          <w:kern w:val="21"/>
          <w:sz w:val="32"/>
          <w:szCs w:val="32"/>
          <w:shd w:val="clear" w:color="auto" w:fill="auto"/>
          <w:lang w:val="en-US" w:eastAsia="zh-CN"/>
        </w:rPr>
        <w:t>.0</w:t>
      </w:r>
      <w:r>
        <w:rPr>
          <w:rFonts w:hint="eastAsia" w:ascii="仿宋_GB2312" w:hAnsi="仿宋_GB2312" w:eastAsia="仿宋_GB2312" w:cs="仿宋_GB2312"/>
          <w:color w:val="auto"/>
          <w:spacing w:val="0"/>
          <w:kern w:val="21"/>
          <w:sz w:val="32"/>
          <w:szCs w:val="32"/>
          <w:shd w:val="clear" w:color="auto" w:fill="auto"/>
          <w:lang w:val="en-US" w:eastAsia="zh-CN"/>
        </w:rPr>
        <w:t>亿元</w:t>
      </w:r>
      <w:r>
        <w:rPr>
          <w:rFonts w:hint="eastAsia" w:ascii="仿宋_GB2312" w:hAnsi="仿宋_GB2312" w:eastAsia="仿宋_GB2312" w:cs="仿宋_GB2312"/>
          <w:color w:val="auto"/>
          <w:spacing w:val="0"/>
          <w:kern w:val="21"/>
          <w:sz w:val="32"/>
          <w:szCs w:val="32"/>
          <w:shd w:val="clear" w:color="auto" w:fill="auto"/>
          <w:lang w:eastAsia="zh-CN"/>
        </w:rPr>
        <w:t>、</w:t>
      </w:r>
      <w:r>
        <w:rPr>
          <w:rFonts w:hint="eastAsia" w:ascii="仿宋_GB2312" w:hAnsi="仿宋_GB2312" w:cs="仿宋_GB2312"/>
          <w:color w:val="auto"/>
          <w:spacing w:val="0"/>
          <w:kern w:val="21"/>
          <w:sz w:val="32"/>
          <w:szCs w:val="32"/>
          <w:shd w:val="clear" w:color="auto" w:fill="auto"/>
          <w:lang w:eastAsia="zh-CN"/>
        </w:rPr>
        <w:t>安排</w:t>
      </w:r>
      <w:r>
        <w:rPr>
          <w:rFonts w:hint="eastAsia" w:ascii="仿宋_GB2312" w:hAnsi="仿宋_GB2312" w:eastAsia="仿宋_GB2312" w:cs="仿宋_GB2312"/>
          <w:color w:val="auto"/>
          <w:spacing w:val="0"/>
          <w:kern w:val="21"/>
          <w:sz w:val="32"/>
          <w:szCs w:val="32"/>
          <w:shd w:val="clear" w:color="auto" w:fill="auto"/>
          <w:lang w:eastAsia="zh-CN"/>
        </w:rPr>
        <w:t>预算稳定调节基金</w:t>
      </w:r>
      <w:r>
        <w:rPr>
          <w:rFonts w:hint="eastAsia" w:ascii="仿宋_GB2312" w:hAnsi="仿宋_GB2312" w:cs="仿宋_GB2312"/>
          <w:color w:val="auto"/>
          <w:spacing w:val="0"/>
          <w:kern w:val="21"/>
          <w:sz w:val="32"/>
          <w:szCs w:val="32"/>
          <w:shd w:val="clear" w:color="auto" w:fill="auto"/>
          <w:lang w:val="en-US" w:eastAsia="zh-CN"/>
        </w:rPr>
        <w:t>10.4</w:t>
      </w:r>
      <w:r>
        <w:rPr>
          <w:rFonts w:hint="eastAsia" w:ascii="仿宋_GB2312" w:hAnsi="仿宋_GB2312" w:eastAsia="仿宋_GB2312" w:cs="仿宋_GB2312"/>
          <w:color w:val="auto"/>
          <w:spacing w:val="0"/>
          <w:kern w:val="21"/>
          <w:sz w:val="32"/>
          <w:szCs w:val="32"/>
          <w:shd w:val="clear" w:color="auto" w:fill="auto"/>
          <w:lang w:val="en-US" w:eastAsia="zh-CN"/>
        </w:rPr>
        <w:t>亿元</w:t>
      </w:r>
      <w:r>
        <w:rPr>
          <w:rFonts w:hint="eastAsia" w:ascii="仿宋_GB2312" w:hAnsi="仿宋_GB2312" w:eastAsia="仿宋_GB2312" w:cs="仿宋_GB2312"/>
          <w:color w:val="auto"/>
          <w:spacing w:val="0"/>
          <w:kern w:val="21"/>
          <w:sz w:val="32"/>
          <w:szCs w:val="32"/>
          <w:shd w:val="clear" w:color="auto" w:fill="auto"/>
          <w:lang w:eastAsia="zh-CN"/>
        </w:rPr>
        <w:t>、一般债务还本支出</w:t>
      </w:r>
      <w:r>
        <w:rPr>
          <w:rFonts w:hint="eastAsia" w:ascii="仿宋_GB2312" w:hAnsi="仿宋_GB2312" w:eastAsia="仿宋_GB2312" w:cs="仿宋_GB2312"/>
          <w:color w:val="auto"/>
          <w:spacing w:val="0"/>
          <w:kern w:val="21"/>
          <w:sz w:val="32"/>
          <w:szCs w:val="32"/>
          <w:shd w:val="clear" w:color="auto" w:fill="auto"/>
          <w:lang w:val="en-US" w:eastAsia="zh-CN"/>
        </w:rPr>
        <w:t>1.7亿元</w:t>
      </w:r>
      <w:r>
        <w:rPr>
          <w:rFonts w:hint="eastAsia" w:ascii="仿宋_GB2312" w:hAnsi="仿宋_GB2312" w:eastAsia="仿宋_GB2312" w:cs="仿宋_GB2312"/>
          <w:color w:val="auto"/>
          <w:spacing w:val="0"/>
          <w:kern w:val="21"/>
          <w:sz w:val="32"/>
          <w:szCs w:val="32"/>
          <w:shd w:val="clear" w:color="auto" w:fill="auto"/>
          <w:lang w:eastAsia="zh-CN"/>
        </w:rPr>
        <w:t>、年终结余</w:t>
      </w:r>
      <w:r>
        <w:rPr>
          <w:rFonts w:hint="eastAsia" w:ascii="仿宋_GB2312" w:hAnsi="仿宋_GB2312" w:eastAsia="仿宋_GB2312" w:cs="仿宋_GB2312"/>
          <w:color w:val="auto"/>
          <w:spacing w:val="0"/>
          <w:kern w:val="21"/>
          <w:sz w:val="32"/>
          <w:szCs w:val="32"/>
          <w:shd w:val="clear" w:color="auto" w:fill="auto"/>
          <w:lang w:val="en-US" w:eastAsia="zh-CN"/>
        </w:rPr>
        <w:t>2</w:t>
      </w:r>
      <w:r>
        <w:rPr>
          <w:rFonts w:hint="eastAsia" w:ascii="仿宋_GB2312" w:hAnsi="仿宋_GB2312" w:cs="仿宋_GB2312"/>
          <w:color w:val="auto"/>
          <w:spacing w:val="0"/>
          <w:kern w:val="21"/>
          <w:sz w:val="32"/>
          <w:szCs w:val="32"/>
          <w:shd w:val="clear" w:color="auto" w:fill="auto"/>
          <w:lang w:val="en-US" w:eastAsia="zh-CN"/>
        </w:rPr>
        <w:t>6.3</w:t>
      </w:r>
      <w:r>
        <w:rPr>
          <w:rFonts w:hint="eastAsia" w:ascii="仿宋_GB2312" w:hAnsi="仿宋_GB2312" w:eastAsia="仿宋_GB2312" w:cs="仿宋_GB2312"/>
          <w:color w:val="auto"/>
          <w:spacing w:val="0"/>
          <w:kern w:val="21"/>
          <w:sz w:val="32"/>
          <w:szCs w:val="32"/>
          <w:shd w:val="clear" w:color="auto" w:fill="auto"/>
          <w:lang w:val="en-US" w:eastAsia="zh-CN"/>
        </w:rPr>
        <w:t>亿元</w:t>
      </w:r>
      <w:r>
        <w:rPr>
          <w:rFonts w:hint="eastAsia" w:ascii="仿宋_GB2312" w:hAnsi="仿宋_GB2312" w:eastAsia="仿宋_GB2312" w:cs="仿宋_GB2312"/>
          <w:color w:val="auto"/>
          <w:spacing w:val="0"/>
          <w:kern w:val="21"/>
          <w:sz w:val="32"/>
          <w:szCs w:val="32"/>
          <w:shd w:val="clear" w:color="auto" w:fill="auto"/>
          <w:lang w:eastAsia="zh-CN"/>
        </w:rPr>
        <w:t>，支出</w:t>
      </w:r>
      <w:r>
        <w:rPr>
          <w:rFonts w:hint="eastAsia" w:ascii="仿宋_GB2312" w:hAnsi="仿宋_GB2312" w:cs="仿宋_GB2312"/>
          <w:color w:val="auto"/>
          <w:spacing w:val="0"/>
          <w:kern w:val="21"/>
          <w:sz w:val="32"/>
          <w:szCs w:val="32"/>
          <w:shd w:val="clear" w:color="auto" w:fill="auto"/>
          <w:lang w:eastAsia="zh-CN"/>
        </w:rPr>
        <w:t>总计</w:t>
      </w:r>
      <w:r>
        <w:rPr>
          <w:rFonts w:hint="eastAsia" w:ascii="仿宋_GB2312" w:hAnsi="仿宋_GB2312" w:cs="仿宋_GB2312"/>
          <w:color w:val="auto"/>
          <w:spacing w:val="0"/>
          <w:kern w:val="21"/>
          <w:sz w:val="32"/>
          <w:szCs w:val="32"/>
          <w:shd w:val="clear" w:color="auto" w:fill="auto"/>
          <w:lang w:val="en-US" w:eastAsia="zh-CN"/>
        </w:rPr>
        <w:t>344.6</w:t>
      </w:r>
      <w:r>
        <w:rPr>
          <w:rFonts w:hint="eastAsia" w:ascii="仿宋_GB2312" w:hAnsi="仿宋_GB2312" w:eastAsia="仿宋_GB2312" w:cs="仿宋_GB2312"/>
          <w:color w:val="auto"/>
          <w:spacing w:val="0"/>
          <w:kern w:val="21"/>
          <w:sz w:val="32"/>
          <w:szCs w:val="32"/>
          <w:shd w:val="clear" w:color="auto" w:fill="auto"/>
        </w:rPr>
        <w:t>亿元。一般公共预算收支执行平衡。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eastAsia="仿宋_GB2312" w:cs="仿宋_GB2312"/>
          <w:color w:val="auto"/>
          <w:spacing w:val="0"/>
          <w:kern w:val="21"/>
          <w:sz w:val="32"/>
          <w:szCs w:val="32"/>
          <w:shd w:val="clear" w:color="auto" w:fill="auto"/>
        </w:rPr>
      </w:pPr>
      <w:r>
        <w:rPr>
          <w:rFonts w:hint="eastAsia" w:ascii="仿宋_GB2312" w:hAnsi="仿宋_GB2312" w:eastAsia="仿宋_GB2312" w:cs="仿宋_GB2312"/>
          <w:color w:val="auto"/>
          <w:spacing w:val="0"/>
          <w:kern w:val="21"/>
          <w:sz w:val="32"/>
          <w:szCs w:val="32"/>
          <w:shd w:val="clear" w:color="auto" w:fill="auto"/>
        </w:rPr>
        <w:t>1.主要收入科目执行情况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Times New Roman"/>
          <w:color w:val="auto"/>
          <w:spacing w:val="0"/>
          <w:kern w:val="21"/>
          <w:sz w:val="32"/>
          <w:szCs w:val="32"/>
        </w:rPr>
      </w:pPr>
      <w:r>
        <w:rPr>
          <w:rFonts w:hint="eastAsia" w:ascii="仿宋_GB2312" w:hAnsi="仿宋_GB2312" w:cs="Times New Roman"/>
          <w:color w:val="auto"/>
          <w:spacing w:val="0"/>
          <w:kern w:val="21"/>
          <w:sz w:val="32"/>
          <w:szCs w:val="32"/>
        </w:rPr>
        <w:t>税收收入124.1亿元，同比下降2.3%，税收占一般公共预算收入比重75.9%。其中，增值税46.7亿元，增长7.0%，主要是新引进企业增收带动；企业所得税20.0亿元，增长3.9%，主要是金融、科技服务等重点行业经营改善，利润增长带动；土地增值税9.7亿元，下降47.9%，主要是同期大额税款集中入库抬高基数。非税收入39.4亿元，增长37.2%，主要是加强非税收入管理，一次性因素增加带动增长。</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Times New Roman"/>
          <w:color w:val="auto"/>
          <w:spacing w:val="0"/>
          <w:kern w:val="21"/>
          <w:sz w:val="32"/>
          <w:szCs w:val="32"/>
        </w:rPr>
      </w:pPr>
      <w:r>
        <w:rPr>
          <w:rFonts w:hint="eastAsia" w:ascii="仿宋_GB2312" w:hAnsi="仿宋_GB2312" w:cs="Times New Roman"/>
          <w:color w:val="auto"/>
          <w:spacing w:val="0"/>
          <w:kern w:val="21"/>
          <w:sz w:val="32"/>
          <w:szCs w:val="32"/>
        </w:rPr>
        <w:t>2.主要支出科目执行情况</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hAnsi="仿宋_GB2312" w:eastAsia="仿宋_GB2312" w:cs="Times New Roman"/>
          <w:b w:val="0"/>
          <w:bCs w:val="0"/>
          <w:color w:val="auto"/>
          <w:spacing w:val="0"/>
          <w:kern w:val="21"/>
          <w:sz w:val="32"/>
          <w:szCs w:val="32"/>
          <w:highlight w:val="none"/>
          <w:lang w:val="en-US" w:eastAsia="zh-CN" w:bidi="ar-SA"/>
        </w:rPr>
      </w:pPr>
      <w:r>
        <w:rPr>
          <w:rFonts w:hint="eastAsia" w:ascii="仿宋_GB2312" w:hAnsi="仿宋_GB2312" w:eastAsia="仿宋_GB2312" w:cs="Times New Roman"/>
          <w:b w:val="0"/>
          <w:bCs w:val="0"/>
          <w:color w:val="auto"/>
          <w:spacing w:val="0"/>
          <w:kern w:val="21"/>
          <w:sz w:val="32"/>
          <w:szCs w:val="32"/>
          <w:highlight w:val="none"/>
          <w:lang w:val="en-US" w:eastAsia="zh-CN" w:bidi="ar-SA"/>
        </w:rPr>
        <w:t>区级一般公共预算支出中：</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color w:val="auto"/>
          <w:spacing w:val="0"/>
          <w:kern w:val="21"/>
          <w:sz w:val="32"/>
          <w:szCs w:val="32"/>
        </w:rPr>
      </w:pPr>
      <w:r>
        <w:rPr>
          <w:rFonts w:hint="eastAsia" w:ascii="仿宋_GB2312" w:hAnsi="仿宋_GB2312" w:cs="Times New Roman"/>
          <w:b/>
          <w:bCs/>
          <w:color w:val="auto"/>
          <w:spacing w:val="0"/>
          <w:kern w:val="21"/>
        </w:rPr>
        <w:t>教育支出</w:t>
      </w:r>
      <w:r>
        <w:rPr>
          <w:rFonts w:hint="eastAsia" w:ascii="仿宋_GB2312" w:hAnsi="仿宋_GB2312" w:cs="Times New Roman"/>
          <w:color w:val="auto"/>
          <w:spacing w:val="0"/>
          <w:kern w:val="21"/>
          <w:lang w:val="en-US" w:eastAsia="zh-CN"/>
        </w:rPr>
        <w:t>51.4</w:t>
      </w:r>
      <w:r>
        <w:rPr>
          <w:rFonts w:hint="eastAsia" w:ascii="仿宋_GB2312" w:hAnsi="仿宋_GB2312" w:cs="Times New Roman"/>
          <w:color w:val="auto"/>
          <w:spacing w:val="0"/>
          <w:kern w:val="21"/>
        </w:rPr>
        <w:t>亿元</w:t>
      </w:r>
      <w:r>
        <w:rPr>
          <w:rFonts w:hint="eastAsia" w:ascii="仿宋_GB2312" w:hAnsi="仿宋_GB2312" w:cs="Times New Roman"/>
          <w:color w:val="auto"/>
          <w:spacing w:val="0"/>
          <w:kern w:val="21"/>
          <w:lang w:eastAsia="zh-CN"/>
        </w:rPr>
        <w:t>，完成调整预算的</w:t>
      </w:r>
      <w:r>
        <w:rPr>
          <w:rFonts w:hint="eastAsia" w:ascii="仿宋_GB2312" w:hAnsi="仿宋_GB2312" w:cs="Times New Roman"/>
          <w:color w:val="auto"/>
          <w:spacing w:val="0"/>
          <w:kern w:val="21"/>
          <w:lang w:val="en-US" w:eastAsia="zh-CN"/>
        </w:rPr>
        <w:t>108.3%</w:t>
      </w:r>
      <w:r>
        <w:rPr>
          <w:rFonts w:hint="eastAsia" w:ascii="仿宋_GB2312" w:hAnsi="仿宋_GB2312" w:eastAsia="仿宋_GB2312" w:cs="仿宋_GB2312"/>
          <w:color w:val="auto"/>
          <w:spacing w:val="0"/>
          <w:kern w:val="21"/>
          <w:sz w:val="32"/>
          <w:szCs w:val="32"/>
        </w:rPr>
        <w:t>。主要用</w:t>
      </w:r>
      <w:r>
        <w:rPr>
          <w:rFonts w:hint="eastAsia" w:ascii="仿宋_GB2312" w:hAnsi="仿宋_GB2312" w:cs="仿宋_GB2312"/>
          <w:color w:val="auto"/>
          <w:spacing w:val="0"/>
          <w:kern w:val="21"/>
          <w:sz w:val="32"/>
          <w:szCs w:val="32"/>
          <w:lang w:eastAsia="zh-CN"/>
        </w:rPr>
        <w:t>于</w:t>
      </w:r>
      <w:r>
        <w:rPr>
          <w:rFonts w:hint="eastAsia" w:ascii="仿宋_GB2312" w:hAnsi="仿宋_GB2312" w:eastAsia="仿宋_GB2312" w:cs="仿宋_GB2312"/>
          <w:b w:val="0"/>
          <w:bCs w:val="0"/>
          <w:color w:val="auto"/>
          <w:spacing w:val="0"/>
          <w:kern w:val="21"/>
          <w:sz w:val="32"/>
          <w:szCs w:val="32"/>
          <w:lang w:val="en-US" w:eastAsia="zh-CN"/>
        </w:rPr>
        <w:t>推进普惠托育服务体系</w:t>
      </w:r>
      <w:r>
        <w:rPr>
          <w:rFonts w:hint="eastAsia" w:ascii="仿宋_GB2312" w:hAnsi="仿宋_GB2312" w:cs="仿宋_GB2312"/>
          <w:b w:val="0"/>
          <w:bCs w:val="0"/>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lang w:val="en-US" w:eastAsia="zh-CN"/>
        </w:rPr>
        <w:t>落实</w:t>
      </w:r>
      <w:r>
        <w:rPr>
          <w:rFonts w:hint="eastAsia" w:ascii="仿宋_GB2312" w:hAnsi="仿宋_GB2312" w:eastAsia="仿宋_GB2312" w:cs="仿宋_GB2312"/>
          <w:color w:val="auto"/>
          <w:spacing w:val="0"/>
          <w:kern w:val="21"/>
          <w:sz w:val="32"/>
          <w:szCs w:val="32"/>
          <w:lang w:val="en-US" w:eastAsia="zh-CN"/>
        </w:rPr>
        <w:t>普惠托班生均定额补助经费</w:t>
      </w:r>
      <w:r>
        <w:rPr>
          <w:rFonts w:hint="eastAsia" w:ascii="仿宋_GB2312" w:hAnsi="仿宋_GB2312" w:cs="仿宋_GB2312"/>
          <w:color w:val="auto"/>
          <w:spacing w:val="0"/>
          <w:kern w:val="21"/>
          <w:sz w:val="32"/>
          <w:szCs w:val="32"/>
          <w:lang w:val="en-US" w:eastAsia="zh-CN"/>
        </w:rPr>
        <w:t>，</w:t>
      </w:r>
      <w:r>
        <w:rPr>
          <w:rFonts w:hint="eastAsia" w:ascii="仿宋_GB2312" w:hAnsi="仿宋_GB2312" w:cs="仿宋_GB2312"/>
          <w:b w:val="0"/>
          <w:bCs w:val="0"/>
          <w:color w:val="auto"/>
          <w:spacing w:val="0"/>
          <w:kern w:val="21"/>
          <w:sz w:val="32"/>
          <w:szCs w:val="32"/>
          <w:lang w:val="en-US" w:eastAsia="zh-CN"/>
        </w:rPr>
        <w:t>支持</w:t>
      </w:r>
      <w:r>
        <w:rPr>
          <w:rFonts w:hint="eastAsia" w:ascii="仿宋_GB2312" w:hAnsi="仿宋_GB2312" w:eastAsia="仿宋_GB2312" w:cs="仿宋_GB2312"/>
          <w:color w:val="auto"/>
          <w:spacing w:val="0"/>
          <w:kern w:val="21"/>
          <w:sz w:val="32"/>
          <w:szCs w:val="32"/>
          <w:lang w:val="en-US" w:eastAsia="zh-CN"/>
        </w:rPr>
        <w:t>第一幼儿园</w:t>
      </w:r>
      <w:r>
        <w:rPr>
          <w:rFonts w:hint="eastAsia" w:ascii="仿宋_GB2312" w:hAnsi="仿宋_GB2312" w:cs="仿宋_GB2312"/>
          <w:color w:val="auto"/>
          <w:spacing w:val="0"/>
          <w:kern w:val="21"/>
          <w:sz w:val="32"/>
          <w:szCs w:val="32"/>
          <w:lang w:val="en-US" w:eastAsia="zh-CN"/>
        </w:rPr>
        <w:t>开展</w:t>
      </w:r>
      <w:r>
        <w:rPr>
          <w:rFonts w:hint="eastAsia" w:ascii="仿宋_GB2312" w:hAnsi="仿宋_GB2312" w:eastAsia="仿宋_GB2312" w:cs="仿宋_GB2312"/>
          <w:color w:val="auto"/>
          <w:spacing w:val="0"/>
          <w:kern w:val="21"/>
          <w:sz w:val="32"/>
          <w:szCs w:val="32"/>
          <w:lang w:val="en-US" w:eastAsia="zh-CN"/>
        </w:rPr>
        <w:t>托幼一体化试点</w:t>
      </w:r>
      <w:r>
        <w:rPr>
          <w:rFonts w:hint="eastAsia" w:ascii="仿宋_GB2312" w:hAnsi="仿宋_GB2312" w:eastAsia="仿宋_GB2312" w:cs="仿宋_GB2312"/>
          <w:b w:val="0"/>
          <w:bCs w:val="0"/>
          <w:color w:val="auto"/>
          <w:spacing w:val="0"/>
          <w:kern w:val="21"/>
          <w:sz w:val="32"/>
          <w:szCs w:val="32"/>
          <w:lang w:val="en-US" w:eastAsia="zh-CN"/>
        </w:rPr>
        <w:t>建设</w:t>
      </w:r>
      <w:r>
        <w:rPr>
          <w:rFonts w:hint="eastAsia" w:ascii="仿宋_GB2312" w:hAnsi="仿宋_GB2312" w:cs="仿宋_GB2312"/>
          <w:color w:val="auto"/>
          <w:spacing w:val="0"/>
          <w:kern w:val="21"/>
          <w:sz w:val="32"/>
          <w:szCs w:val="32"/>
          <w:lang w:eastAsia="zh-CN"/>
        </w:rPr>
        <w:t>。助力中小学学位扩增</w:t>
      </w:r>
      <w:r>
        <w:rPr>
          <w:rFonts w:hint="eastAsia" w:ascii="FangSong_GB2312" w:hAnsi="FangSong_GB2312" w:eastAsia="FangSong_GB2312"/>
          <w:color w:val="auto"/>
          <w:spacing w:val="0"/>
          <w:kern w:val="21"/>
          <w:sz w:val="32"/>
          <w:szCs w:val="32"/>
          <w:lang w:eastAsia="zh-CN"/>
        </w:rPr>
        <w:t>，</w:t>
      </w:r>
      <w:r>
        <w:rPr>
          <w:rFonts w:hint="eastAsia" w:ascii="仿宋_GB2312" w:hAnsi="仿宋_GB2312" w:eastAsia="仿宋_GB2312" w:cs="仿宋_GB2312"/>
          <w:b w:val="0"/>
          <w:color w:val="auto"/>
          <w:spacing w:val="0"/>
          <w:kern w:val="21"/>
          <w:sz w:val="32"/>
          <w:szCs w:val="32"/>
        </w:rPr>
        <w:t>支持</w:t>
      </w:r>
      <w:r>
        <w:rPr>
          <w:rFonts w:hint="eastAsia" w:ascii="FangSong_GB2312" w:hAnsi="FangSong_GB2312" w:eastAsia="FangSong_GB2312"/>
          <w:color w:val="auto"/>
          <w:spacing w:val="0"/>
          <w:kern w:val="21"/>
          <w:sz w:val="32"/>
          <w:szCs w:val="32"/>
          <w:lang w:eastAsia="zh-CN"/>
        </w:rPr>
        <w:t>北</w:t>
      </w:r>
      <w:r>
        <w:rPr>
          <w:rFonts w:hint="eastAsia" w:ascii="FangSong_GB2312" w:hAnsi="FangSong_GB2312" w:eastAsia="FangSong_GB2312"/>
          <w:color w:val="auto"/>
          <w:spacing w:val="0"/>
          <w:kern w:val="21"/>
          <w:sz w:val="32"/>
          <w:szCs w:val="32"/>
          <w:highlight w:val="none"/>
          <w:lang w:eastAsia="zh-CN"/>
        </w:rPr>
        <w:t>京教育学院丰台分院实验学校、北京科技中学、闪建学校</w:t>
      </w:r>
      <w:r>
        <w:rPr>
          <w:rFonts w:hint="eastAsia" w:ascii="FangSong_GB2312" w:hAnsi="FangSong_GB2312" w:eastAsia="FangSong_GB2312"/>
          <w:color w:val="auto"/>
          <w:spacing w:val="0"/>
          <w:kern w:val="21"/>
          <w:sz w:val="32"/>
          <w:szCs w:val="32"/>
          <w:highlight w:val="none"/>
          <w:lang w:val="en-US" w:eastAsia="zh-CN"/>
        </w:rPr>
        <w:t>增加优质学</w:t>
      </w:r>
      <w:r>
        <w:rPr>
          <w:rFonts w:hint="eastAsia" w:ascii="FangSong_GB2312" w:hAnsi="FangSong_GB2312" w:eastAsia="FangSong_GB2312" w:cs="Times New Roman"/>
          <w:color w:val="auto"/>
          <w:spacing w:val="0"/>
          <w:kern w:val="21"/>
          <w:sz w:val="32"/>
          <w:szCs w:val="32"/>
          <w:highlight w:val="none"/>
          <w:lang w:val="en-US" w:eastAsia="zh-CN"/>
        </w:rPr>
        <w:t>位</w:t>
      </w:r>
      <w:r>
        <w:rPr>
          <w:rFonts w:hint="eastAsia" w:ascii="FangSong_GB2312" w:hAnsi="FangSong_GB2312" w:eastAsia="FangSong_GB2312" w:cs="Times New Roman"/>
          <w:color w:val="auto"/>
          <w:spacing w:val="0"/>
          <w:kern w:val="21"/>
          <w:sz w:val="32"/>
          <w:szCs w:val="32"/>
          <w:highlight w:val="none"/>
          <w:lang w:eastAsia="zh-CN"/>
        </w:rPr>
        <w:t>，</w:t>
      </w:r>
      <w:r>
        <w:rPr>
          <w:rFonts w:hint="eastAsia" w:ascii="FangSong_GB2312" w:hAnsi="FangSong_GB2312" w:eastAsia="FangSong_GB2312"/>
          <w:color w:val="auto"/>
          <w:spacing w:val="0"/>
          <w:kern w:val="21"/>
          <w:sz w:val="32"/>
          <w:szCs w:val="32"/>
        </w:rPr>
        <w:t>缓解入学高峰压力</w:t>
      </w:r>
      <w:r>
        <w:rPr>
          <w:rFonts w:hint="eastAsia" w:ascii="FangSong_GB2312" w:hAnsi="FangSong_GB2312" w:eastAsia="FangSong_GB2312"/>
          <w:color w:val="auto"/>
          <w:spacing w:val="0"/>
          <w:kern w:val="21"/>
          <w:sz w:val="32"/>
          <w:szCs w:val="32"/>
          <w:highlight w:val="none"/>
          <w:lang w:val="en-US" w:eastAsia="zh-CN"/>
        </w:rPr>
        <w:t>。</w:t>
      </w:r>
      <w:r>
        <w:rPr>
          <w:rFonts w:hint="eastAsia" w:ascii="仿宋_GB2312" w:hAnsi="仿宋_GB2312" w:eastAsia="仿宋_GB2312" w:cs="仿宋_GB2312"/>
          <w:b w:val="0"/>
          <w:color w:val="auto"/>
          <w:spacing w:val="0"/>
          <w:kern w:val="21"/>
          <w:sz w:val="32"/>
          <w:szCs w:val="32"/>
        </w:rPr>
        <w:t>改善学校基础教育设施，统筹职业教育、义务教育高质量发展，加强教师队伍建设，促进教育事业均衡发展。</w:t>
      </w:r>
      <w:r>
        <w:rPr>
          <w:rFonts w:hint="eastAsia" w:ascii="仿宋_GB2312" w:hAnsi="仿宋_GB2312" w:cs="仿宋_GB2312"/>
          <w:color w:val="auto"/>
          <w:spacing w:val="0"/>
          <w:kern w:val="21"/>
          <w:sz w:val="32"/>
          <w:szCs w:val="32"/>
          <w:highlight w:val="none"/>
          <w:lang w:eastAsia="zh-CN"/>
        </w:rPr>
        <w:t>执行高于调整预算，主要是强化教育经费保障，加大教育投入力度。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color w:val="auto"/>
          <w:spacing w:val="0"/>
          <w:kern w:val="21"/>
          <w:sz w:val="32"/>
          <w:szCs w:val="32"/>
          <w:lang w:val="en-US" w:eastAsia="zh-CN"/>
        </w:rPr>
      </w:pPr>
      <w:r>
        <w:rPr>
          <w:rFonts w:hint="eastAsia" w:ascii="仿宋_GB2312" w:hAnsi="仿宋_GB2312" w:cs="仿宋_GB2312"/>
          <w:b/>
          <w:bCs/>
          <w:color w:val="auto"/>
          <w:spacing w:val="0"/>
          <w:kern w:val="21"/>
          <w:sz w:val="32"/>
          <w:szCs w:val="32"/>
          <w:lang w:eastAsia="zh-CN"/>
        </w:rPr>
        <w:t>科学技术支出</w:t>
      </w:r>
      <w:r>
        <w:rPr>
          <w:rFonts w:hint="eastAsia" w:ascii="仿宋_GB2312" w:hAnsi="仿宋_GB2312" w:cs="仿宋_GB2312"/>
          <w:b w:val="0"/>
          <w:color w:val="auto"/>
          <w:spacing w:val="0"/>
          <w:kern w:val="21"/>
          <w:sz w:val="32"/>
          <w:szCs w:val="32"/>
          <w:lang w:val="en-US" w:eastAsia="zh-CN"/>
        </w:rPr>
        <w:t>4.5亿元，完成</w:t>
      </w:r>
      <w:r>
        <w:rPr>
          <w:rFonts w:hint="eastAsia" w:ascii="仿宋_GB2312" w:hAnsi="仿宋_GB2312" w:eastAsia="仿宋_GB2312" w:cs="仿宋_GB2312"/>
          <w:color w:val="auto"/>
          <w:spacing w:val="0"/>
          <w:kern w:val="21"/>
          <w:sz w:val="32"/>
          <w:szCs w:val="32"/>
        </w:rPr>
        <w:t>调整预算的</w:t>
      </w:r>
      <w:r>
        <w:rPr>
          <w:rFonts w:hint="eastAsia" w:ascii="仿宋_GB2312" w:hAnsi="仿宋_GB2312" w:cs="仿宋_GB2312"/>
          <w:color w:val="auto"/>
          <w:spacing w:val="0"/>
          <w:kern w:val="21"/>
          <w:sz w:val="32"/>
          <w:szCs w:val="32"/>
          <w:lang w:val="en-US" w:eastAsia="zh-CN"/>
        </w:rPr>
        <w:t>100.5</w:t>
      </w:r>
      <w:r>
        <w:rPr>
          <w:rFonts w:hint="eastAsia" w:ascii="仿宋_GB2312" w:hAnsi="仿宋_GB2312" w:eastAsia="仿宋_GB2312" w:cs="仿宋_GB2312"/>
          <w:color w:val="auto"/>
          <w:spacing w:val="0"/>
          <w:kern w:val="21"/>
          <w:sz w:val="32"/>
          <w:szCs w:val="32"/>
        </w:rPr>
        <w:t>%。主要用于支持高质量园区建设，增强中关村丰台园创新引领作用，支持开展首届低空经济创新引领大会</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中国商业航天大会</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密码技术发展大会</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推动园区发展高精尖技术、攻关核心技术</w:t>
      </w:r>
      <w:r>
        <w:rPr>
          <w:rFonts w:hint="eastAsia" w:ascii="仿宋_GB2312" w:hAnsi="仿宋_GB2312" w:cs="仿宋_GB2312"/>
          <w:color w:val="auto"/>
          <w:spacing w:val="0"/>
          <w:kern w:val="21"/>
          <w:sz w:val="32"/>
          <w:szCs w:val="32"/>
          <w:lang w:eastAsia="zh-CN"/>
        </w:rPr>
        <w:t>，集聚产业发展动能</w:t>
      </w:r>
      <w:r>
        <w:rPr>
          <w:rFonts w:hint="eastAsia" w:ascii="仿宋_GB2312" w:hAnsi="仿宋_GB2312" w:eastAsia="仿宋_GB2312" w:cs="仿宋_GB2312"/>
          <w:color w:val="auto"/>
          <w:spacing w:val="0"/>
          <w:kern w:val="21"/>
          <w:sz w:val="32"/>
          <w:szCs w:val="32"/>
        </w:rPr>
        <w:t>。</w:t>
      </w:r>
      <w:r>
        <w:rPr>
          <w:rFonts w:hint="eastAsia" w:ascii="仿宋_GB2312" w:hAnsi="仿宋_GB2312" w:cs="仿宋_GB2312"/>
          <w:color w:val="auto"/>
          <w:spacing w:val="0"/>
          <w:kern w:val="21"/>
          <w:sz w:val="32"/>
          <w:szCs w:val="32"/>
          <w:lang w:eastAsia="zh-CN"/>
        </w:rPr>
        <w:t>落实企业扶持政策，支持企业创新发展，打造一流营商环境。</w:t>
      </w:r>
      <w:r>
        <w:rPr>
          <w:rFonts w:ascii="仿宋_GB2312" w:hAnsi="Calibri" w:eastAsia="仿宋_GB2312" w:cs="仿宋_GB2312"/>
          <w:color w:val="auto"/>
          <w:spacing w:val="0"/>
          <w:kern w:val="21"/>
          <w:sz w:val="32"/>
          <w:szCs w:val="32"/>
        </w:rPr>
        <w:t>支持开展科普宣传和科普惠民工程，提升全民科学素养。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b/>
          <w:color w:val="auto"/>
          <w:spacing w:val="0"/>
          <w:kern w:val="21"/>
          <w:sz w:val="32"/>
          <w:szCs w:val="32"/>
        </w:rPr>
        <w:t>文化旅游体育与传媒支出</w:t>
      </w:r>
      <w:r>
        <w:rPr>
          <w:rFonts w:hint="eastAsia" w:ascii="仿宋_GB2312" w:hAnsi="仿宋_GB2312" w:cs="仿宋_GB2312"/>
          <w:b w:val="0"/>
          <w:color w:val="auto"/>
          <w:spacing w:val="0"/>
          <w:kern w:val="21"/>
          <w:sz w:val="32"/>
          <w:szCs w:val="32"/>
          <w:lang w:val="en-US" w:eastAsia="zh-CN"/>
        </w:rPr>
        <w:t>3.7</w:t>
      </w:r>
      <w:r>
        <w:rPr>
          <w:rFonts w:hint="eastAsia" w:ascii="仿宋_GB2312" w:hAnsi="仿宋_GB2312" w:eastAsia="仿宋_GB2312" w:cs="仿宋_GB2312"/>
          <w:b w:val="0"/>
          <w:color w:val="auto"/>
          <w:spacing w:val="0"/>
          <w:kern w:val="21"/>
          <w:sz w:val="32"/>
          <w:szCs w:val="32"/>
        </w:rPr>
        <w:t>亿元，</w:t>
      </w:r>
      <w:r>
        <w:rPr>
          <w:rFonts w:hint="eastAsia" w:ascii="仿宋_GB2312" w:hAnsi="仿宋_GB2312" w:eastAsia="仿宋_GB2312" w:cs="仿宋_GB2312"/>
          <w:color w:val="auto"/>
          <w:spacing w:val="0"/>
          <w:kern w:val="21"/>
          <w:sz w:val="32"/>
          <w:szCs w:val="32"/>
        </w:rPr>
        <w:t>完成调整预算的</w:t>
      </w:r>
      <w:r>
        <w:rPr>
          <w:rFonts w:hint="eastAsia" w:ascii="仿宋_GB2312" w:hAnsi="仿宋_GB2312" w:cs="仿宋_GB2312"/>
          <w:color w:val="auto"/>
          <w:spacing w:val="0"/>
          <w:kern w:val="21"/>
          <w:sz w:val="32"/>
          <w:szCs w:val="32"/>
          <w:lang w:val="en-US" w:eastAsia="zh-CN"/>
        </w:rPr>
        <w:t>99.8</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b w:val="0"/>
          <w:color w:val="auto"/>
          <w:spacing w:val="0"/>
          <w:kern w:val="21"/>
          <w:sz w:val="32"/>
          <w:szCs w:val="32"/>
        </w:rPr>
        <w:t>主要</w:t>
      </w:r>
      <w:r>
        <w:rPr>
          <w:rFonts w:hint="eastAsia" w:ascii="仿宋_GB2312" w:hAnsi="仿宋_GB2312" w:cs="仿宋_GB2312"/>
          <w:color w:val="auto"/>
          <w:spacing w:val="0"/>
          <w:kern w:val="21"/>
          <w:sz w:val="32"/>
          <w:szCs w:val="32"/>
          <w:lang w:eastAsia="zh-CN"/>
        </w:rPr>
        <w:t>用于</w:t>
      </w:r>
      <w:r>
        <w:rPr>
          <w:rFonts w:hint="eastAsia" w:ascii="仿宋_GB2312" w:hAnsi="仿宋_GB2312" w:eastAsia="仿宋_GB2312" w:cs="仿宋_GB2312"/>
          <w:color w:val="auto"/>
          <w:spacing w:val="0"/>
          <w:kern w:val="21"/>
          <w:sz w:val="32"/>
          <w:szCs w:val="32"/>
        </w:rPr>
        <w:t>丰富高品质文化供给，</w:t>
      </w:r>
      <w:r>
        <w:rPr>
          <w:rFonts w:hint="eastAsia" w:ascii="仿宋_GB2312" w:hAnsi="仿宋_GB2312"/>
          <w:bCs/>
          <w:color w:val="auto"/>
          <w:spacing w:val="0"/>
          <w:kern w:val="21"/>
          <w:sz w:val="32"/>
          <w:szCs w:val="32"/>
          <w:lang w:val="en-US" w:eastAsia="zh-CN"/>
        </w:rPr>
        <w:t>支持打造</w:t>
      </w:r>
      <w:r>
        <w:rPr>
          <w:rFonts w:hint="eastAsia" w:ascii="仿宋_GB2312" w:hAnsi="仿宋_GB2312" w:eastAsia="仿宋_GB2312" w:cs="仿宋_GB2312"/>
          <w:b w:val="0"/>
          <w:bCs w:val="0"/>
          <w:color w:val="auto"/>
          <w:spacing w:val="0"/>
          <w:kern w:val="21"/>
          <w:sz w:val="32"/>
          <w:szCs w:val="32"/>
        </w:rPr>
        <w:t>“宛平博物馆之城”重点项目</w:t>
      </w:r>
      <w:r>
        <w:rPr>
          <w:rFonts w:hint="eastAsia" w:ascii="仿宋_GB2312" w:hAnsi="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顺利举办第八届中国戏曲文化周活动</w:t>
      </w:r>
      <w:r>
        <w:rPr>
          <w:rFonts w:hint="eastAsia" w:ascii="仿宋_GB2312" w:hAnsi="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园博园</w:t>
      </w:r>
      <w:r>
        <w:rPr>
          <w:rFonts w:hint="eastAsia" w:ascii="仿宋_GB2312" w:hAnsi="仿宋_GB2312" w:cs="仿宋_GB2312"/>
          <w:b w:val="0"/>
          <w:bCs w:val="0"/>
          <w:color w:val="auto"/>
          <w:spacing w:val="0"/>
          <w:kern w:val="21"/>
          <w:sz w:val="32"/>
          <w:szCs w:val="32"/>
          <w:lang w:eastAsia="zh-CN"/>
        </w:rPr>
        <w:t>“京彩</w:t>
      </w:r>
      <w:r>
        <w:rPr>
          <w:rFonts w:hint="eastAsia" w:ascii="仿宋_GB2312" w:hAnsi="仿宋_GB2312" w:eastAsia="仿宋_GB2312" w:cs="仿宋_GB2312"/>
          <w:b w:val="0"/>
          <w:bCs w:val="0"/>
          <w:color w:val="auto"/>
          <w:spacing w:val="0"/>
          <w:kern w:val="21"/>
          <w:sz w:val="32"/>
          <w:szCs w:val="32"/>
        </w:rPr>
        <w:t>灯会</w:t>
      </w:r>
      <w:r>
        <w:rPr>
          <w:rFonts w:hint="eastAsia" w:ascii="仿宋_GB2312" w:hAnsi="仿宋_GB2312" w:cs="仿宋_GB2312"/>
          <w:b w:val="0"/>
          <w:bCs w:val="0"/>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w:t>
      </w:r>
      <w:r>
        <w:rPr>
          <w:rFonts w:hint="eastAsia" w:ascii="仿宋_GB2312" w:hAnsi="仿宋_GB2312" w:cs="仿宋_GB2312"/>
          <w:color w:val="auto"/>
          <w:spacing w:val="0"/>
          <w:kern w:val="21"/>
          <w:sz w:val="32"/>
          <w:szCs w:val="32"/>
          <w:lang w:eastAsia="zh-CN"/>
        </w:rPr>
        <w:t>落实</w:t>
      </w:r>
      <w:r>
        <w:rPr>
          <w:rFonts w:hint="eastAsia" w:ascii="仿宋_GB2312" w:hAnsi="仿宋_GB2312" w:eastAsia="仿宋_GB2312" w:cs="仿宋_GB2312"/>
          <w:b w:val="0"/>
          <w:bCs w:val="0"/>
          <w:color w:val="auto"/>
          <w:spacing w:val="0"/>
          <w:kern w:val="21"/>
          <w:sz w:val="32"/>
          <w:szCs w:val="32"/>
        </w:rPr>
        <w:t>公共图书馆、美术馆、文化馆免费</w:t>
      </w:r>
      <w:r>
        <w:rPr>
          <w:rFonts w:hint="eastAsia" w:ascii="仿宋_GB2312" w:hAnsi="仿宋_GB2312" w:cs="仿宋_GB2312"/>
          <w:b w:val="0"/>
          <w:bCs w:val="0"/>
          <w:color w:val="auto"/>
          <w:spacing w:val="0"/>
          <w:kern w:val="21"/>
          <w:sz w:val="32"/>
          <w:szCs w:val="32"/>
          <w:lang w:eastAsia="zh-CN"/>
        </w:rPr>
        <w:t>政策，支持建设</w:t>
      </w:r>
      <w:r>
        <w:rPr>
          <w:rFonts w:hint="eastAsia" w:ascii="仿宋_GB2312" w:hAnsi="仿宋_GB2312" w:eastAsia="仿宋_GB2312" w:cs="仿宋_GB2312"/>
          <w:color w:val="auto"/>
          <w:spacing w:val="0"/>
          <w:kern w:val="21"/>
          <w:sz w:val="32"/>
          <w:szCs w:val="32"/>
        </w:rPr>
        <w:t>非遗展示中心，</w:t>
      </w:r>
      <w:r>
        <w:rPr>
          <w:rFonts w:hint="eastAsia" w:ascii="仿宋_GB2312" w:hAnsi="仿宋_GB2312" w:cs="仿宋_GB2312"/>
          <w:color w:val="auto"/>
          <w:spacing w:val="0"/>
          <w:kern w:val="21"/>
          <w:sz w:val="32"/>
          <w:szCs w:val="32"/>
          <w:lang w:val="en-US" w:eastAsia="zh-CN"/>
        </w:rPr>
        <w:t>举办</w:t>
      </w:r>
      <w:r>
        <w:rPr>
          <w:rFonts w:hint="eastAsia" w:ascii="仿宋_GB2312" w:hAnsi="仿宋_GB2312" w:eastAsia="仿宋_GB2312" w:cs="仿宋_GB2312"/>
          <w:color w:val="auto"/>
          <w:spacing w:val="0"/>
          <w:kern w:val="21"/>
          <w:sz w:val="32"/>
          <w:szCs w:val="32"/>
          <w:lang w:val="en-US" w:eastAsia="zh-CN"/>
        </w:rPr>
        <w:t>第九届丰台区欢乐冰雪季</w:t>
      </w:r>
      <w:r>
        <w:rPr>
          <w:rFonts w:hint="eastAsia" w:ascii="仿宋_GB2312" w:hAnsi="仿宋_GB2312" w:cs="仿宋_GB2312"/>
          <w:color w:val="auto"/>
          <w:spacing w:val="0"/>
          <w:kern w:val="21"/>
          <w:sz w:val="32"/>
          <w:szCs w:val="32"/>
          <w:lang w:val="en-US" w:eastAsia="zh-CN"/>
        </w:rPr>
        <w:t>、</w:t>
      </w:r>
      <w:r>
        <w:rPr>
          <w:rFonts w:hint="eastAsia" w:ascii="仿宋_GB2312" w:hAnsi="仿宋_GB2312" w:eastAsia="仿宋_GB2312" w:cs="仿宋_GB2312"/>
          <w:color w:val="auto"/>
          <w:spacing w:val="0"/>
          <w:kern w:val="21"/>
          <w:sz w:val="32"/>
          <w:szCs w:val="32"/>
          <w:lang w:val="en-US" w:eastAsia="zh-CN"/>
        </w:rPr>
        <w:t>“京津冀”赛艇、皮划艇精英赛</w:t>
      </w:r>
      <w:r>
        <w:rPr>
          <w:rFonts w:hint="eastAsia" w:ascii="仿宋_GB2312" w:hAnsi="仿宋_GB2312" w:cs="仿宋_GB2312"/>
          <w:color w:val="auto"/>
          <w:spacing w:val="0"/>
          <w:kern w:val="21"/>
          <w:sz w:val="32"/>
          <w:szCs w:val="32"/>
          <w:lang w:val="en-US" w:eastAsia="zh-CN"/>
        </w:rPr>
        <w:t>等体育活动，</w:t>
      </w:r>
      <w:r>
        <w:rPr>
          <w:rFonts w:hint="eastAsia" w:ascii="仿宋_GB2312" w:hAnsi="仿宋_GB2312" w:eastAsia="仿宋_GB2312" w:cs="仿宋_GB2312"/>
          <w:color w:val="auto"/>
          <w:spacing w:val="0"/>
          <w:kern w:val="21"/>
          <w:sz w:val="32"/>
          <w:szCs w:val="32"/>
        </w:rPr>
        <w:t>促进文体旅行业融合发展。</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b w:val="0"/>
          <w:color w:val="auto"/>
          <w:spacing w:val="0"/>
          <w:kern w:val="21"/>
          <w:sz w:val="32"/>
          <w:szCs w:val="32"/>
          <w:shd w:val="clear" w:color="FFFFFF" w:fill="D9D9D9"/>
        </w:rPr>
      </w:pPr>
      <w:r>
        <w:rPr>
          <w:rFonts w:hint="eastAsia" w:ascii="仿宋_GB2312" w:hAnsi="仿宋_GB2312" w:eastAsia="仿宋_GB2312" w:cs="仿宋_GB2312"/>
          <w:b/>
          <w:color w:val="auto"/>
          <w:spacing w:val="0"/>
          <w:kern w:val="21"/>
          <w:sz w:val="32"/>
          <w:szCs w:val="32"/>
        </w:rPr>
        <w:t>社会保障和就业支出</w:t>
      </w:r>
      <w:r>
        <w:rPr>
          <w:rFonts w:hint="eastAsia" w:ascii="仿宋_GB2312" w:hAnsi="仿宋_GB2312" w:cs="仿宋_GB2312"/>
          <w:color w:val="auto"/>
          <w:spacing w:val="0"/>
          <w:kern w:val="21"/>
          <w:sz w:val="32"/>
          <w:szCs w:val="32"/>
          <w:lang w:val="en-US" w:eastAsia="zh-CN"/>
        </w:rPr>
        <w:t>82.0</w:t>
      </w:r>
      <w:r>
        <w:rPr>
          <w:rFonts w:hint="eastAsia" w:ascii="仿宋_GB2312" w:hAnsi="仿宋_GB2312" w:eastAsia="仿宋_GB2312" w:cs="仿宋_GB2312"/>
          <w:color w:val="auto"/>
          <w:spacing w:val="0"/>
          <w:kern w:val="21"/>
          <w:sz w:val="32"/>
          <w:szCs w:val="32"/>
        </w:rPr>
        <w:t>亿元，完成调整预算的</w:t>
      </w:r>
      <w:r>
        <w:rPr>
          <w:rFonts w:hint="eastAsia" w:ascii="仿宋_GB2312" w:hAnsi="仿宋_GB2312" w:cs="仿宋_GB2312"/>
          <w:color w:val="auto"/>
          <w:spacing w:val="0"/>
          <w:kern w:val="21"/>
          <w:sz w:val="32"/>
          <w:szCs w:val="32"/>
          <w:lang w:val="en-US" w:eastAsia="zh-CN"/>
        </w:rPr>
        <w:t>97.6</w:t>
      </w:r>
      <w:r>
        <w:rPr>
          <w:rFonts w:hint="eastAsia" w:ascii="仿宋_GB2312" w:hAnsi="仿宋_GB2312" w:eastAsia="仿宋_GB2312" w:cs="仿宋_GB2312"/>
          <w:color w:val="auto"/>
          <w:spacing w:val="0"/>
          <w:kern w:val="21"/>
          <w:sz w:val="32"/>
          <w:szCs w:val="32"/>
        </w:rPr>
        <w:t>%。</w:t>
      </w:r>
      <w:r>
        <w:rPr>
          <w:rFonts w:hint="eastAsia" w:ascii="仿宋_GB2312" w:hAnsi="仿宋_GB2312" w:cs="仿宋_GB2312"/>
          <w:color w:val="auto"/>
          <w:spacing w:val="0"/>
          <w:kern w:val="21"/>
          <w:sz w:val="32"/>
          <w:szCs w:val="32"/>
          <w:lang w:eastAsia="zh-CN"/>
        </w:rPr>
        <w:t>主要用于</w:t>
      </w:r>
      <w:r>
        <w:rPr>
          <w:rFonts w:hint="eastAsia" w:ascii="仿宋_GB2312" w:hAnsi="仿宋_GB2312" w:eastAsia="仿宋_GB2312" w:cs="仿宋_GB2312"/>
          <w:b w:val="0"/>
          <w:bCs w:val="0"/>
          <w:color w:val="auto"/>
          <w:spacing w:val="0"/>
          <w:kern w:val="21"/>
          <w:sz w:val="32"/>
          <w:szCs w:val="32"/>
          <w:lang w:val="en-US" w:eastAsia="zh-CN"/>
        </w:rPr>
        <w:t>落实社会救助资金，及时足额落实最低生活保障、特困人员供养、临时救助、残疾人相关补助等资金，社会救助服务能力明显提升。</w:t>
      </w:r>
      <w:r>
        <w:rPr>
          <w:rFonts w:hint="eastAsia" w:ascii="仿宋_GB2312" w:hAnsi="仿宋_GB2312" w:eastAsia="仿宋_GB2312" w:cs="仿宋_GB2312"/>
          <w:color w:val="auto"/>
          <w:spacing w:val="0"/>
          <w:kern w:val="21"/>
          <w:sz w:val="32"/>
          <w:szCs w:val="32"/>
          <w:lang w:val="en-US" w:eastAsia="zh-CN"/>
        </w:rPr>
        <w:t>落实养老服务驿站建设补助，加大养老设施投入，推动区管养老院建设,为辖区内老年人提供上门医疗护理。</w:t>
      </w:r>
      <w:r>
        <w:rPr>
          <w:rFonts w:hint="eastAsia" w:ascii="仿宋_GB2312" w:hAnsi="仿宋_GB2312" w:eastAsia="仿宋_GB2312" w:cs="仿宋_GB2312"/>
          <w:b w:val="0"/>
          <w:color w:val="auto"/>
          <w:spacing w:val="0"/>
          <w:kern w:val="21"/>
          <w:sz w:val="32"/>
          <w:szCs w:val="32"/>
        </w:rPr>
        <w:t>落实就业优先政策，支持开展稳就业专项行动、多层次职业技能培训，</w:t>
      </w:r>
      <w:r>
        <w:rPr>
          <w:rFonts w:hint="eastAsia" w:ascii="仿宋_GB2312" w:hAnsi="仿宋_GB2312" w:cs="仿宋_GB2312"/>
          <w:b w:val="0"/>
          <w:color w:val="auto"/>
          <w:spacing w:val="0"/>
          <w:kern w:val="21"/>
          <w:sz w:val="32"/>
          <w:szCs w:val="32"/>
          <w:lang w:eastAsia="zh-CN"/>
        </w:rPr>
        <w:t>帮助</w:t>
      </w:r>
      <w:r>
        <w:rPr>
          <w:rFonts w:hint="eastAsia" w:ascii="仿宋_GB2312" w:hAnsi="仿宋_GB2312" w:eastAsia="仿宋_GB2312" w:cs="仿宋_GB2312"/>
          <w:color w:val="auto"/>
          <w:spacing w:val="0"/>
          <w:kern w:val="21"/>
          <w:sz w:val="32"/>
          <w:szCs w:val="32"/>
          <w:lang w:val="en-US" w:eastAsia="zh-CN"/>
        </w:rPr>
        <w:t>农村劳动力、高校毕业生等重点人群实现高质量就业。</w:t>
      </w:r>
      <w:r>
        <w:rPr>
          <w:rFonts w:hint="eastAsia" w:ascii="仿宋_GB2312" w:hAnsi="仿宋_GB2312" w:cs="仿宋_GB2312"/>
          <w:b w:val="0"/>
          <w:color w:val="auto"/>
          <w:spacing w:val="0"/>
          <w:kern w:val="21"/>
          <w:sz w:val="32"/>
          <w:szCs w:val="32"/>
          <w:lang w:eastAsia="zh-CN"/>
        </w:rPr>
        <w:t>落实</w:t>
      </w:r>
      <w:r>
        <w:rPr>
          <w:rFonts w:hint="eastAsia" w:ascii="仿宋_GB2312" w:hAnsi="仿宋_GB2312" w:eastAsia="仿宋_GB2312" w:cs="仿宋_GB2312"/>
          <w:b w:val="0"/>
          <w:color w:val="auto"/>
          <w:spacing w:val="0"/>
          <w:kern w:val="21"/>
          <w:sz w:val="32"/>
          <w:szCs w:val="32"/>
        </w:rPr>
        <w:t>退役安置</w:t>
      </w:r>
      <w:r>
        <w:rPr>
          <w:rFonts w:hint="eastAsia" w:ascii="仿宋_GB2312" w:hAnsi="仿宋_GB2312" w:cs="仿宋_GB2312"/>
          <w:b w:val="0"/>
          <w:color w:val="auto"/>
          <w:spacing w:val="0"/>
          <w:kern w:val="21"/>
          <w:sz w:val="32"/>
          <w:szCs w:val="32"/>
          <w:lang w:eastAsia="zh-CN"/>
        </w:rPr>
        <w:t>补助，做好重点人群走访慰问</w:t>
      </w:r>
      <w:r>
        <w:rPr>
          <w:rFonts w:hint="eastAsia" w:ascii="仿宋_GB2312" w:hAnsi="仿宋_GB2312" w:eastAsia="仿宋_GB2312" w:cs="仿宋_GB2312"/>
          <w:b w:val="0"/>
          <w:color w:val="auto"/>
          <w:spacing w:val="0"/>
          <w:kern w:val="21"/>
          <w:sz w:val="32"/>
          <w:szCs w:val="32"/>
        </w:rPr>
        <w:t>。</w:t>
      </w:r>
      <w:r>
        <w:rPr>
          <w:rFonts w:hint="eastAsia" w:ascii="仿宋_GB2312" w:hAnsi="仿宋_GB2312" w:cs="仿宋_GB2312"/>
          <w:color w:val="auto"/>
          <w:spacing w:val="0"/>
          <w:kern w:val="21"/>
          <w:sz w:val="32"/>
          <w:szCs w:val="32"/>
          <w:highlight w:val="none"/>
          <w:lang w:eastAsia="zh-CN"/>
        </w:rPr>
        <w:t>执行低于调整预算，</w:t>
      </w:r>
      <w:r>
        <w:rPr>
          <w:rFonts w:hint="eastAsia" w:ascii="仿宋_GB2312" w:hAnsi="仿宋_GB2312" w:cs="仿宋_GB2312"/>
          <w:color w:val="auto"/>
          <w:spacing w:val="0"/>
          <w:kern w:val="21"/>
          <w:sz w:val="32"/>
          <w:szCs w:val="32"/>
          <w:highlight w:val="none"/>
          <w:shd w:val="clear" w:color="auto" w:fill="auto"/>
          <w:lang w:eastAsia="zh-CN"/>
        </w:rPr>
        <w:t>主要是年初足额安排预算，实际执行低于预期。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b/>
          <w:color w:val="auto"/>
          <w:spacing w:val="0"/>
          <w:kern w:val="21"/>
          <w:sz w:val="32"/>
          <w:szCs w:val="32"/>
        </w:rPr>
        <w:t>卫生健康支出</w:t>
      </w:r>
      <w:r>
        <w:rPr>
          <w:rFonts w:hint="eastAsia" w:ascii="仿宋_GB2312" w:hAnsi="仿宋_GB2312" w:cs="仿宋_GB2312"/>
          <w:color w:val="auto"/>
          <w:spacing w:val="0"/>
          <w:kern w:val="21"/>
          <w:sz w:val="32"/>
          <w:szCs w:val="32"/>
          <w:lang w:val="en-US" w:eastAsia="zh-CN"/>
        </w:rPr>
        <w:t>18.8</w:t>
      </w:r>
      <w:r>
        <w:rPr>
          <w:rFonts w:hint="eastAsia" w:ascii="仿宋_GB2312" w:hAnsi="仿宋_GB2312" w:eastAsia="仿宋_GB2312" w:cs="仿宋_GB2312"/>
          <w:color w:val="auto"/>
          <w:spacing w:val="0"/>
          <w:kern w:val="21"/>
          <w:sz w:val="32"/>
          <w:szCs w:val="32"/>
        </w:rPr>
        <w:t>亿元，完成调整预算的</w:t>
      </w:r>
      <w:r>
        <w:rPr>
          <w:rFonts w:hint="eastAsia" w:ascii="仿宋_GB2312" w:hAnsi="仿宋_GB2312" w:cs="仿宋_GB2312"/>
          <w:color w:val="auto"/>
          <w:spacing w:val="0"/>
          <w:kern w:val="21"/>
          <w:sz w:val="32"/>
          <w:szCs w:val="32"/>
          <w:lang w:val="en-US" w:eastAsia="zh-CN"/>
        </w:rPr>
        <w:t>111.8</w:t>
      </w:r>
      <w:r>
        <w:rPr>
          <w:rFonts w:hint="eastAsia" w:ascii="仿宋_GB2312" w:hAnsi="仿宋_GB2312" w:eastAsia="仿宋_GB2312" w:cs="仿宋_GB2312"/>
          <w:color w:val="auto"/>
          <w:spacing w:val="0"/>
          <w:kern w:val="21"/>
          <w:sz w:val="32"/>
          <w:szCs w:val="32"/>
        </w:rPr>
        <w:t>%。主要用于</w:t>
      </w:r>
      <w:r>
        <w:rPr>
          <w:rFonts w:hint="eastAsia" w:ascii="仿宋_GB2312" w:hAnsi="仿宋_GB2312" w:eastAsia="仿宋_GB2312" w:cs="仿宋_GB2312"/>
          <w:color w:val="auto"/>
          <w:spacing w:val="0"/>
          <w:kern w:val="21"/>
          <w:sz w:val="32"/>
          <w:szCs w:val="32"/>
          <w:lang w:val="en-US" w:eastAsia="zh-CN"/>
        </w:rPr>
        <w:t>支持我区卫生健康“强基工程”</w:t>
      </w:r>
      <w:r>
        <w:rPr>
          <w:rFonts w:hint="eastAsia" w:ascii="仿宋_GB2312" w:hAnsi="仿宋_GB2312" w:cs="仿宋_GB2312"/>
          <w:color w:val="auto"/>
          <w:spacing w:val="0"/>
          <w:kern w:val="21"/>
          <w:sz w:val="32"/>
          <w:szCs w:val="32"/>
          <w:lang w:val="en-US" w:eastAsia="zh-CN"/>
        </w:rPr>
        <w:t>，</w:t>
      </w:r>
      <w:r>
        <w:rPr>
          <w:rFonts w:hint="eastAsia" w:ascii="仿宋_GB2312" w:hAnsi="仿宋_GB2312" w:eastAsia="仿宋_GB2312" w:cs="仿宋_GB2312"/>
          <w:color w:val="auto"/>
          <w:spacing w:val="0"/>
          <w:kern w:val="21"/>
          <w:sz w:val="32"/>
          <w:szCs w:val="32"/>
          <w:lang w:val="en-US" w:eastAsia="zh-CN"/>
        </w:rPr>
        <w:t>推进基本公共卫生服务事业稳步发展。</w:t>
      </w:r>
      <w:r>
        <w:rPr>
          <w:rFonts w:hint="eastAsia" w:ascii="仿宋_GB2312" w:hAnsi="仿宋_GB2312" w:cs="仿宋_GB2312"/>
          <w:color w:val="auto"/>
          <w:spacing w:val="0"/>
          <w:kern w:val="21"/>
          <w:sz w:val="32"/>
          <w:szCs w:val="32"/>
          <w:lang w:val="en-US" w:eastAsia="zh-CN"/>
        </w:rPr>
        <w:t>支持</w:t>
      </w:r>
      <w:r>
        <w:rPr>
          <w:rFonts w:hint="eastAsia" w:ascii="仿宋_GB2312" w:hAnsi="仿宋_GB2312" w:eastAsia="仿宋_GB2312" w:cs="仿宋_GB2312"/>
          <w:color w:val="auto"/>
          <w:spacing w:val="0"/>
          <w:kern w:val="21"/>
          <w:sz w:val="32"/>
          <w:szCs w:val="32"/>
          <w:lang w:val="en-US" w:eastAsia="zh-CN"/>
        </w:rPr>
        <w:t>北京市丰台中西医结合医院二期工程</w:t>
      </w:r>
      <w:r>
        <w:rPr>
          <w:rFonts w:hint="eastAsia" w:ascii="仿宋_GB2312" w:hAnsi="仿宋_GB2312" w:cs="仿宋_GB2312"/>
          <w:color w:val="auto"/>
          <w:spacing w:val="0"/>
          <w:kern w:val="21"/>
          <w:sz w:val="32"/>
          <w:szCs w:val="32"/>
          <w:lang w:val="en-US" w:eastAsia="zh-CN"/>
        </w:rPr>
        <w:t>建设、</w:t>
      </w:r>
      <w:r>
        <w:rPr>
          <w:rFonts w:hint="eastAsia" w:ascii="仿宋_GB2312" w:hAnsi="仿宋_GB2312" w:eastAsia="仿宋_GB2312" w:cs="仿宋_GB2312"/>
          <w:color w:val="auto"/>
          <w:spacing w:val="0"/>
          <w:kern w:val="21"/>
          <w:sz w:val="32"/>
          <w:szCs w:val="32"/>
        </w:rPr>
        <w:t>社区卫生服务中心设备更新，</w:t>
      </w:r>
      <w:r>
        <w:rPr>
          <w:rFonts w:hint="eastAsia" w:ascii="仿宋_GB2312" w:hAnsi="仿宋_GB2312" w:cs="仿宋_GB2312"/>
          <w:color w:val="auto"/>
          <w:spacing w:val="0"/>
          <w:kern w:val="21"/>
          <w:sz w:val="32"/>
          <w:szCs w:val="32"/>
          <w:lang w:val="en-US" w:eastAsia="zh-CN"/>
        </w:rPr>
        <w:t>加快</w:t>
      </w:r>
      <w:r>
        <w:rPr>
          <w:rFonts w:hint="eastAsia" w:ascii="仿宋_GB2312" w:hAnsi="仿宋_GB2312" w:eastAsia="仿宋_GB2312" w:cs="仿宋_GB2312"/>
          <w:color w:val="auto"/>
          <w:spacing w:val="0"/>
          <w:kern w:val="21"/>
          <w:sz w:val="32"/>
          <w:szCs w:val="32"/>
          <w:lang w:val="en-US" w:eastAsia="zh-CN"/>
        </w:rPr>
        <w:t>区属医疗卫生机构提质升级</w:t>
      </w:r>
      <w:r>
        <w:rPr>
          <w:rFonts w:hint="eastAsia" w:ascii="仿宋_GB2312" w:hAnsi="仿宋_GB2312" w:cs="仿宋_GB2312"/>
          <w:color w:val="auto"/>
          <w:spacing w:val="0"/>
          <w:kern w:val="21"/>
          <w:sz w:val="32"/>
          <w:szCs w:val="32"/>
          <w:lang w:val="en-US" w:eastAsia="zh-CN"/>
        </w:rPr>
        <w:t>。</w:t>
      </w:r>
      <w:r>
        <w:rPr>
          <w:rFonts w:hint="eastAsia" w:ascii="仿宋_GB2312" w:hAnsi="仿宋_GB2312" w:eastAsia="仿宋_GB2312" w:cs="仿宋_GB2312"/>
          <w:color w:val="auto"/>
          <w:spacing w:val="0"/>
          <w:kern w:val="21"/>
          <w:sz w:val="32"/>
          <w:szCs w:val="32"/>
        </w:rPr>
        <w:t>推动落实医养结合上门服务，促进基层中医药传承创新发展，提高居民基本健康保障水平。</w:t>
      </w:r>
      <w:r>
        <w:rPr>
          <w:rFonts w:hint="eastAsia" w:ascii="仿宋_GB2312" w:hAnsi="仿宋_GB2312" w:cs="仿宋_GB2312"/>
          <w:color w:val="auto"/>
          <w:spacing w:val="0"/>
          <w:kern w:val="21"/>
          <w:sz w:val="32"/>
          <w:szCs w:val="32"/>
          <w:highlight w:val="none"/>
          <w:lang w:eastAsia="zh-CN"/>
        </w:rPr>
        <w:t>执行高于调整预算，主要是将医疗保险支出调整至该科目安排。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eastAsia="仿宋_GB2312"/>
          <w:color w:val="auto"/>
          <w:spacing w:val="0"/>
          <w:kern w:val="21"/>
          <w:sz w:val="32"/>
          <w:szCs w:val="32"/>
          <w:lang w:eastAsia="zh-CN"/>
        </w:rPr>
      </w:pPr>
      <w:r>
        <w:rPr>
          <w:rFonts w:hint="eastAsia" w:ascii="仿宋_GB2312" w:hAnsi="仿宋_GB2312" w:eastAsia="仿宋_GB2312" w:cs="仿宋_GB2312"/>
          <w:b/>
          <w:color w:val="auto"/>
          <w:spacing w:val="0"/>
          <w:kern w:val="21"/>
          <w:sz w:val="32"/>
          <w:szCs w:val="32"/>
          <w:highlight w:val="none"/>
        </w:rPr>
        <w:t>节能环保支出</w:t>
      </w:r>
      <w:r>
        <w:rPr>
          <w:rFonts w:hint="eastAsia" w:ascii="仿宋_GB2312" w:hAnsi="仿宋_GB2312" w:cs="仿宋_GB2312"/>
          <w:b w:val="0"/>
          <w:color w:val="auto"/>
          <w:spacing w:val="0"/>
          <w:kern w:val="21"/>
          <w:sz w:val="32"/>
          <w:szCs w:val="32"/>
          <w:highlight w:val="none"/>
          <w:lang w:val="en-US" w:eastAsia="zh-CN"/>
        </w:rPr>
        <w:t>0.6</w:t>
      </w:r>
      <w:r>
        <w:rPr>
          <w:rFonts w:hint="eastAsia" w:ascii="仿宋_GB2312" w:hAnsi="仿宋_GB2312" w:eastAsia="仿宋_GB2312" w:cs="仿宋_GB2312"/>
          <w:b w:val="0"/>
          <w:color w:val="auto"/>
          <w:spacing w:val="0"/>
          <w:kern w:val="21"/>
          <w:sz w:val="32"/>
          <w:szCs w:val="32"/>
          <w:highlight w:val="none"/>
        </w:rPr>
        <w:t>亿元，</w:t>
      </w:r>
      <w:r>
        <w:rPr>
          <w:rFonts w:hint="eastAsia" w:ascii="仿宋_GB2312" w:hAnsi="仿宋_GB2312" w:eastAsia="仿宋_GB2312" w:cs="仿宋_GB2312"/>
          <w:color w:val="auto"/>
          <w:spacing w:val="0"/>
          <w:kern w:val="21"/>
          <w:sz w:val="32"/>
          <w:szCs w:val="32"/>
          <w:highlight w:val="none"/>
        </w:rPr>
        <w:t>完成调整预算的</w:t>
      </w:r>
      <w:r>
        <w:rPr>
          <w:rFonts w:hint="eastAsia" w:ascii="仿宋_GB2312" w:hAnsi="仿宋_GB2312" w:cs="仿宋_GB2312"/>
          <w:color w:val="auto"/>
          <w:spacing w:val="0"/>
          <w:kern w:val="21"/>
          <w:sz w:val="32"/>
          <w:szCs w:val="32"/>
          <w:highlight w:val="none"/>
          <w:lang w:val="en-US" w:eastAsia="zh-CN"/>
        </w:rPr>
        <w:t>74.5</w:t>
      </w:r>
      <w:r>
        <w:rPr>
          <w:rFonts w:hint="eastAsia" w:ascii="仿宋_GB2312" w:hAnsi="仿宋_GB2312" w:eastAsia="仿宋_GB2312" w:cs="仿宋_GB2312"/>
          <w:color w:val="auto"/>
          <w:spacing w:val="0"/>
          <w:kern w:val="21"/>
          <w:sz w:val="32"/>
          <w:szCs w:val="32"/>
          <w:highlight w:val="none"/>
        </w:rPr>
        <w:t>%。主要</w:t>
      </w:r>
      <w:r>
        <w:rPr>
          <w:rFonts w:hint="eastAsia" w:ascii="仿宋_GB2312" w:hAnsi="仿宋_GB2312" w:eastAsia="仿宋_GB2312" w:cs="仿宋_GB2312"/>
          <w:color w:val="auto"/>
          <w:spacing w:val="0"/>
          <w:kern w:val="21"/>
          <w:sz w:val="32"/>
          <w:szCs w:val="32"/>
        </w:rPr>
        <w:t>用</w:t>
      </w:r>
      <w:r>
        <w:rPr>
          <w:rFonts w:hint="eastAsia" w:ascii="仿宋_GB2312" w:hAnsi="仿宋_GB2312" w:cs="仿宋_GB2312"/>
          <w:color w:val="auto"/>
          <w:spacing w:val="0"/>
          <w:kern w:val="21"/>
          <w:sz w:val="32"/>
          <w:szCs w:val="32"/>
          <w:lang w:eastAsia="zh-CN"/>
        </w:rPr>
        <w:t>于</w:t>
      </w:r>
      <w:r>
        <w:rPr>
          <w:rFonts w:hint="eastAsia" w:ascii="仿宋_GB2312" w:hAnsi="仿宋_GB2312" w:eastAsia="仿宋_GB2312" w:cs="仿宋_GB2312"/>
          <w:b w:val="0"/>
          <w:bCs w:val="0"/>
          <w:color w:val="auto"/>
          <w:spacing w:val="0"/>
          <w:kern w:val="21"/>
          <w:sz w:val="32"/>
          <w:szCs w:val="32"/>
          <w:highlight w:val="none"/>
          <w:lang w:val="en-US" w:eastAsia="zh-CN"/>
        </w:rPr>
        <w:t>优化绿色空间布局</w:t>
      </w:r>
      <w:r>
        <w:rPr>
          <w:rFonts w:hint="eastAsia" w:ascii="仿宋_GB2312" w:hAnsi="仿宋_GB2312" w:cs="仿宋_GB2312"/>
          <w:b w:val="0"/>
          <w:bCs w:val="0"/>
          <w:color w:val="auto"/>
          <w:spacing w:val="0"/>
          <w:kern w:val="21"/>
          <w:sz w:val="32"/>
          <w:szCs w:val="32"/>
          <w:highlight w:val="none"/>
          <w:lang w:val="en-US" w:eastAsia="zh-CN"/>
        </w:rPr>
        <w:t>，支持开展</w:t>
      </w:r>
      <w:r>
        <w:rPr>
          <w:rFonts w:hint="eastAsia" w:ascii="仿宋_GB2312" w:hAnsi="仿宋_GB2312" w:eastAsia="仿宋_GB2312" w:cs="仿宋_GB2312"/>
          <w:color w:val="auto"/>
          <w:spacing w:val="0"/>
          <w:kern w:val="21"/>
          <w:sz w:val="32"/>
          <w:szCs w:val="32"/>
        </w:rPr>
        <w:t>大气环境精细化管理、“煤改电”清洁取暖长效管护</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建设地下水“双源”监管体系</w:t>
      </w:r>
      <w:r>
        <w:rPr>
          <w:rFonts w:hint="eastAsia" w:ascii="仿宋_GB2312" w:hAnsi="仿宋_GB2312" w:cs="仿宋_GB2312"/>
          <w:color w:val="auto"/>
          <w:spacing w:val="0"/>
          <w:kern w:val="21"/>
          <w:sz w:val="32"/>
          <w:szCs w:val="32"/>
          <w:lang w:eastAsia="zh-CN"/>
        </w:rPr>
        <w:t>，开展</w:t>
      </w:r>
      <w:r>
        <w:rPr>
          <w:rFonts w:hint="eastAsia" w:ascii="仿宋_GB2312" w:hAnsi="仿宋_GB2312" w:eastAsia="仿宋_GB2312" w:cs="仿宋_GB2312"/>
          <w:color w:val="auto"/>
          <w:spacing w:val="0"/>
          <w:kern w:val="21"/>
          <w:sz w:val="32"/>
          <w:szCs w:val="32"/>
        </w:rPr>
        <w:t>丰台河西片区水生态提升</w:t>
      </w:r>
      <w:r>
        <w:rPr>
          <w:rFonts w:hint="eastAsia" w:ascii="仿宋_GB2312" w:hAnsi="仿宋_GB2312" w:cs="仿宋_GB2312"/>
          <w:color w:val="auto"/>
          <w:spacing w:val="0"/>
          <w:kern w:val="21"/>
          <w:sz w:val="32"/>
          <w:szCs w:val="32"/>
          <w:lang w:eastAsia="zh-CN"/>
        </w:rPr>
        <w:t>，做好</w:t>
      </w:r>
      <w:r>
        <w:rPr>
          <w:rFonts w:hint="eastAsia" w:ascii="仿宋_GB2312" w:hAnsi="仿宋_GB2312" w:eastAsia="仿宋_GB2312" w:cs="仿宋_GB2312"/>
          <w:color w:val="auto"/>
          <w:spacing w:val="0"/>
          <w:kern w:val="21"/>
          <w:sz w:val="32"/>
          <w:szCs w:val="32"/>
        </w:rPr>
        <w:t>背街小巷清扫保洁</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持续改善</w:t>
      </w:r>
      <w:r>
        <w:rPr>
          <w:rFonts w:hint="eastAsia" w:ascii="仿宋_GB2312" w:hAnsi="仿宋_GB2312" w:cs="仿宋_GB2312"/>
          <w:color w:val="auto"/>
          <w:spacing w:val="0"/>
          <w:kern w:val="21"/>
          <w:sz w:val="32"/>
          <w:szCs w:val="32"/>
          <w:lang w:eastAsia="zh-CN"/>
        </w:rPr>
        <w:t>城市</w:t>
      </w:r>
      <w:r>
        <w:rPr>
          <w:rFonts w:hint="eastAsia" w:ascii="仿宋_GB2312" w:hAnsi="仿宋_GB2312" w:eastAsia="仿宋_GB2312" w:cs="仿宋_GB2312"/>
          <w:color w:val="auto"/>
          <w:spacing w:val="0"/>
          <w:kern w:val="21"/>
          <w:sz w:val="32"/>
          <w:szCs w:val="32"/>
        </w:rPr>
        <w:t>生态环境质量。</w:t>
      </w:r>
      <w:r>
        <w:rPr>
          <w:rFonts w:hint="eastAsia" w:ascii="仿宋_GB2312" w:hAnsi="仿宋_GB2312" w:cs="仿宋_GB2312"/>
          <w:color w:val="auto"/>
          <w:spacing w:val="0"/>
          <w:kern w:val="21"/>
          <w:sz w:val="32"/>
          <w:szCs w:val="32"/>
          <w:highlight w:val="none"/>
          <w:lang w:eastAsia="zh-CN"/>
        </w:rPr>
        <w:t>执行低于调整预算，主要是将部分项目转由政府性基金预算安排。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color w:val="auto"/>
          <w:spacing w:val="0"/>
          <w:kern w:val="21"/>
          <w:sz w:val="32"/>
          <w:szCs w:val="32"/>
          <w:highlight w:val="none"/>
          <w:lang w:eastAsia="zh-CN"/>
        </w:rPr>
      </w:pPr>
      <w:r>
        <w:rPr>
          <w:rFonts w:hint="eastAsia" w:ascii="仿宋_GB2312" w:hAnsi="仿宋_GB2312" w:eastAsia="仿宋_GB2312" w:cs="仿宋_GB2312"/>
          <w:b/>
          <w:color w:val="auto"/>
          <w:spacing w:val="0"/>
          <w:kern w:val="21"/>
          <w:sz w:val="32"/>
          <w:szCs w:val="32"/>
        </w:rPr>
        <w:t>城乡社区支出</w:t>
      </w:r>
      <w:r>
        <w:rPr>
          <w:rFonts w:hint="eastAsia" w:ascii="仿宋_GB2312" w:hAnsi="仿宋_GB2312" w:cs="仿宋_GB2312"/>
          <w:b w:val="0"/>
          <w:bCs/>
          <w:color w:val="auto"/>
          <w:spacing w:val="0"/>
          <w:kern w:val="21"/>
          <w:sz w:val="32"/>
          <w:szCs w:val="32"/>
          <w:lang w:val="en-US" w:eastAsia="zh-CN"/>
        </w:rPr>
        <w:t>28.5</w:t>
      </w:r>
      <w:r>
        <w:rPr>
          <w:rFonts w:hint="eastAsia" w:ascii="仿宋_GB2312" w:hAnsi="仿宋_GB2312" w:eastAsia="仿宋_GB2312" w:cs="仿宋_GB2312"/>
          <w:color w:val="auto"/>
          <w:spacing w:val="0"/>
          <w:kern w:val="21"/>
          <w:sz w:val="32"/>
          <w:szCs w:val="32"/>
        </w:rPr>
        <w:t>亿元，完成调整预算的</w:t>
      </w:r>
      <w:r>
        <w:rPr>
          <w:rFonts w:hint="eastAsia" w:ascii="仿宋_GB2312" w:hAnsi="仿宋_GB2312" w:cs="仿宋_GB2312"/>
          <w:color w:val="auto"/>
          <w:spacing w:val="0"/>
          <w:kern w:val="21"/>
          <w:sz w:val="32"/>
          <w:szCs w:val="32"/>
          <w:lang w:val="en-US" w:eastAsia="zh-CN"/>
        </w:rPr>
        <w:t>81.6</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b w:val="0"/>
          <w:color w:val="auto"/>
          <w:spacing w:val="0"/>
          <w:kern w:val="21"/>
          <w:sz w:val="32"/>
          <w:szCs w:val="32"/>
        </w:rPr>
        <w:t>主要用于</w:t>
      </w:r>
      <w:r>
        <w:rPr>
          <w:rFonts w:hint="eastAsia" w:ascii="仿宋_GB2312" w:hAnsi="仿宋_GB2312" w:eastAsia="仿宋_GB2312" w:cs="仿宋_GB2312"/>
          <w:b w:val="0"/>
          <w:bCs w:val="0"/>
          <w:color w:val="auto"/>
          <w:spacing w:val="0"/>
          <w:kern w:val="21"/>
          <w:sz w:val="32"/>
          <w:szCs w:val="32"/>
          <w:highlight w:val="none"/>
          <w:lang w:val="en-US" w:eastAsia="zh-CN"/>
        </w:rPr>
        <w:t>改善城乡人居环境</w:t>
      </w:r>
      <w:r>
        <w:rPr>
          <w:rFonts w:hint="eastAsia" w:ascii="仿宋_GB2312" w:hAnsi="仿宋_GB2312" w:cs="仿宋_GB2312"/>
          <w:b w:val="0"/>
          <w:bCs w:val="0"/>
          <w:color w:val="auto"/>
          <w:spacing w:val="0"/>
          <w:kern w:val="21"/>
          <w:sz w:val="32"/>
          <w:szCs w:val="32"/>
          <w:highlight w:val="none"/>
          <w:lang w:val="en-US" w:eastAsia="zh-CN"/>
        </w:rPr>
        <w:t>，</w:t>
      </w:r>
      <w:r>
        <w:rPr>
          <w:rFonts w:hint="eastAsia" w:ascii="仿宋_GB2312" w:hAnsi="仿宋_GB2312" w:cs="仿宋_GB2312"/>
          <w:color w:val="auto"/>
          <w:spacing w:val="0"/>
          <w:kern w:val="21"/>
          <w:sz w:val="32"/>
          <w:szCs w:val="32"/>
          <w:lang w:eastAsia="zh-CN"/>
        </w:rPr>
        <w:t>支持开展“疏整促”专项行动，开展违法建设治理、铁路沿线等重点区域综合整治提升。助力长辛店老镇有机更新景观提升、草桥-花卉大观园区域活力中心建设、凉水河石榴庄段滨水空间提升及水生态修复，</w:t>
      </w:r>
      <w:r>
        <w:rPr>
          <w:rFonts w:hint="eastAsia" w:ascii="仿宋_GB2312" w:hAnsi="仿宋_GB2312" w:eastAsia="仿宋_GB2312" w:cs="仿宋_GB2312"/>
          <w:color w:val="auto"/>
          <w:spacing w:val="0"/>
          <w:kern w:val="21"/>
          <w:sz w:val="32"/>
          <w:szCs w:val="32"/>
        </w:rPr>
        <w:t>有序推进城市环境景观和谐</w:t>
      </w:r>
      <w:r>
        <w:rPr>
          <w:rFonts w:hint="eastAsia" w:ascii="仿宋_GB2312" w:hAnsi="仿宋_GB2312" w:cs="仿宋_GB2312"/>
          <w:color w:val="auto"/>
          <w:spacing w:val="0"/>
          <w:kern w:val="21"/>
          <w:sz w:val="32"/>
          <w:szCs w:val="32"/>
          <w:lang w:eastAsia="zh-CN"/>
        </w:rPr>
        <w:t>。</w:t>
      </w:r>
      <w:r>
        <w:rPr>
          <w:rFonts w:hint="eastAsia" w:ascii="仿宋_GB2312" w:hAnsi="仿宋" w:cs="Times New Roman"/>
          <w:bCs/>
          <w:color w:val="auto"/>
          <w:spacing w:val="0"/>
          <w:kern w:val="21"/>
          <w:sz w:val="32"/>
          <w:szCs w:val="32"/>
          <w:highlight w:val="none"/>
          <w:lang w:eastAsia="zh-CN"/>
        </w:rPr>
        <w:t>支持</w:t>
      </w:r>
      <w:r>
        <w:rPr>
          <w:rFonts w:hint="eastAsia" w:ascii="仿宋_GB2312" w:hAnsi="仿宋" w:cs="Times New Roman"/>
          <w:bCs/>
          <w:color w:val="auto"/>
          <w:spacing w:val="0"/>
          <w:kern w:val="21"/>
          <w:sz w:val="32"/>
          <w:szCs w:val="32"/>
          <w:highlight w:val="none"/>
        </w:rPr>
        <w:t>循环经济产业园</w:t>
      </w:r>
      <w:r>
        <w:rPr>
          <w:rFonts w:hint="eastAsia" w:ascii="仿宋_GB2312" w:hAnsi="仿宋" w:cs="Times New Roman"/>
          <w:bCs/>
          <w:color w:val="auto"/>
          <w:spacing w:val="0"/>
          <w:kern w:val="21"/>
          <w:sz w:val="32"/>
          <w:szCs w:val="32"/>
          <w:highlight w:val="none"/>
          <w:lang w:eastAsia="zh-CN"/>
        </w:rPr>
        <w:t>厨余垃圾处理厂技改升级，</w:t>
      </w:r>
      <w:r>
        <w:rPr>
          <w:rFonts w:hint="eastAsia" w:ascii="仿宋_GB2312" w:hAnsi="仿宋_GB2312" w:cs="仿宋_GB2312"/>
          <w:color w:val="auto"/>
          <w:spacing w:val="0"/>
          <w:kern w:val="21"/>
          <w:sz w:val="32"/>
          <w:szCs w:val="32"/>
          <w:lang w:eastAsia="zh-CN"/>
        </w:rPr>
        <w:t>增强城市</w:t>
      </w:r>
      <w:r>
        <w:rPr>
          <w:rFonts w:hint="eastAsia" w:ascii="仿宋_GB2312" w:hAnsi="仿宋" w:cs="Times New Roman"/>
          <w:bCs/>
          <w:color w:val="auto"/>
          <w:spacing w:val="0"/>
          <w:kern w:val="21"/>
          <w:sz w:val="32"/>
          <w:szCs w:val="32"/>
          <w:highlight w:val="none"/>
          <w:lang w:eastAsia="zh-CN"/>
        </w:rPr>
        <w:t>固废处理能力</w:t>
      </w:r>
      <w:r>
        <w:rPr>
          <w:rFonts w:hint="eastAsia" w:ascii="仿宋_GB2312" w:hAnsi="仿宋" w:cs="Times New Roman"/>
          <w:bCs/>
          <w:color w:val="auto"/>
          <w:spacing w:val="0"/>
          <w:kern w:val="21"/>
          <w:sz w:val="32"/>
          <w:szCs w:val="32"/>
          <w:highlight w:val="none"/>
        </w:rPr>
        <w:t>。</w:t>
      </w:r>
      <w:r>
        <w:rPr>
          <w:rFonts w:hint="eastAsia" w:ascii="仿宋_GB2312" w:hAnsi="仿宋_GB2312" w:cs="仿宋_GB2312"/>
          <w:color w:val="auto"/>
          <w:spacing w:val="0"/>
          <w:kern w:val="21"/>
          <w:sz w:val="32"/>
          <w:szCs w:val="32"/>
          <w:highlight w:val="none"/>
          <w:lang w:eastAsia="zh-CN"/>
        </w:rPr>
        <w:t>执行低于调整预算，主要是上级专项转移支付较年初预计增加，部分项目转由转移支付资金安排。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color w:val="auto"/>
          <w:spacing w:val="0"/>
          <w:kern w:val="21"/>
          <w:sz w:val="32"/>
          <w:szCs w:val="32"/>
          <w:lang w:eastAsia="zh-CN"/>
        </w:rPr>
      </w:pPr>
      <w:r>
        <w:rPr>
          <w:rFonts w:hint="eastAsia" w:ascii="仿宋_GB2312" w:hAnsi="仿宋_GB2312" w:eastAsia="仿宋_GB2312" w:cs="仿宋_GB2312"/>
          <w:b/>
          <w:color w:val="auto"/>
          <w:spacing w:val="0"/>
          <w:kern w:val="21"/>
          <w:sz w:val="32"/>
          <w:szCs w:val="32"/>
        </w:rPr>
        <w:t>农林水支出</w:t>
      </w:r>
      <w:r>
        <w:rPr>
          <w:rFonts w:hint="eastAsia" w:ascii="仿宋_GB2312" w:hAnsi="仿宋_GB2312" w:cs="仿宋_GB2312"/>
          <w:color w:val="auto"/>
          <w:spacing w:val="0"/>
          <w:kern w:val="21"/>
          <w:sz w:val="32"/>
          <w:szCs w:val="32"/>
          <w:lang w:val="en-US" w:eastAsia="zh-CN"/>
        </w:rPr>
        <w:t>10.4</w:t>
      </w:r>
      <w:r>
        <w:rPr>
          <w:rFonts w:hint="eastAsia" w:ascii="仿宋_GB2312" w:hAnsi="仿宋_GB2312" w:eastAsia="仿宋_GB2312" w:cs="仿宋_GB2312"/>
          <w:color w:val="auto"/>
          <w:spacing w:val="0"/>
          <w:kern w:val="21"/>
          <w:sz w:val="32"/>
          <w:szCs w:val="32"/>
        </w:rPr>
        <w:t>亿元，完成调整预算的</w:t>
      </w:r>
      <w:r>
        <w:rPr>
          <w:rFonts w:hint="eastAsia" w:ascii="仿宋_GB2312" w:hAnsi="仿宋_GB2312" w:eastAsia="仿宋_GB2312" w:cs="仿宋_GB2312"/>
          <w:color w:val="auto"/>
          <w:spacing w:val="0"/>
          <w:kern w:val="21"/>
          <w:sz w:val="32"/>
          <w:szCs w:val="32"/>
          <w:lang w:val="en-US" w:eastAsia="zh-CN"/>
        </w:rPr>
        <w:t>10</w:t>
      </w:r>
      <w:r>
        <w:rPr>
          <w:rFonts w:hint="eastAsia" w:ascii="仿宋_GB2312" w:hAnsi="仿宋_GB2312" w:cs="仿宋_GB2312"/>
          <w:color w:val="auto"/>
          <w:spacing w:val="0"/>
          <w:kern w:val="21"/>
          <w:sz w:val="32"/>
          <w:szCs w:val="32"/>
          <w:lang w:val="en-US" w:eastAsia="zh-CN"/>
        </w:rPr>
        <w:t>6.3</w:t>
      </w:r>
      <w:r>
        <w:rPr>
          <w:rFonts w:hint="eastAsia" w:ascii="仿宋_GB2312" w:hAnsi="仿宋_GB2312" w:eastAsia="仿宋_GB2312" w:cs="仿宋_GB2312"/>
          <w:color w:val="auto"/>
          <w:spacing w:val="0"/>
          <w:kern w:val="21"/>
          <w:sz w:val="32"/>
          <w:szCs w:val="32"/>
        </w:rPr>
        <w:t>%。主要用于</w:t>
      </w:r>
      <w:r>
        <w:rPr>
          <w:rFonts w:hint="eastAsia" w:ascii="仿宋_GB2312" w:hAnsi="Calibri" w:eastAsia="仿宋_GB2312" w:cs="仿宋_GB2312"/>
          <w:color w:val="auto"/>
          <w:spacing w:val="0"/>
          <w:kern w:val="21"/>
          <w:sz w:val="32"/>
          <w:szCs w:val="32"/>
        </w:rPr>
        <w:t>丰台区河东地区水利设施维护养护</w:t>
      </w:r>
      <w:r>
        <w:rPr>
          <w:rFonts w:hint="eastAsia" w:ascii="仿宋_GB2312" w:hAnsi="Calibri" w:cs="仿宋_GB2312"/>
          <w:color w:val="auto"/>
          <w:spacing w:val="0"/>
          <w:kern w:val="21"/>
          <w:sz w:val="32"/>
          <w:szCs w:val="32"/>
          <w:lang w:eastAsia="zh-CN"/>
        </w:rPr>
        <w:t>，保障</w:t>
      </w:r>
      <w:r>
        <w:rPr>
          <w:rFonts w:hint="eastAsia" w:ascii="仿宋_GB2312" w:hAnsi="Calibri" w:eastAsia="仿宋_GB2312" w:cs="仿宋_GB2312"/>
          <w:color w:val="auto"/>
          <w:spacing w:val="0"/>
          <w:kern w:val="21"/>
          <w:sz w:val="32"/>
          <w:szCs w:val="32"/>
        </w:rPr>
        <w:t>河西再生水厂运行</w:t>
      </w:r>
      <w:r>
        <w:rPr>
          <w:rFonts w:hint="eastAsia" w:ascii="仿宋_GB2312" w:hAnsi="Calibri" w:cs="仿宋_GB2312"/>
          <w:color w:val="auto"/>
          <w:spacing w:val="0"/>
          <w:kern w:val="21"/>
          <w:sz w:val="32"/>
          <w:szCs w:val="32"/>
          <w:lang w:eastAsia="zh-CN"/>
        </w:rPr>
        <w:t>，实施</w:t>
      </w:r>
      <w:r>
        <w:rPr>
          <w:rFonts w:hint="eastAsia" w:ascii="仿宋_GB2312" w:hAnsi="仿宋_GB2312" w:cs="仿宋_GB2312"/>
          <w:b w:val="0"/>
          <w:color w:val="auto"/>
          <w:spacing w:val="0"/>
          <w:kern w:val="21"/>
          <w:sz w:val="32"/>
          <w:szCs w:val="32"/>
          <w:lang w:eastAsia="zh-CN"/>
        </w:rPr>
        <w:t>重点流域水生态修复及防洪治理工程建设。</w:t>
      </w:r>
      <w:r>
        <w:rPr>
          <w:rFonts w:hint="eastAsia" w:ascii="仿宋_GB2312" w:hAnsi="仿宋_GB2312" w:eastAsia="仿宋_GB2312" w:cs="仿宋_GB2312"/>
          <w:color w:val="auto"/>
          <w:spacing w:val="0"/>
          <w:kern w:val="21"/>
          <w:sz w:val="32"/>
          <w:szCs w:val="32"/>
        </w:rPr>
        <w:t>保障城市绿地、郊野公园等养护管理，加快推进</w:t>
      </w:r>
      <w:r>
        <w:rPr>
          <w:rFonts w:hint="eastAsia" w:ascii="仿宋_GB2312" w:hAnsi="仿宋_GB2312" w:eastAsia="仿宋_GB2312" w:cs="仿宋_GB2312"/>
          <w:b w:val="0"/>
          <w:bCs w:val="0"/>
          <w:color w:val="auto"/>
          <w:spacing w:val="0"/>
          <w:kern w:val="21"/>
          <w:sz w:val="32"/>
          <w:szCs w:val="32"/>
          <w:highlight w:val="none"/>
          <w:lang w:val="en-US" w:eastAsia="zh-CN"/>
        </w:rPr>
        <w:t>建设全龄友好型公园</w:t>
      </w:r>
      <w:r>
        <w:rPr>
          <w:rFonts w:hint="eastAsia" w:ascii="仿宋_GB2312" w:hAnsi="仿宋_GB2312" w:cs="仿宋_GB2312"/>
          <w:b w:val="0"/>
          <w:bCs w:val="0"/>
          <w:color w:val="auto"/>
          <w:spacing w:val="0"/>
          <w:kern w:val="21"/>
          <w:sz w:val="32"/>
          <w:szCs w:val="32"/>
          <w:highlight w:val="none"/>
          <w:lang w:val="en-US" w:eastAsia="zh-CN"/>
        </w:rPr>
        <w:t>，</w:t>
      </w:r>
      <w:r>
        <w:rPr>
          <w:rFonts w:hint="eastAsia" w:ascii="仿宋_GB2312" w:hAnsi="仿宋_GB2312" w:cs="仿宋_GB2312"/>
          <w:color w:val="auto"/>
          <w:spacing w:val="0"/>
          <w:kern w:val="21"/>
          <w:sz w:val="32"/>
          <w:szCs w:val="32"/>
          <w:lang w:eastAsia="zh-CN"/>
        </w:rPr>
        <w:t>创建森林城市。</w:t>
      </w:r>
      <w:r>
        <w:rPr>
          <w:rFonts w:hint="eastAsia" w:ascii="仿宋_GB2312" w:hAnsi="仿宋_GB2312" w:eastAsia="仿宋_GB2312" w:cs="仿宋_GB2312"/>
          <w:color w:val="auto"/>
          <w:spacing w:val="0"/>
          <w:kern w:val="21"/>
          <w:sz w:val="32"/>
          <w:szCs w:val="32"/>
        </w:rPr>
        <w:t>支持高标准农田、种业振兴、产业融合发展，全力推进美丽乡村建设</w:t>
      </w:r>
      <w:r>
        <w:rPr>
          <w:rFonts w:hint="eastAsia" w:ascii="仿宋_GB2312" w:hAnsi="仿宋_GB2312" w:cs="仿宋_GB2312"/>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b/>
          <w:color w:val="auto"/>
          <w:spacing w:val="0"/>
          <w:kern w:val="21"/>
          <w:sz w:val="32"/>
          <w:szCs w:val="32"/>
        </w:rPr>
        <w:t>住房保障支出</w:t>
      </w:r>
      <w:r>
        <w:rPr>
          <w:rFonts w:hint="eastAsia" w:ascii="仿宋_GB2312" w:hAnsi="仿宋_GB2312" w:cs="仿宋_GB2312"/>
          <w:color w:val="auto"/>
          <w:spacing w:val="0"/>
          <w:kern w:val="21"/>
          <w:sz w:val="32"/>
          <w:szCs w:val="32"/>
          <w:lang w:val="en-US" w:eastAsia="zh-CN"/>
        </w:rPr>
        <w:t>21.9</w:t>
      </w:r>
      <w:r>
        <w:rPr>
          <w:rFonts w:hint="eastAsia" w:ascii="仿宋_GB2312" w:hAnsi="仿宋_GB2312" w:eastAsia="仿宋_GB2312" w:cs="仿宋_GB2312"/>
          <w:color w:val="auto"/>
          <w:spacing w:val="0"/>
          <w:kern w:val="21"/>
          <w:sz w:val="32"/>
          <w:szCs w:val="32"/>
        </w:rPr>
        <w:t>亿元，完成调整预算的</w:t>
      </w:r>
      <w:r>
        <w:rPr>
          <w:rFonts w:hint="eastAsia" w:ascii="仿宋_GB2312" w:hAnsi="仿宋_GB2312" w:cs="仿宋_GB2312"/>
          <w:color w:val="auto"/>
          <w:spacing w:val="0"/>
          <w:kern w:val="21"/>
          <w:sz w:val="32"/>
          <w:szCs w:val="32"/>
          <w:lang w:val="en-US" w:eastAsia="zh-CN"/>
        </w:rPr>
        <w:t>111.8</w:t>
      </w:r>
      <w:r>
        <w:rPr>
          <w:rFonts w:hint="eastAsia" w:ascii="仿宋_GB2312" w:hAnsi="仿宋_GB2312" w:eastAsia="仿宋_GB2312" w:cs="仿宋_GB2312"/>
          <w:color w:val="auto"/>
          <w:spacing w:val="0"/>
          <w:kern w:val="21"/>
          <w:sz w:val="32"/>
          <w:szCs w:val="32"/>
        </w:rPr>
        <w:t>%。主要用于加大保障性住房建设和供给力度，持续推进老旧小区综合整治、老楼加装电梯、重点区域棚户区改造等居住类城市更新项目，提升市民居住品质。</w:t>
      </w:r>
      <w:r>
        <w:rPr>
          <w:rFonts w:hint="eastAsia" w:ascii="仿宋_GB2312" w:hAnsi="仿宋_GB2312" w:cs="仿宋_GB2312"/>
          <w:color w:val="auto"/>
          <w:spacing w:val="0"/>
          <w:kern w:val="21"/>
          <w:sz w:val="32"/>
          <w:szCs w:val="32"/>
          <w:highlight w:val="none"/>
          <w:lang w:eastAsia="zh-CN"/>
        </w:rPr>
        <w:t>执行高于调整预算，主要是上级补助收入增加，用于老旧小区</w:t>
      </w:r>
      <w:r>
        <w:rPr>
          <w:rFonts w:hint="eastAsia" w:ascii="仿宋_GB2312" w:hAnsi="仿宋_GB2312" w:eastAsia="仿宋_GB2312" w:cs="仿宋_GB2312"/>
          <w:color w:val="auto"/>
          <w:spacing w:val="0"/>
          <w:kern w:val="21"/>
          <w:sz w:val="32"/>
          <w:szCs w:val="32"/>
        </w:rPr>
        <w:t>综合整治</w:t>
      </w:r>
      <w:r>
        <w:rPr>
          <w:rFonts w:hint="eastAsia" w:ascii="仿宋_GB2312" w:hAnsi="仿宋_GB2312" w:cs="仿宋_GB2312"/>
          <w:color w:val="auto"/>
          <w:spacing w:val="0"/>
          <w:kern w:val="21"/>
          <w:sz w:val="32"/>
          <w:szCs w:val="32"/>
          <w:highlight w:val="none"/>
          <w:lang w:eastAsia="zh-CN"/>
        </w:rPr>
        <w:t>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Cs/>
          <w:color w:val="auto"/>
          <w:spacing w:val="0"/>
          <w:kern w:val="21"/>
          <w:sz w:val="32"/>
          <w:szCs w:val="32"/>
        </w:rPr>
      </w:pPr>
      <w:r>
        <w:rPr>
          <w:rFonts w:hint="eastAsia" w:ascii="仿宋_GB2312" w:hAnsi="仿宋" w:eastAsia="仿宋_GB2312"/>
          <w:bCs/>
          <w:color w:val="auto"/>
          <w:spacing w:val="0"/>
          <w:kern w:val="21"/>
          <w:sz w:val="32"/>
          <w:szCs w:val="32"/>
        </w:rPr>
        <w:t>区级预备费安排</w:t>
      </w:r>
      <w:r>
        <w:rPr>
          <w:rFonts w:hint="eastAsia" w:ascii="仿宋_GB2312" w:hAnsi="仿宋"/>
          <w:bCs/>
          <w:color w:val="auto"/>
          <w:spacing w:val="0"/>
          <w:kern w:val="21"/>
          <w:sz w:val="32"/>
          <w:szCs w:val="32"/>
          <w:lang w:val="en-US" w:eastAsia="zh-CN"/>
        </w:rPr>
        <w:t>5亿元</w:t>
      </w:r>
      <w:r>
        <w:rPr>
          <w:rFonts w:hint="eastAsia" w:ascii="仿宋_GB2312" w:hAnsi="仿宋" w:eastAsia="仿宋_GB2312"/>
          <w:bCs/>
          <w:color w:val="auto"/>
          <w:spacing w:val="0"/>
          <w:kern w:val="21"/>
          <w:sz w:val="32"/>
          <w:szCs w:val="32"/>
        </w:rPr>
        <w:t>，</w:t>
      </w:r>
      <w:r>
        <w:rPr>
          <w:rFonts w:hint="eastAsia" w:ascii="仿宋_GB2312" w:hAnsi="仿宋"/>
          <w:bCs/>
          <w:color w:val="auto"/>
          <w:spacing w:val="0"/>
          <w:kern w:val="21"/>
          <w:sz w:val="32"/>
          <w:szCs w:val="32"/>
          <w:lang w:eastAsia="zh-CN"/>
        </w:rPr>
        <w:t>未发生支出</w:t>
      </w:r>
      <w:r>
        <w:rPr>
          <w:rFonts w:hint="eastAsia" w:ascii="仿宋_GB2312" w:hAnsi="仿宋" w:eastAsia="仿宋_GB2312"/>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bCs/>
          <w:color w:val="auto"/>
          <w:spacing w:val="0"/>
          <w:kern w:val="21"/>
          <w:sz w:val="32"/>
          <w:szCs w:val="32"/>
        </w:rPr>
      </w:pPr>
      <w:r>
        <w:rPr>
          <w:rFonts w:hint="eastAsia" w:ascii="楷体_GB2312" w:hAnsi="楷体_GB2312" w:eastAsia="楷体_GB2312" w:cs="楷体_GB2312"/>
          <w:bCs/>
          <w:color w:val="auto"/>
          <w:spacing w:val="0"/>
          <w:kern w:val="21"/>
          <w:sz w:val="32"/>
          <w:szCs w:val="32"/>
        </w:rPr>
        <w:t>（二）政府性基金预算执行情况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rPr>
        <w:t>区级政府性基金预算收入</w:t>
      </w:r>
      <w:r>
        <w:rPr>
          <w:rFonts w:hint="eastAsia" w:ascii="仿宋_GB2312" w:hAnsi="仿宋" w:eastAsia="仿宋_GB2312" w:cs="Times New Roman"/>
          <w:bCs/>
          <w:color w:val="auto"/>
          <w:spacing w:val="0"/>
          <w:kern w:val="21"/>
          <w:sz w:val="32"/>
          <w:szCs w:val="32"/>
          <w:shd w:val="clear" w:color="auto" w:fill="auto"/>
          <w:lang w:eastAsia="zh-CN"/>
        </w:rPr>
        <w:t>完成</w:t>
      </w:r>
      <w:r>
        <w:rPr>
          <w:rFonts w:hint="eastAsia" w:ascii="仿宋_GB2312" w:hAnsi="仿宋" w:eastAsia="仿宋_GB2312" w:cs="Times New Roman"/>
          <w:bCs/>
          <w:color w:val="auto"/>
          <w:spacing w:val="0"/>
          <w:kern w:val="21"/>
          <w:sz w:val="32"/>
          <w:szCs w:val="32"/>
          <w:shd w:val="clear" w:color="auto" w:fill="auto"/>
          <w:lang w:val="en-US" w:eastAsia="zh-CN"/>
        </w:rPr>
        <w:t>310.</w:t>
      </w:r>
      <w:r>
        <w:rPr>
          <w:rFonts w:hint="eastAsia" w:ascii="仿宋_GB2312" w:hAnsi="仿宋" w:cs="Times New Roman"/>
          <w:bCs/>
          <w:color w:val="auto"/>
          <w:spacing w:val="0"/>
          <w:kern w:val="21"/>
          <w:sz w:val="32"/>
          <w:szCs w:val="32"/>
          <w:shd w:val="clear" w:color="auto" w:fill="auto"/>
          <w:lang w:val="en-US" w:eastAsia="zh-CN"/>
        </w:rPr>
        <w:t>2</w:t>
      </w:r>
      <w:r>
        <w:rPr>
          <w:rFonts w:hint="eastAsia" w:ascii="仿宋_GB2312" w:hAnsi="仿宋" w:eastAsia="仿宋_GB2312" w:cs="Times New Roman"/>
          <w:bCs/>
          <w:color w:val="auto"/>
          <w:spacing w:val="0"/>
          <w:kern w:val="21"/>
          <w:sz w:val="32"/>
          <w:szCs w:val="32"/>
          <w:shd w:val="clear" w:color="auto" w:fill="auto"/>
        </w:rPr>
        <w:t>亿元，完成调整预算的</w:t>
      </w:r>
      <w:r>
        <w:rPr>
          <w:rFonts w:hint="eastAsia" w:ascii="仿宋_GB2312" w:hAnsi="仿宋" w:cs="Times New Roman"/>
          <w:bCs/>
          <w:color w:val="auto"/>
          <w:spacing w:val="0"/>
          <w:kern w:val="21"/>
          <w:sz w:val="32"/>
          <w:szCs w:val="32"/>
          <w:shd w:val="clear" w:color="auto" w:fill="auto"/>
          <w:lang w:val="en-US" w:eastAsia="zh-CN"/>
        </w:rPr>
        <w:t>99.8</w:t>
      </w:r>
      <w:r>
        <w:rPr>
          <w:rFonts w:hint="eastAsia" w:ascii="仿宋_GB2312" w:hAnsi="仿宋" w:eastAsia="仿宋_GB2312" w:cs="Times New Roman"/>
          <w:bCs/>
          <w:color w:val="auto"/>
          <w:spacing w:val="0"/>
          <w:kern w:val="21"/>
          <w:sz w:val="32"/>
          <w:szCs w:val="32"/>
          <w:shd w:val="clear" w:color="auto" w:fill="auto"/>
        </w:rPr>
        <w:t>%</w:t>
      </w:r>
      <w:r>
        <w:rPr>
          <w:rFonts w:hint="eastAsia" w:ascii="仿宋_GB2312" w:hAnsi="仿宋" w:eastAsia="仿宋_GB2312" w:cs="Times New Roman"/>
          <w:bCs/>
          <w:color w:val="auto"/>
          <w:spacing w:val="0"/>
          <w:kern w:val="21"/>
          <w:sz w:val="32"/>
          <w:szCs w:val="32"/>
          <w:shd w:val="clear" w:color="auto" w:fill="auto"/>
          <w:lang w:eastAsia="zh-CN"/>
        </w:rPr>
        <w:t>，全部为</w:t>
      </w:r>
      <w:r>
        <w:rPr>
          <w:rFonts w:hint="eastAsia" w:ascii="仿宋_GB2312" w:hAnsi="仿宋" w:eastAsia="仿宋_GB2312" w:cs="Times New Roman"/>
          <w:bCs/>
          <w:color w:val="auto"/>
          <w:spacing w:val="0"/>
          <w:kern w:val="21"/>
          <w:sz w:val="32"/>
          <w:szCs w:val="32"/>
          <w:shd w:val="clear" w:color="auto" w:fill="auto"/>
        </w:rPr>
        <w:t>国有土地使用权出让收入</w:t>
      </w:r>
      <w:r>
        <w:rPr>
          <w:rFonts w:hint="eastAsia" w:ascii="仿宋_GB2312" w:hAnsi="仿宋_GB2312" w:eastAsia="仿宋_GB2312" w:cs="Times New Roman"/>
          <w:color w:val="auto"/>
          <w:spacing w:val="0"/>
          <w:kern w:val="21"/>
          <w:sz w:val="32"/>
          <w:szCs w:val="32"/>
          <w:shd w:val="clear" w:color="auto" w:fill="auto"/>
        </w:rPr>
        <w:t>；</w:t>
      </w:r>
      <w:r>
        <w:rPr>
          <w:rFonts w:hint="eastAsia" w:ascii="仿宋_GB2312" w:hAnsi="仿宋" w:eastAsia="仿宋_GB2312" w:cs="Times New Roman"/>
          <w:bCs/>
          <w:color w:val="auto"/>
          <w:spacing w:val="0"/>
          <w:kern w:val="21"/>
          <w:sz w:val="32"/>
          <w:szCs w:val="32"/>
          <w:shd w:val="clear" w:color="auto" w:fill="auto"/>
        </w:rPr>
        <w:t>加地方政府专项债</w:t>
      </w:r>
      <w:r>
        <w:rPr>
          <w:rFonts w:hint="eastAsia" w:ascii="仿宋_GB2312" w:hAnsi="仿宋" w:eastAsia="仿宋_GB2312" w:cs="Times New Roman"/>
          <w:bCs/>
          <w:color w:val="auto"/>
          <w:spacing w:val="0"/>
          <w:kern w:val="21"/>
          <w:sz w:val="32"/>
          <w:szCs w:val="32"/>
          <w:shd w:val="clear" w:color="auto" w:fill="auto"/>
          <w:lang w:eastAsia="zh-CN"/>
        </w:rPr>
        <w:t>券</w:t>
      </w:r>
      <w:r>
        <w:rPr>
          <w:rFonts w:hint="eastAsia" w:ascii="仿宋_GB2312" w:hAnsi="仿宋" w:eastAsia="仿宋_GB2312" w:cs="Times New Roman"/>
          <w:bCs/>
          <w:color w:val="auto"/>
          <w:spacing w:val="0"/>
          <w:kern w:val="21"/>
          <w:sz w:val="32"/>
          <w:szCs w:val="32"/>
          <w:shd w:val="clear" w:color="auto" w:fill="auto"/>
        </w:rPr>
        <w:t>转贷收入</w:t>
      </w:r>
      <w:r>
        <w:rPr>
          <w:rFonts w:hint="eastAsia" w:ascii="仿宋_GB2312" w:hAnsi="仿宋" w:eastAsia="仿宋_GB2312" w:cs="Times New Roman"/>
          <w:bCs/>
          <w:color w:val="auto"/>
          <w:spacing w:val="0"/>
          <w:kern w:val="21"/>
          <w:sz w:val="32"/>
          <w:szCs w:val="32"/>
          <w:shd w:val="clear" w:color="auto" w:fill="auto"/>
          <w:lang w:val="en-US" w:eastAsia="zh-CN"/>
        </w:rPr>
        <w:t>77.4亿元</w:t>
      </w:r>
      <w:r>
        <w:rPr>
          <w:rFonts w:hint="eastAsia" w:ascii="仿宋_GB2312" w:hAnsi="仿宋" w:eastAsia="仿宋_GB2312" w:cs="Times New Roman"/>
          <w:bCs/>
          <w:color w:val="auto"/>
          <w:spacing w:val="0"/>
          <w:kern w:val="21"/>
          <w:sz w:val="32"/>
          <w:szCs w:val="32"/>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lang w:val="en-US" w:eastAsia="zh-CN"/>
        </w:rPr>
        <w:t>专项转移支付收入</w:t>
      </w:r>
      <w:r>
        <w:rPr>
          <w:rFonts w:hint="eastAsia" w:ascii="仿宋_GB2312" w:hAnsi="仿宋" w:cs="Times New Roman"/>
          <w:bCs/>
          <w:color w:val="auto"/>
          <w:spacing w:val="0"/>
          <w:kern w:val="21"/>
          <w:sz w:val="32"/>
          <w:szCs w:val="32"/>
          <w:shd w:val="clear" w:color="auto" w:fill="auto"/>
          <w:lang w:val="en-US" w:eastAsia="zh-CN"/>
        </w:rPr>
        <w:t>17.6</w:t>
      </w:r>
      <w:r>
        <w:rPr>
          <w:rFonts w:hint="eastAsia" w:ascii="仿宋_GB2312" w:hAnsi="仿宋" w:eastAsia="仿宋_GB2312" w:cs="Times New Roman"/>
          <w:bCs/>
          <w:color w:val="auto"/>
          <w:spacing w:val="0"/>
          <w:kern w:val="21"/>
          <w:sz w:val="32"/>
          <w:szCs w:val="32"/>
          <w:shd w:val="clear" w:color="auto" w:fill="auto"/>
          <w:lang w:val="en-US" w:eastAsia="zh-CN"/>
        </w:rPr>
        <w:t>亿元、上年结余0.3亿元</w:t>
      </w:r>
      <w:r>
        <w:rPr>
          <w:rFonts w:hint="eastAsia" w:ascii="仿宋_GB2312" w:hAnsi="仿宋" w:eastAsia="仿宋_GB2312" w:cs="Times New Roman"/>
          <w:bCs/>
          <w:color w:val="auto"/>
          <w:spacing w:val="0"/>
          <w:kern w:val="21"/>
          <w:sz w:val="32"/>
          <w:szCs w:val="32"/>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lang w:val="en-US" w:eastAsia="zh-CN"/>
        </w:rPr>
        <w:t>调入资金21.1亿元，收入总计42</w:t>
      </w:r>
      <w:r>
        <w:rPr>
          <w:rFonts w:hint="eastAsia" w:ascii="仿宋_GB2312" w:hAnsi="仿宋" w:cs="Times New Roman"/>
          <w:bCs/>
          <w:color w:val="auto"/>
          <w:spacing w:val="0"/>
          <w:kern w:val="21"/>
          <w:sz w:val="32"/>
          <w:szCs w:val="32"/>
          <w:shd w:val="clear" w:color="auto" w:fill="auto"/>
          <w:lang w:val="en-US" w:eastAsia="zh-CN"/>
        </w:rPr>
        <w:t>6.6</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_GB2312" w:eastAsia="仿宋_GB2312" w:cs="Times New Roman"/>
          <w:color w:val="auto"/>
          <w:spacing w:val="0"/>
          <w:kern w:val="21"/>
          <w:sz w:val="32"/>
          <w:szCs w:val="32"/>
          <w:lang w:eastAsia="zh-CN"/>
        </w:rPr>
        <w:t>区级</w:t>
      </w:r>
      <w:r>
        <w:rPr>
          <w:rFonts w:hint="eastAsia" w:ascii="仿宋_GB2312" w:hAnsi="仿宋_GB2312" w:eastAsia="仿宋_GB2312" w:cs="Times New Roman"/>
          <w:color w:val="auto"/>
          <w:spacing w:val="0"/>
          <w:kern w:val="21"/>
          <w:sz w:val="32"/>
          <w:szCs w:val="32"/>
          <w:shd w:val="clear" w:color="auto" w:fill="auto"/>
        </w:rPr>
        <w:t>政府性基金预算支出</w:t>
      </w:r>
      <w:r>
        <w:rPr>
          <w:rFonts w:hint="eastAsia" w:ascii="仿宋_GB2312" w:hAnsi="仿宋_GB2312" w:eastAsia="仿宋_GB2312" w:cs="Times New Roman"/>
          <w:color w:val="auto"/>
          <w:spacing w:val="0"/>
          <w:kern w:val="21"/>
          <w:sz w:val="32"/>
          <w:szCs w:val="32"/>
          <w:shd w:val="clear" w:color="auto" w:fill="auto"/>
          <w:lang w:eastAsia="zh-CN"/>
        </w:rPr>
        <w:t>完成</w:t>
      </w:r>
      <w:r>
        <w:rPr>
          <w:rFonts w:hint="eastAsia" w:ascii="仿宋_GB2312" w:hAnsi="仿宋_GB2312" w:eastAsia="仿宋_GB2312" w:cs="Times New Roman"/>
          <w:color w:val="auto"/>
          <w:spacing w:val="0"/>
          <w:kern w:val="21"/>
          <w:sz w:val="32"/>
          <w:szCs w:val="32"/>
          <w:shd w:val="clear" w:color="auto" w:fill="auto"/>
          <w:lang w:val="en-US" w:eastAsia="zh-CN"/>
        </w:rPr>
        <w:t>2</w:t>
      </w:r>
      <w:r>
        <w:rPr>
          <w:rFonts w:hint="eastAsia" w:ascii="仿宋_GB2312" w:hAnsi="仿宋_GB2312" w:cs="Times New Roman"/>
          <w:color w:val="auto"/>
          <w:spacing w:val="0"/>
          <w:kern w:val="21"/>
          <w:sz w:val="32"/>
          <w:szCs w:val="32"/>
          <w:shd w:val="clear" w:color="auto" w:fill="auto"/>
          <w:lang w:val="en-US" w:eastAsia="zh-CN"/>
        </w:rPr>
        <w:t>38.3</w:t>
      </w:r>
      <w:r>
        <w:rPr>
          <w:rFonts w:hint="eastAsia" w:ascii="仿宋_GB2312" w:hAnsi="仿宋_GB2312" w:eastAsia="仿宋_GB2312" w:cs="Times New Roman"/>
          <w:color w:val="auto"/>
          <w:spacing w:val="0"/>
          <w:kern w:val="21"/>
          <w:sz w:val="32"/>
          <w:szCs w:val="32"/>
          <w:shd w:val="clear" w:color="auto" w:fill="auto"/>
          <w:lang w:val="en-US" w:eastAsia="zh-CN"/>
        </w:rPr>
        <w:t>亿元，</w:t>
      </w:r>
      <w:r>
        <w:rPr>
          <w:rFonts w:hint="eastAsia" w:ascii="仿宋_GB2312" w:hAnsi="仿宋_GB2312" w:eastAsia="仿宋_GB2312" w:cs="Times New Roman"/>
          <w:color w:val="auto"/>
          <w:spacing w:val="0"/>
          <w:kern w:val="21"/>
          <w:sz w:val="32"/>
          <w:szCs w:val="32"/>
          <w:highlight w:val="none"/>
          <w:shd w:val="clear" w:color="auto" w:fill="auto"/>
          <w:lang w:val="en-US" w:eastAsia="zh-CN"/>
        </w:rPr>
        <w:t>完成</w:t>
      </w:r>
      <w:r>
        <w:rPr>
          <w:rFonts w:hint="eastAsia" w:ascii="仿宋_GB2312" w:hAnsi="仿宋_GB2312" w:eastAsia="仿宋_GB2312" w:cs="Times New Roman"/>
          <w:color w:val="auto"/>
          <w:spacing w:val="0"/>
          <w:kern w:val="21"/>
          <w:sz w:val="32"/>
          <w:szCs w:val="32"/>
          <w:highlight w:val="none"/>
          <w:shd w:val="clear" w:color="auto" w:fill="auto"/>
        </w:rPr>
        <w:t>调整预算的</w:t>
      </w:r>
      <w:r>
        <w:rPr>
          <w:rFonts w:hint="eastAsia" w:ascii="仿宋_GB2312" w:hAnsi="仿宋_GB2312" w:cs="Times New Roman"/>
          <w:color w:val="auto"/>
          <w:spacing w:val="0"/>
          <w:kern w:val="21"/>
          <w:sz w:val="32"/>
          <w:szCs w:val="32"/>
          <w:highlight w:val="none"/>
          <w:shd w:val="clear" w:color="auto" w:fill="auto"/>
          <w:lang w:val="en-US" w:eastAsia="zh-CN"/>
        </w:rPr>
        <w:t>91.3</w:t>
      </w:r>
      <w:r>
        <w:rPr>
          <w:rFonts w:hint="eastAsia" w:ascii="仿宋_GB2312" w:hAnsi="仿宋_GB2312" w:eastAsia="仿宋_GB2312" w:cs="仿宋_GB2312"/>
          <w:color w:val="auto"/>
          <w:spacing w:val="0"/>
          <w:kern w:val="21"/>
          <w:sz w:val="32"/>
          <w:szCs w:val="32"/>
          <w:highlight w:val="none"/>
          <w:shd w:val="clear" w:color="auto" w:fill="auto"/>
          <w:lang w:val="en-US" w:eastAsia="zh-CN"/>
        </w:rPr>
        <w:t>%</w:t>
      </w:r>
      <w:r>
        <w:rPr>
          <w:rFonts w:hint="eastAsia" w:ascii="仿宋_GB2312" w:hAnsi="仿宋_GB2312" w:cs="仿宋_GB2312"/>
          <w:color w:val="auto"/>
          <w:spacing w:val="0"/>
          <w:kern w:val="21"/>
          <w:sz w:val="32"/>
          <w:szCs w:val="32"/>
          <w:highlight w:val="none"/>
          <w:shd w:val="clear" w:color="auto" w:fill="auto"/>
          <w:lang w:val="en-US" w:eastAsia="zh-CN"/>
        </w:rPr>
        <w:t>，执行低于调整预算主要是将财力结转下年，用于偿还到期债务</w:t>
      </w:r>
      <w:r>
        <w:rPr>
          <w:rFonts w:hint="eastAsia" w:ascii="仿宋_GB2312" w:hAnsi="仿宋_GB2312" w:eastAsia="仿宋_GB2312" w:cs="仿宋_GB2312"/>
          <w:color w:val="auto"/>
          <w:spacing w:val="0"/>
          <w:kern w:val="21"/>
          <w:sz w:val="32"/>
          <w:szCs w:val="32"/>
          <w:highlight w:val="none"/>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lang w:eastAsia="zh-CN"/>
        </w:rPr>
        <w:t>加专项转移支付支出</w:t>
      </w:r>
      <w:r>
        <w:rPr>
          <w:rFonts w:hint="eastAsia" w:ascii="仿宋_GB2312" w:hAnsi="仿宋" w:cs="Times New Roman"/>
          <w:bCs/>
          <w:color w:val="auto"/>
          <w:spacing w:val="0"/>
          <w:kern w:val="21"/>
          <w:sz w:val="32"/>
          <w:szCs w:val="32"/>
          <w:shd w:val="clear" w:color="auto" w:fill="auto"/>
          <w:lang w:val="en-US" w:eastAsia="zh-CN"/>
        </w:rPr>
        <w:t>3.3</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lang w:eastAsia="zh-CN"/>
        </w:rPr>
        <w:t>、上解支出</w:t>
      </w:r>
      <w:r>
        <w:rPr>
          <w:rFonts w:hint="eastAsia" w:ascii="仿宋_GB2312" w:hAnsi="仿宋" w:cs="Times New Roman"/>
          <w:bCs/>
          <w:color w:val="auto"/>
          <w:spacing w:val="0"/>
          <w:kern w:val="21"/>
          <w:sz w:val="32"/>
          <w:szCs w:val="32"/>
          <w:shd w:val="clear" w:color="auto" w:fill="auto"/>
          <w:lang w:val="en-US" w:eastAsia="zh-CN"/>
        </w:rPr>
        <w:t>1.9</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lang w:eastAsia="zh-CN"/>
        </w:rPr>
        <w:t>、专项债券还本支出</w:t>
      </w:r>
      <w:r>
        <w:rPr>
          <w:rFonts w:hint="eastAsia" w:ascii="仿宋_GB2312" w:hAnsi="仿宋" w:cs="Times New Roman"/>
          <w:bCs/>
          <w:color w:val="auto"/>
          <w:spacing w:val="0"/>
          <w:kern w:val="21"/>
          <w:sz w:val="32"/>
          <w:szCs w:val="32"/>
          <w:shd w:val="clear" w:color="auto" w:fill="auto"/>
          <w:lang w:val="en-US" w:eastAsia="zh-CN"/>
        </w:rPr>
        <w:t>143.2</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cs="Times New Roman"/>
          <w:bCs/>
          <w:color w:val="auto"/>
          <w:spacing w:val="0"/>
          <w:kern w:val="21"/>
          <w:sz w:val="32"/>
          <w:szCs w:val="32"/>
          <w:shd w:val="clear" w:color="auto" w:fill="auto"/>
          <w:lang w:val="en-US" w:eastAsia="zh-CN"/>
        </w:rPr>
        <w:t>、</w:t>
      </w:r>
      <w:r>
        <w:rPr>
          <w:rFonts w:hint="eastAsia" w:ascii="仿宋_GB2312" w:hAnsi="仿宋" w:cs="Times New Roman"/>
          <w:bCs/>
          <w:color w:val="auto"/>
          <w:spacing w:val="0"/>
          <w:kern w:val="21"/>
          <w:sz w:val="32"/>
          <w:szCs w:val="32"/>
          <w:highlight w:val="none"/>
          <w:shd w:val="clear" w:color="auto" w:fill="auto"/>
          <w:lang w:val="en-US" w:eastAsia="zh-CN"/>
        </w:rPr>
        <w:t>年终结余39.9亿元</w:t>
      </w:r>
      <w:r>
        <w:rPr>
          <w:rFonts w:hint="eastAsia" w:ascii="仿宋_GB2312" w:hAnsi="仿宋" w:eastAsia="仿宋_GB2312" w:cs="Times New Roman"/>
          <w:bCs/>
          <w:color w:val="auto"/>
          <w:spacing w:val="0"/>
          <w:kern w:val="21"/>
          <w:sz w:val="32"/>
          <w:szCs w:val="32"/>
          <w:shd w:val="clear" w:color="auto" w:fill="auto"/>
          <w:lang w:val="en-US" w:eastAsia="zh-CN"/>
        </w:rPr>
        <w:t>，支出总计42</w:t>
      </w:r>
      <w:r>
        <w:rPr>
          <w:rFonts w:hint="eastAsia" w:ascii="仿宋_GB2312" w:hAnsi="仿宋" w:cs="Times New Roman"/>
          <w:bCs/>
          <w:color w:val="auto"/>
          <w:spacing w:val="0"/>
          <w:kern w:val="21"/>
          <w:sz w:val="32"/>
          <w:szCs w:val="32"/>
          <w:shd w:val="clear" w:color="auto" w:fill="auto"/>
          <w:lang w:val="en-US" w:eastAsia="zh-CN"/>
        </w:rPr>
        <w:t>6.6</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rPr>
        <w:t>。政府性基金预算收支执行平衡。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rPr>
        <w:t>区级政府性基金预算中，国有土地使用权出让收入及对应政府专项债券收入安排的支出主要用于土地储备开发、棚户区改造</w:t>
      </w:r>
      <w:r>
        <w:rPr>
          <w:rFonts w:hint="eastAsia" w:ascii="仿宋_GB2312" w:hAnsi="仿宋" w:eastAsia="仿宋_GB2312" w:cs="Times New Roman"/>
          <w:bCs/>
          <w:color w:val="auto"/>
          <w:spacing w:val="0"/>
          <w:kern w:val="21"/>
          <w:sz w:val="32"/>
          <w:szCs w:val="32"/>
          <w:shd w:val="clear" w:color="auto" w:fill="auto"/>
          <w:lang w:eastAsia="zh-CN"/>
        </w:rPr>
        <w:t>及偿还专项债务</w:t>
      </w:r>
      <w:r>
        <w:rPr>
          <w:rFonts w:hint="eastAsia" w:ascii="仿宋_GB2312" w:hAnsi="仿宋" w:cs="Times New Roman"/>
          <w:bCs/>
          <w:color w:val="auto"/>
          <w:spacing w:val="0"/>
          <w:kern w:val="21"/>
          <w:sz w:val="32"/>
          <w:szCs w:val="32"/>
          <w:shd w:val="clear" w:color="auto" w:fill="auto"/>
          <w:lang w:eastAsia="zh-CN"/>
        </w:rPr>
        <w:t>本</w:t>
      </w:r>
      <w:r>
        <w:rPr>
          <w:rFonts w:hint="eastAsia" w:ascii="仿宋_GB2312" w:hAnsi="仿宋" w:eastAsia="仿宋_GB2312" w:cs="Times New Roman"/>
          <w:bCs/>
          <w:color w:val="auto"/>
          <w:spacing w:val="0"/>
          <w:kern w:val="21"/>
          <w:sz w:val="32"/>
          <w:szCs w:val="32"/>
          <w:shd w:val="clear" w:color="auto" w:fill="auto"/>
          <w:lang w:eastAsia="zh-CN"/>
        </w:rPr>
        <w:t>息等。</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楷体_GB2312" w:hAnsi="楷体_GB2312" w:eastAsia="楷体_GB2312" w:cs="楷体_GB2312"/>
          <w:bCs/>
          <w:color w:val="auto"/>
          <w:spacing w:val="0"/>
          <w:kern w:val="21"/>
          <w:sz w:val="32"/>
          <w:szCs w:val="32"/>
        </w:rPr>
      </w:pPr>
      <w:r>
        <w:rPr>
          <w:rFonts w:hint="eastAsia" w:ascii="楷体_GB2312" w:hAnsi="楷体_GB2312" w:eastAsia="楷体_GB2312" w:cs="楷体_GB2312"/>
          <w:bCs/>
          <w:color w:val="auto"/>
          <w:spacing w:val="0"/>
          <w:kern w:val="21"/>
          <w:sz w:val="32"/>
          <w:szCs w:val="32"/>
        </w:rPr>
        <w:t>（三）国有资本经营预算执行情况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rPr>
        <w:t>区级国有资本经营预算收入</w:t>
      </w:r>
      <w:r>
        <w:rPr>
          <w:rFonts w:hint="eastAsia" w:ascii="仿宋_GB2312" w:hAnsi="仿宋" w:eastAsia="仿宋_GB2312" w:cs="Times New Roman"/>
          <w:bCs/>
          <w:color w:val="auto"/>
          <w:spacing w:val="0"/>
          <w:kern w:val="21"/>
          <w:sz w:val="32"/>
          <w:szCs w:val="32"/>
          <w:lang w:eastAsia="zh-CN"/>
        </w:rPr>
        <w:t>完成</w:t>
      </w:r>
      <w:r>
        <w:rPr>
          <w:rFonts w:hint="eastAsia" w:ascii="仿宋_GB2312" w:hAnsi="仿宋" w:eastAsia="仿宋_GB2312" w:cs="Times New Roman"/>
          <w:bCs/>
          <w:color w:val="auto"/>
          <w:spacing w:val="0"/>
          <w:kern w:val="21"/>
          <w:sz w:val="32"/>
          <w:szCs w:val="32"/>
          <w:lang w:val="en-US" w:eastAsia="zh-CN"/>
        </w:rPr>
        <w:t>1730</w:t>
      </w:r>
      <w:r>
        <w:rPr>
          <w:rFonts w:hint="eastAsia" w:ascii="仿宋_GB2312" w:hAnsi="仿宋" w:eastAsia="仿宋_GB2312" w:cs="Times New Roman"/>
          <w:bCs/>
          <w:color w:val="auto"/>
          <w:spacing w:val="0"/>
          <w:kern w:val="21"/>
          <w:sz w:val="32"/>
          <w:szCs w:val="32"/>
        </w:rPr>
        <w:t>万元，</w:t>
      </w:r>
      <w:r>
        <w:rPr>
          <w:rFonts w:hint="eastAsia" w:ascii="仿宋_GB2312" w:hAnsi="仿宋_GB2312" w:eastAsia="仿宋_GB2312" w:cs="仿宋_GB2312"/>
          <w:color w:val="auto"/>
          <w:spacing w:val="0"/>
          <w:kern w:val="21"/>
          <w:sz w:val="32"/>
          <w:szCs w:val="32"/>
        </w:rPr>
        <w:t>同比</w:t>
      </w:r>
      <w:r>
        <w:rPr>
          <w:rFonts w:hint="eastAsia" w:ascii="仿宋_GB2312" w:hAnsi="仿宋_GB2312" w:eastAsia="仿宋_GB2312" w:cs="仿宋_GB2312"/>
          <w:color w:val="auto"/>
          <w:spacing w:val="0"/>
          <w:kern w:val="21"/>
          <w:sz w:val="32"/>
          <w:szCs w:val="32"/>
          <w:lang w:eastAsia="zh-CN"/>
        </w:rPr>
        <w:t>增长</w:t>
      </w:r>
      <w:r>
        <w:rPr>
          <w:rFonts w:hint="eastAsia" w:ascii="仿宋_GB2312" w:hAnsi="仿宋_GB2312" w:eastAsia="仿宋_GB2312" w:cs="仿宋_GB2312"/>
          <w:color w:val="auto"/>
          <w:spacing w:val="0"/>
          <w:kern w:val="21"/>
          <w:sz w:val="32"/>
          <w:szCs w:val="32"/>
          <w:lang w:val="en-US" w:eastAsia="zh-CN"/>
        </w:rPr>
        <w:t>27.9</w:t>
      </w:r>
      <w:r>
        <w:rPr>
          <w:rFonts w:hint="eastAsia" w:ascii="仿宋_GB2312" w:hAnsi="仿宋_GB2312" w:eastAsia="仿宋_GB2312" w:cs="仿宋_GB2312"/>
          <w:color w:val="auto"/>
          <w:spacing w:val="0"/>
          <w:kern w:val="21"/>
          <w:sz w:val="32"/>
          <w:szCs w:val="32"/>
        </w:rPr>
        <w:t>%，</w:t>
      </w:r>
      <w:r>
        <w:rPr>
          <w:rFonts w:hint="eastAsia" w:ascii="仿宋_GB2312" w:hAnsi="仿宋" w:eastAsia="仿宋_GB2312" w:cs="Times New Roman"/>
          <w:bCs/>
          <w:color w:val="auto"/>
          <w:spacing w:val="0"/>
          <w:kern w:val="21"/>
          <w:sz w:val="32"/>
          <w:szCs w:val="32"/>
        </w:rPr>
        <w:t>完成预算的</w:t>
      </w:r>
      <w:r>
        <w:rPr>
          <w:rFonts w:hint="eastAsia" w:ascii="仿宋_GB2312" w:hAnsi="仿宋" w:eastAsia="仿宋_GB2312" w:cs="Times New Roman"/>
          <w:bCs/>
          <w:color w:val="auto"/>
          <w:spacing w:val="0"/>
          <w:kern w:val="21"/>
          <w:sz w:val="32"/>
          <w:szCs w:val="32"/>
          <w:lang w:val="en-US" w:eastAsia="zh-CN"/>
        </w:rPr>
        <w:t>126.4</w:t>
      </w:r>
      <w:r>
        <w:rPr>
          <w:rFonts w:hint="eastAsia" w:ascii="仿宋_GB2312" w:hAnsi="仿宋" w:eastAsia="仿宋_GB2312" w:cs="Times New Roman"/>
          <w:bCs/>
          <w:color w:val="auto"/>
          <w:spacing w:val="0"/>
          <w:kern w:val="21"/>
          <w:sz w:val="32"/>
          <w:szCs w:val="32"/>
        </w:rPr>
        <w:t>%，主要是国企经营状况好于预期，</w:t>
      </w:r>
      <w:r>
        <w:rPr>
          <w:rFonts w:hint="eastAsia" w:ascii="仿宋_GB2312" w:hAnsi="仿宋" w:eastAsia="仿宋_GB2312" w:cs="Times New Roman"/>
          <w:bCs/>
          <w:color w:val="auto"/>
          <w:spacing w:val="0"/>
          <w:kern w:val="21"/>
          <w:sz w:val="32"/>
          <w:szCs w:val="32"/>
          <w:shd w:val="clear" w:color="auto" w:fill="auto"/>
        </w:rPr>
        <w:t>上缴收入超出年初预算，超收收入依法结转下年使用；加专项转移支付收入1659万元、上年结余2066万元，收入</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eastAsia="仿宋_GB2312" w:cs="Times New Roman"/>
          <w:bCs/>
          <w:color w:val="auto"/>
          <w:spacing w:val="0"/>
          <w:kern w:val="21"/>
          <w:sz w:val="32"/>
          <w:szCs w:val="32"/>
          <w:shd w:val="clear" w:color="auto" w:fill="auto"/>
          <w:lang w:val="en-US" w:eastAsia="zh-CN"/>
        </w:rPr>
        <w:t>5455</w:t>
      </w:r>
      <w:r>
        <w:rPr>
          <w:rFonts w:hint="eastAsia" w:ascii="仿宋_GB2312" w:hAnsi="仿宋" w:eastAsia="仿宋_GB2312" w:cs="Times New Roman"/>
          <w:bCs/>
          <w:color w:val="auto"/>
          <w:spacing w:val="0"/>
          <w:kern w:val="21"/>
          <w:sz w:val="32"/>
          <w:szCs w:val="32"/>
          <w:shd w:val="clear" w:color="auto" w:fill="auto"/>
        </w:rPr>
        <w:t>万元。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lang w:eastAsia="zh-CN"/>
        </w:rPr>
        <w:t>区级</w:t>
      </w:r>
      <w:r>
        <w:rPr>
          <w:rFonts w:hint="eastAsia" w:ascii="仿宋_GB2312" w:hAnsi="仿宋" w:eastAsia="仿宋_GB2312" w:cs="Times New Roman"/>
          <w:bCs/>
          <w:color w:val="auto"/>
          <w:spacing w:val="0"/>
          <w:kern w:val="21"/>
          <w:sz w:val="32"/>
          <w:szCs w:val="32"/>
        </w:rPr>
        <w:t>国有资本经营预算支出</w:t>
      </w:r>
      <w:r>
        <w:rPr>
          <w:rFonts w:hint="eastAsia" w:ascii="仿宋_GB2312" w:hAnsi="仿宋" w:eastAsia="仿宋_GB2312" w:cs="Times New Roman"/>
          <w:bCs/>
          <w:color w:val="auto"/>
          <w:spacing w:val="0"/>
          <w:kern w:val="21"/>
          <w:sz w:val="32"/>
          <w:szCs w:val="32"/>
          <w:lang w:eastAsia="zh-CN"/>
        </w:rPr>
        <w:t>完成</w:t>
      </w:r>
      <w:r>
        <w:rPr>
          <w:rFonts w:hint="eastAsia" w:ascii="仿宋_GB2312" w:hAnsi="仿宋" w:eastAsia="仿宋_GB2312" w:cs="Times New Roman"/>
          <w:bCs/>
          <w:color w:val="auto"/>
          <w:spacing w:val="0"/>
          <w:kern w:val="21"/>
          <w:sz w:val="32"/>
          <w:szCs w:val="32"/>
          <w:lang w:val="en-US" w:eastAsia="zh-CN"/>
        </w:rPr>
        <w:t>1694</w:t>
      </w:r>
      <w:r>
        <w:rPr>
          <w:rFonts w:hint="eastAsia" w:ascii="仿宋_GB2312" w:hAnsi="仿宋" w:eastAsia="仿宋_GB2312" w:cs="Times New Roman"/>
          <w:bCs/>
          <w:color w:val="auto"/>
          <w:spacing w:val="0"/>
          <w:kern w:val="21"/>
          <w:sz w:val="32"/>
          <w:szCs w:val="32"/>
        </w:rPr>
        <w:t>万元，完成预算的</w:t>
      </w:r>
      <w:r>
        <w:rPr>
          <w:rFonts w:hint="eastAsia" w:ascii="仿宋_GB2312" w:hAnsi="仿宋" w:eastAsia="仿宋_GB2312" w:cs="Times New Roman"/>
          <w:bCs/>
          <w:color w:val="auto"/>
          <w:spacing w:val="0"/>
          <w:kern w:val="21"/>
          <w:sz w:val="32"/>
          <w:szCs w:val="32"/>
          <w:lang w:val="en-US" w:eastAsia="zh-CN"/>
        </w:rPr>
        <w:t>100</w:t>
      </w:r>
      <w:r>
        <w:rPr>
          <w:rFonts w:hint="eastAsia" w:ascii="仿宋_GB2312" w:hAnsi="仿宋" w:eastAsia="仿宋_GB2312" w:cs="Times New Roman"/>
          <w:bCs/>
          <w:color w:val="auto"/>
          <w:spacing w:val="0"/>
          <w:kern w:val="21"/>
          <w:sz w:val="32"/>
          <w:szCs w:val="32"/>
        </w:rPr>
        <w:t>%；</w:t>
      </w:r>
      <w:r>
        <w:rPr>
          <w:rFonts w:hint="eastAsia" w:ascii="仿宋_GB2312" w:hAnsi="仿宋" w:eastAsia="仿宋_GB2312" w:cs="Times New Roman"/>
          <w:bCs/>
          <w:color w:val="auto"/>
          <w:spacing w:val="0"/>
          <w:kern w:val="21"/>
          <w:sz w:val="32"/>
          <w:szCs w:val="32"/>
          <w:shd w:val="clear" w:color="auto" w:fill="auto"/>
          <w:lang w:eastAsia="zh-CN"/>
        </w:rPr>
        <w:t>加专项转移支付支出</w:t>
      </w:r>
      <w:r>
        <w:rPr>
          <w:rFonts w:hint="eastAsia" w:ascii="仿宋_GB2312" w:hAnsi="仿宋" w:cs="Times New Roman"/>
          <w:bCs/>
          <w:color w:val="auto"/>
          <w:spacing w:val="0"/>
          <w:kern w:val="21"/>
          <w:sz w:val="32"/>
          <w:szCs w:val="32"/>
          <w:shd w:val="clear" w:color="auto" w:fill="auto"/>
          <w:lang w:val="en-US" w:eastAsia="zh-CN"/>
        </w:rPr>
        <w:t>2438</w:t>
      </w:r>
      <w:r>
        <w:rPr>
          <w:rFonts w:hint="eastAsia" w:ascii="仿宋_GB2312" w:hAnsi="仿宋" w:eastAsia="仿宋_GB2312" w:cs="Times New Roman"/>
          <w:bCs/>
          <w:color w:val="auto"/>
          <w:spacing w:val="0"/>
          <w:kern w:val="21"/>
          <w:sz w:val="32"/>
          <w:szCs w:val="32"/>
          <w:shd w:val="clear" w:color="auto" w:fill="auto"/>
          <w:lang w:val="en-US" w:eastAsia="zh-CN"/>
        </w:rPr>
        <w:t>万元、</w:t>
      </w:r>
      <w:r>
        <w:rPr>
          <w:rFonts w:hint="eastAsia" w:ascii="仿宋_GB2312" w:hAnsi="仿宋" w:eastAsia="仿宋_GB2312" w:cs="Times New Roman"/>
          <w:bCs/>
          <w:color w:val="auto"/>
          <w:spacing w:val="0"/>
          <w:kern w:val="21"/>
          <w:sz w:val="32"/>
          <w:szCs w:val="32"/>
          <w:shd w:val="clear" w:color="auto" w:fill="auto"/>
        </w:rPr>
        <w:t>向一般公共预算调出资金</w:t>
      </w:r>
      <w:r>
        <w:rPr>
          <w:rFonts w:hint="eastAsia" w:ascii="仿宋_GB2312" w:hAnsi="仿宋" w:eastAsia="仿宋_GB2312" w:cs="Times New Roman"/>
          <w:bCs/>
          <w:color w:val="auto"/>
          <w:spacing w:val="0"/>
          <w:kern w:val="21"/>
          <w:sz w:val="32"/>
          <w:szCs w:val="32"/>
          <w:shd w:val="clear" w:color="auto" w:fill="auto"/>
          <w:lang w:val="en-US" w:eastAsia="zh-CN"/>
        </w:rPr>
        <w:t>726万元</w:t>
      </w:r>
      <w:r>
        <w:rPr>
          <w:rFonts w:hint="eastAsia" w:ascii="仿宋_GB2312" w:hAnsi="仿宋" w:eastAsia="仿宋_GB2312" w:cs="Times New Roman"/>
          <w:bCs/>
          <w:color w:val="auto"/>
          <w:spacing w:val="0"/>
          <w:kern w:val="21"/>
          <w:sz w:val="32"/>
          <w:szCs w:val="32"/>
          <w:shd w:val="clear" w:color="auto" w:fill="auto"/>
        </w:rPr>
        <w:t>、</w:t>
      </w:r>
      <w:r>
        <w:rPr>
          <w:rFonts w:hint="eastAsia" w:ascii="仿宋_GB2312" w:hAnsi="仿宋" w:eastAsia="仿宋_GB2312" w:cs="Times New Roman"/>
          <w:bCs/>
          <w:color w:val="auto"/>
          <w:spacing w:val="0"/>
          <w:kern w:val="21"/>
          <w:sz w:val="32"/>
          <w:szCs w:val="32"/>
          <w:shd w:val="clear" w:color="auto" w:fill="auto"/>
          <w:lang w:eastAsia="zh-CN"/>
        </w:rPr>
        <w:t>年终结余</w:t>
      </w:r>
      <w:r>
        <w:rPr>
          <w:rFonts w:hint="eastAsia" w:ascii="仿宋_GB2312" w:hAnsi="仿宋" w:cs="Times New Roman"/>
          <w:bCs/>
          <w:color w:val="auto"/>
          <w:spacing w:val="0"/>
          <w:kern w:val="21"/>
          <w:sz w:val="32"/>
          <w:szCs w:val="32"/>
          <w:shd w:val="clear" w:color="auto" w:fill="auto"/>
          <w:lang w:val="en-US" w:eastAsia="zh-CN"/>
        </w:rPr>
        <w:t>597</w:t>
      </w:r>
      <w:r>
        <w:rPr>
          <w:rFonts w:hint="eastAsia" w:ascii="仿宋_GB2312" w:hAnsi="仿宋" w:eastAsia="仿宋_GB2312" w:cs="Times New Roman"/>
          <w:bCs/>
          <w:color w:val="auto"/>
          <w:spacing w:val="0"/>
          <w:kern w:val="21"/>
          <w:sz w:val="32"/>
          <w:szCs w:val="32"/>
          <w:shd w:val="clear" w:color="auto" w:fill="auto"/>
          <w:lang w:val="en-US" w:eastAsia="zh-CN"/>
        </w:rPr>
        <w:t>万元</w:t>
      </w:r>
      <w:r>
        <w:rPr>
          <w:rFonts w:hint="eastAsia" w:ascii="仿宋_GB2312" w:hAnsi="仿宋" w:eastAsia="仿宋_GB2312" w:cs="Times New Roman"/>
          <w:bCs/>
          <w:color w:val="auto"/>
          <w:spacing w:val="0"/>
          <w:kern w:val="21"/>
          <w:sz w:val="32"/>
          <w:szCs w:val="32"/>
          <w:shd w:val="clear" w:color="auto" w:fill="auto"/>
        </w:rPr>
        <w:t>，支出</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eastAsia="仿宋_GB2312" w:cs="Times New Roman"/>
          <w:bCs/>
          <w:color w:val="auto"/>
          <w:spacing w:val="0"/>
          <w:kern w:val="21"/>
          <w:sz w:val="32"/>
          <w:szCs w:val="32"/>
          <w:shd w:val="clear" w:color="auto" w:fill="auto"/>
          <w:lang w:val="en-US" w:eastAsia="zh-CN"/>
        </w:rPr>
        <w:t>5455</w:t>
      </w:r>
      <w:r>
        <w:rPr>
          <w:rFonts w:hint="eastAsia" w:ascii="仿宋_GB2312" w:hAnsi="仿宋" w:eastAsia="仿宋_GB2312" w:cs="Times New Roman"/>
          <w:bCs/>
          <w:color w:val="auto"/>
          <w:spacing w:val="0"/>
          <w:kern w:val="21"/>
          <w:sz w:val="32"/>
          <w:szCs w:val="32"/>
          <w:shd w:val="clear" w:color="auto" w:fill="auto"/>
        </w:rPr>
        <w:t>万元。国有资本经营预算收支执行平衡。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lang w:eastAsia="zh-CN"/>
        </w:rPr>
      </w:pPr>
      <w:r>
        <w:rPr>
          <w:rFonts w:hint="eastAsia" w:ascii="仿宋_GB2312" w:hAnsi="仿宋" w:eastAsia="仿宋_GB2312" w:cs="Times New Roman"/>
          <w:bCs/>
          <w:color w:val="auto"/>
          <w:spacing w:val="0"/>
          <w:kern w:val="21"/>
          <w:sz w:val="32"/>
          <w:szCs w:val="32"/>
          <w:shd w:val="clear" w:color="auto" w:fill="auto"/>
        </w:rPr>
        <w:t>区级国有资本经营预算支出主要用于解决历史遗留</w:t>
      </w:r>
      <w:r>
        <w:rPr>
          <w:rFonts w:hint="eastAsia"/>
          <w:color w:val="auto"/>
          <w:spacing w:val="0"/>
          <w:kern w:val="21"/>
        </w:rPr>
        <w:t>问题</w:t>
      </w:r>
      <w:r>
        <w:rPr>
          <w:rFonts w:hint="eastAsia" w:ascii="仿宋_GB2312" w:hAnsi="仿宋" w:eastAsia="仿宋_GB2312" w:cs="Times New Roman"/>
          <w:bCs/>
          <w:color w:val="auto"/>
          <w:spacing w:val="0"/>
          <w:kern w:val="21"/>
          <w:sz w:val="32"/>
          <w:szCs w:val="32"/>
          <w:lang w:eastAsia="zh-CN"/>
        </w:rPr>
        <w:t>，支持</w:t>
      </w:r>
      <w:r>
        <w:rPr>
          <w:rFonts w:hint="eastAsia" w:ascii="仿宋_GB2312" w:hAnsi="仿宋" w:eastAsia="仿宋_GB2312" w:cs="Times New Roman"/>
          <w:bCs/>
          <w:color w:val="auto"/>
          <w:spacing w:val="0"/>
          <w:kern w:val="21"/>
          <w:sz w:val="32"/>
          <w:szCs w:val="32"/>
        </w:rPr>
        <w:t>做优做强国有企业</w:t>
      </w:r>
      <w:r>
        <w:rPr>
          <w:rFonts w:hint="eastAsia" w:ascii="仿宋_GB2312" w:hAnsi="仿宋" w:cs="Times New Roman"/>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bCs/>
          <w:color w:val="auto"/>
          <w:spacing w:val="0"/>
          <w:kern w:val="21"/>
          <w:sz w:val="32"/>
          <w:szCs w:val="32"/>
        </w:rPr>
      </w:pPr>
      <w:r>
        <w:rPr>
          <w:rFonts w:hint="eastAsia" w:ascii="楷体_GB2312" w:hAnsi="楷体_GB2312" w:eastAsia="楷体_GB2312" w:cs="楷体_GB2312"/>
          <w:bCs/>
          <w:color w:val="auto"/>
          <w:spacing w:val="0"/>
          <w:kern w:val="21"/>
          <w:sz w:val="32"/>
          <w:szCs w:val="32"/>
        </w:rPr>
        <w:t>（四）地方政府债务情况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仿宋_GB2312" w:hAnsi="仿宋_GB2312" w:cs="仿宋_GB2312"/>
          <w:bCs/>
          <w:color w:val="auto"/>
          <w:spacing w:val="0"/>
          <w:kern w:val="21"/>
          <w:sz w:val="32"/>
          <w:szCs w:val="32"/>
        </w:rPr>
      </w:pPr>
      <w:r>
        <w:rPr>
          <w:rFonts w:hint="eastAsia" w:ascii="仿宋_GB2312" w:hAnsi="仿宋" w:cs="Times New Roman"/>
          <w:bCs/>
          <w:color w:val="auto"/>
          <w:spacing w:val="0"/>
          <w:kern w:val="21"/>
          <w:sz w:val="32"/>
          <w:szCs w:val="32"/>
        </w:rPr>
        <w:t>1.地方政府</w:t>
      </w:r>
      <w:r>
        <w:rPr>
          <w:rFonts w:hint="eastAsia" w:ascii="仿宋_GB2312" w:hAnsi="仿宋" w:cs="Times New Roman"/>
          <w:bCs/>
          <w:color w:val="auto"/>
          <w:spacing w:val="0"/>
          <w:kern w:val="21"/>
          <w:sz w:val="32"/>
          <w:szCs w:val="32"/>
          <w:lang w:eastAsia="zh-CN"/>
        </w:rPr>
        <w:t>债务</w:t>
      </w:r>
      <w:r>
        <w:rPr>
          <w:rFonts w:hint="eastAsia" w:ascii="仿宋_GB2312" w:hAnsi="仿宋" w:cs="Times New Roman"/>
          <w:bCs/>
          <w:color w:val="auto"/>
          <w:spacing w:val="0"/>
          <w:kern w:val="21"/>
          <w:sz w:val="32"/>
          <w:szCs w:val="32"/>
        </w:rPr>
        <w:t>限额余额情况。202</w:t>
      </w:r>
      <w:r>
        <w:rPr>
          <w:rFonts w:hint="eastAsia" w:ascii="仿宋_GB2312" w:hAnsi="仿宋" w:cs="Times New Roman"/>
          <w:bCs/>
          <w:color w:val="auto"/>
          <w:spacing w:val="0"/>
          <w:kern w:val="21"/>
          <w:sz w:val="32"/>
          <w:szCs w:val="32"/>
          <w:lang w:val="en-US" w:eastAsia="zh-CN"/>
        </w:rPr>
        <w:t>4</w:t>
      </w:r>
      <w:r>
        <w:rPr>
          <w:rFonts w:hint="eastAsia" w:ascii="仿宋_GB2312" w:hAnsi="仿宋" w:cs="Times New Roman"/>
          <w:bCs/>
          <w:color w:val="auto"/>
          <w:spacing w:val="0"/>
          <w:kern w:val="21"/>
          <w:sz w:val="32"/>
          <w:szCs w:val="32"/>
        </w:rPr>
        <w:t>年，经核定的地方政府债务限额为</w:t>
      </w:r>
      <w:r>
        <w:rPr>
          <w:rFonts w:hint="eastAsia" w:ascii="仿宋_GB2312" w:hAnsi="仿宋" w:cs="Times New Roman"/>
          <w:bCs/>
          <w:color w:val="auto"/>
          <w:spacing w:val="0"/>
          <w:kern w:val="21"/>
          <w:sz w:val="32"/>
          <w:szCs w:val="32"/>
          <w:lang w:val="en-US" w:eastAsia="zh-CN"/>
        </w:rPr>
        <w:t>1418.2</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其中，一般债务限额</w:t>
      </w:r>
      <w:r>
        <w:rPr>
          <w:rFonts w:hint="eastAsia" w:ascii="仿宋_GB2312" w:hAnsi="仿宋" w:cs="Times New Roman"/>
          <w:bCs/>
          <w:color w:val="auto"/>
          <w:spacing w:val="0"/>
          <w:kern w:val="21"/>
          <w:sz w:val="32"/>
          <w:szCs w:val="32"/>
          <w:lang w:val="en-US" w:eastAsia="zh-CN"/>
        </w:rPr>
        <w:t>150.5</w:t>
      </w:r>
      <w:r>
        <w:rPr>
          <w:rFonts w:hint="eastAsia" w:ascii="仿宋_GB2312" w:hAnsi="仿宋" w:cs="Times New Roman"/>
          <w:bCs/>
          <w:color w:val="auto"/>
          <w:spacing w:val="0"/>
          <w:kern w:val="21"/>
          <w:sz w:val="32"/>
          <w:szCs w:val="32"/>
        </w:rPr>
        <w:t>亿元</w:t>
      </w:r>
      <w:r>
        <w:rPr>
          <w:rFonts w:hint="eastAsia" w:ascii="仿宋_GB2312" w:hAnsi="仿宋_GB2312" w:cs="仿宋_GB2312"/>
          <w:bCs/>
          <w:color w:val="auto"/>
          <w:spacing w:val="0"/>
          <w:kern w:val="21"/>
          <w:sz w:val="32"/>
          <w:szCs w:val="32"/>
          <w:lang w:eastAsia="zh-CN"/>
        </w:rPr>
        <w:t>、</w:t>
      </w:r>
      <w:r>
        <w:rPr>
          <w:rFonts w:hint="eastAsia" w:ascii="仿宋_GB2312" w:hAnsi="仿宋_GB2312" w:cs="仿宋_GB2312"/>
          <w:bCs/>
          <w:color w:val="auto"/>
          <w:spacing w:val="0"/>
          <w:kern w:val="21"/>
          <w:sz w:val="32"/>
          <w:szCs w:val="32"/>
        </w:rPr>
        <w:t>专项债务限额12</w:t>
      </w:r>
      <w:r>
        <w:rPr>
          <w:rFonts w:hint="eastAsia" w:ascii="仿宋_GB2312" w:hAnsi="仿宋_GB2312" w:cs="仿宋_GB2312"/>
          <w:bCs/>
          <w:color w:val="auto"/>
          <w:spacing w:val="0"/>
          <w:kern w:val="21"/>
          <w:sz w:val="32"/>
          <w:szCs w:val="32"/>
          <w:lang w:val="en-US" w:eastAsia="zh-CN"/>
        </w:rPr>
        <w:t>67.7</w:t>
      </w:r>
      <w:r>
        <w:rPr>
          <w:rFonts w:hint="eastAsia" w:ascii="仿宋_GB2312" w:hAnsi="仿宋_GB2312" w:cs="仿宋_GB2312"/>
          <w:bCs/>
          <w:color w:val="auto"/>
          <w:spacing w:val="0"/>
          <w:kern w:val="21"/>
          <w:sz w:val="32"/>
          <w:szCs w:val="32"/>
        </w:rPr>
        <w:t>亿元。截至202</w:t>
      </w:r>
      <w:r>
        <w:rPr>
          <w:rFonts w:hint="eastAsia" w:ascii="仿宋_GB2312" w:hAnsi="仿宋_GB2312" w:cs="仿宋_GB2312"/>
          <w:bCs/>
          <w:color w:val="auto"/>
          <w:spacing w:val="0"/>
          <w:kern w:val="21"/>
          <w:sz w:val="32"/>
          <w:szCs w:val="32"/>
          <w:lang w:val="en-US" w:eastAsia="zh-CN"/>
        </w:rPr>
        <w:t>4</w:t>
      </w:r>
      <w:r>
        <w:rPr>
          <w:rFonts w:hint="eastAsia" w:ascii="仿宋_GB2312" w:hAnsi="仿宋_GB2312" w:cs="仿宋_GB2312"/>
          <w:bCs/>
          <w:color w:val="auto"/>
          <w:spacing w:val="0"/>
          <w:kern w:val="21"/>
          <w:sz w:val="32"/>
          <w:szCs w:val="32"/>
        </w:rPr>
        <w:t>年末，全区地方政府债务余额13</w:t>
      </w:r>
      <w:r>
        <w:rPr>
          <w:rFonts w:hint="eastAsia" w:ascii="仿宋_GB2312" w:hAnsi="仿宋_GB2312" w:cs="仿宋_GB2312"/>
          <w:bCs/>
          <w:color w:val="auto"/>
          <w:spacing w:val="0"/>
          <w:kern w:val="21"/>
          <w:sz w:val="32"/>
          <w:szCs w:val="32"/>
          <w:lang w:val="en-US" w:eastAsia="zh-CN"/>
        </w:rPr>
        <w:t>17.1</w:t>
      </w:r>
      <w:r>
        <w:rPr>
          <w:rFonts w:hint="eastAsia" w:ascii="仿宋_GB2312" w:hAnsi="仿宋_GB2312" w:cs="仿宋_GB2312"/>
          <w:bCs/>
          <w:color w:val="auto"/>
          <w:spacing w:val="0"/>
          <w:kern w:val="21"/>
          <w:sz w:val="32"/>
          <w:szCs w:val="32"/>
        </w:rPr>
        <w:t>亿元</w:t>
      </w:r>
      <w:r>
        <w:rPr>
          <w:rFonts w:hint="eastAsia" w:ascii="仿宋_GB2312" w:hAnsi="仿宋_GB2312" w:cs="仿宋_GB2312"/>
          <w:bCs/>
          <w:color w:val="auto"/>
          <w:spacing w:val="0"/>
          <w:kern w:val="21"/>
          <w:sz w:val="32"/>
          <w:szCs w:val="32"/>
          <w:lang w:eastAsia="zh-CN"/>
        </w:rPr>
        <w:t>，</w:t>
      </w:r>
      <w:r>
        <w:rPr>
          <w:rFonts w:hint="eastAsia" w:ascii="仿宋_GB2312" w:hAnsi="仿宋_GB2312" w:cs="仿宋_GB2312"/>
          <w:bCs/>
          <w:color w:val="auto"/>
          <w:spacing w:val="0"/>
          <w:kern w:val="21"/>
          <w:sz w:val="32"/>
          <w:szCs w:val="32"/>
        </w:rPr>
        <w:t>其中，一般债务余额144.</w:t>
      </w:r>
      <w:r>
        <w:rPr>
          <w:rFonts w:hint="eastAsia" w:ascii="仿宋_GB2312" w:hAnsi="仿宋_GB2312" w:cs="仿宋_GB2312"/>
          <w:bCs/>
          <w:color w:val="auto"/>
          <w:spacing w:val="0"/>
          <w:kern w:val="21"/>
          <w:sz w:val="32"/>
          <w:szCs w:val="32"/>
          <w:lang w:val="en-US" w:eastAsia="zh-CN"/>
        </w:rPr>
        <w:t>6</w:t>
      </w:r>
      <w:r>
        <w:rPr>
          <w:rFonts w:hint="eastAsia" w:ascii="仿宋_GB2312" w:hAnsi="仿宋_GB2312" w:cs="仿宋_GB2312"/>
          <w:bCs/>
          <w:color w:val="auto"/>
          <w:spacing w:val="0"/>
          <w:kern w:val="21"/>
          <w:sz w:val="32"/>
          <w:szCs w:val="32"/>
        </w:rPr>
        <w:t>亿元</w:t>
      </w:r>
      <w:r>
        <w:rPr>
          <w:rFonts w:hint="eastAsia" w:ascii="仿宋_GB2312" w:hAnsi="仿宋_GB2312" w:cs="仿宋_GB2312"/>
          <w:bCs/>
          <w:color w:val="auto"/>
          <w:spacing w:val="0"/>
          <w:kern w:val="21"/>
          <w:sz w:val="32"/>
          <w:szCs w:val="32"/>
          <w:lang w:eastAsia="zh-CN"/>
        </w:rPr>
        <w:t>、</w:t>
      </w:r>
      <w:r>
        <w:rPr>
          <w:rFonts w:hint="eastAsia" w:ascii="仿宋_GB2312" w:hAnsi="仿宋_GB2312" w:cs="仿宋_GB2312"/>
          <w:bCs/>
          <w:color w:val="auto"/>
          <w:spacing w:val="0"/>
          <w:kern w:val="21"/>
          <w:sz w:val="32"/>
          <w:szCs w:val="32"/>
        </w:rPr>
        <w:t>专项债务余额1</w:t>
      </w:r>
      <w:r>
        <w:rPr>
          <w:rFonts w:hint="eastAsia" w:ascii="仿宋_GB2312" w:hAnsi="仿宋_GB2312" w:cs="仿宋_GB2312"/>
          <w:bCs/>
          <w:color w:val="auto"/>
          <w:spacing w:val="0"/>
          <w:kern w:val="21"/>
          <w:sz w:val="32"/>
          <w:szCs w:val="32"/>
          <w:lang w:val="en-US" w:eastAsia="zh-CN"/>
        </w:rPr>
        <w:t>172.5</w:t>
      </w:r>
      <w:r>
        <w:rPr>
          <w:rFonts w:hint="eastAsia" w:ascii="仿宋_GB2312" w:hAnsi="仿宋_GB2312" w:cs="仿宋_GB2312"/>
          <w:bCs/>
          <w:color w:val="auto"/>
          <w:spacing w:val="0"/>
          <w:kern w:val="21"/>
          <w:sz w:val="32"/>
          <w:szCs w:val="32"/>
        </w:rPr>
        <w:t>亿元。</w:t>
      </w:r>
    </w:p>
    <w:p>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仿宋_GB2312" w:hAnsi="仿宋_GB2312" w:cs="仿宋_GB2312"/>
          <w:bCs/>
          <w:color w:val="auto"/>
          <w:spacing w:val="0"/>
          <w:kern w:val="21"/>
          <w:sz w:val="32"/>
          <w:szCs w:val="32"/>
        </w:rPr>
      </w:pPr>
      <w:r>
        <w:rPr>
          <w:rFonts w:hint="eastAsia" w:ascii="仿宋_GB2312" w:hAnsi="仿宋_GB2312" w:cs="仿宋_GB2312"/>
          <w:bCs/>
          <w:color w:val="auto"/>
          <w:spacing w:val="0"/>
          <w:kern w:val="21"/>
          <w:sz w:val="32"/>
          <w:szCs w:val="32"/>
        </w:rPr>
        <w:t>2.地方政府债券使用情况。202</w:t>
      </w:r>
      <w:r>
        <w:rPr>
          <w:rFonts w:hint="eastAsia" w:ascii="仿宋_GB2312" w:hAnsi="仿宋_GB2312" w:cs="仿宋_GB2312"/>
          <w:bCs/>
          <w:color w:val="auto"/>
          <w:spacing w:val="0"/>
          <w:kern w:val="21"/>
          <w:sz w:val="32"/>
          <w:szCs w:val="32"/>
          <w:lang w:val="en-US" w:eastAsia="zh-CN"/>
        </w:rPr>
        <w:t>4</w:t>
      </w:r>
      <w:r>
        <w:rPr>
          <w:rFonts w:hint="eastAsia" w:ascii="仿宋_GB2312" w:hAnsi="仿宋_GB2312" w:cs="仿宋_GB2312"/>
          <w:bCs/>
          <w:color w:val="auto"/>
          <w:spacing w:val="0"/>
          <w:kern w:val="21"/>
          <w:sz w:val="32"/>
          <w:szCs w:val="32"/>
        </w:rPr>
        <w:t>年，积极争取地方政府债券额度支持，申请北京市发行地方政府债券</w:t>
      </w:r>
      <w:r>
        <w:rPr>
          <w:rFonts w:hint="eastAsia" w:ascii="仿宋_GB2312" w:hAnsi="仿宋_GB2312" w:cs="仿宋_GB2312"/>
          <w:bCs/>
          <w:color w:val="auto"/>
          <w:spacing w:val="0"/>
          <w:kern w:val="21"/>
          <w:sz w:val="32"/>
          <w:szCs w:val="32"/>
          <w:lang w:val="en-US" w:eastAsia="zh-CN"/>
        </w:rPr>
        <w:t>79.1</w:t>
      </w:r>
      <w:r>
        <w:rPr>
          <w:rFonts w:hint="eastAsia" w:ascii="仿宋_GB2312" w:hAnsi="仿宋_GB2312" w:cs="仿宋_GB2312"/>
          <w:bCs/>
          <w:color w:val="auto"/>
          <w:spacing w:val="0"/>
          <w:kern w:val="21"/>
          <w:sz w:val="32"/>
          <w:szCs w:val="32"/>
        </w:rPr>
        <w:t>亿元，包括新增债券</w:t>
      </w:r>
      <w:r>
        <w:rPr>
          <w:rFonts w:hint="eastAsia" w:ascii="仿宋_GB2312" w:hAnsi="仿宋_GB2312" w:cs="仿宋_GB2312"/>
          <w:bCs/>
          <w:color w:val="auto"/>
          <w:spacing w:val="0"/>
          <w:kern w:val="21"/>
          <w:sz w:val="32"/>
          <w:szCs w:val="32"/>
          <w:lang w:val="en-US" w:eastAsia="zh-CN"/>
        </w:rPr>
        <w:t>28.0</w:t>
      </w:r>
      <w:r>
        <w:rPr>
          <w:rFonts w:hint="eastAsia" w:ascii="仿宋_GB2312" w:hAnsi="仿宋_GB2312" w:cs="仿宋_GB2312"/>
          <w:bCs/>
          <w:color w:val="auto"/>
          <w:spacing w:val="0"/>
          <w:kern w:val="21"/>
          <w:sz w:val="32"/>
          <w:szCs w:val="32"/>
        </w:rPr>
        <w:t>亿元、再融资债券</w:t>
      </w:r>
      <w:r>
        <w:rPr>
          <w:rFonts w:hint="eastAsia" w:ascii="仿宋_GB2312" w:hAnsi="仿宋_GB2312" w:cs="仿宋_GB2312"/>
          <w:bCs/>
          <w:color w:val="auto"/>
          <w:spacing w:val="0"/>
          <w:kern w:val="21"/>
          <w:sz w:val="32"/>
          <w:szCs w:val="32"/>
          <w:lang w:val="en-US" w:eastAsia="zh-CN"/>
        </w:rPr>
        <w:t>51.1</w:t>
      </w:r>
      <w:r>
        <w:rPr>
          <w:rFonts w:hint="eastAsia" w:ascii="仿宋_GB2312" w:hAnsi="仿宋_GB2312" w:cs="仿宋_GB2312"/>
          <w:bCs/>
          <w:color w:val="auto"/>
          <w:spacing w:val="0"/>
          <w:kern w:val="21"/>
          <w:sz w:val="32"/>
          <w:szCs w:val="32"/>
        </w:rPr>
        <w:t>亿元，主要用于棚户区改造项目建设以及偿还当年到期地方政府债</w:t>
      </w:r>
      <w:r>
        <w:rPr>
          <w:rFonts w:hint="eastAsia" w:ascii="仿宋_GB2312" w:hAnsi="仿宋_GB2312" w:cs="仿宋_GB2312"/>
          <w:bCs/>
          <w:color w:val="auto"/>
          <w:spacing w:val="0"/>
          <w:kern w:val="21"/>
          <w:sz w:val="32"/>
          <w:szCs w:val="32"/>
          <w:lang w:eastAsia="zh-CN"/>
        </w:rPr>
        <w:t>务</w:t>
      </w:r>
      <w:r>
        <w:rPr>
          <w:rFonts w:hint="eastAsia" w:ascii="仿宋_GB2312" w:hAnsi="仿宋_GB2312" w:cs="仿宋_GB2312"/>
          <w:bCs/>
          <w:color w:val="auto"/>
          <w:spacing w:val="0"/>
          <w:kern w:val="21"/>
          <w:sz w:val="32"/>
          <w:szCs w:val="32"/>
        </w:rPr>
        <w:t>本金。</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仿宋_GB2312"/>
          <w:bCs/>
          <w:color w:val="auto"/>
          <w:spacing w:val="0"/>
          <w:kern w:val="21"/>
          <w:sz w:val="32"/>
          <w:szCs w:val="32"/>
        </w:rPr>
      </w:pPr>
      <w:r>
        <w:rPr>
          <w:rFonts w:hint="eastAsia" w:ascii="仿宋_GB2312" w:hAnsi="仿宋_GB2312" w:cs="仿宋_GB2312"/>
          <w:bCs/>
          <w:color w:val="auto"/>
          <w:spacing w:val="0"/>
          <w:kern w:val="21"/>
          <w:sz w:val="32"/>
          <w:szCs w:val="32"/>
        </w:rPr>
        <w:t>3.地方政府债务还本付息情况。202</w:t>
      </w:r>
      <w:r>
        <w:rPr>
          <w:rFonts w:hint="eastAsia" w:ascii="仿宋_GB2312" w:hAnsi="仿宋_GB2312" w:cs="仿宋_GB2312"/>
          <w:bCs/>
          <w:color w:val="auto"/>
          <w:spacing w:val="0"/>
          <w:kern w:val="21"/>
          <w:sz w:val="32"/>
          <w:szCs w:val="32"/>
          <w:lang w:val="en-US" w:eastAsia="zh-CN"/>
        </w:rPr>
        <w:t>4</w:t>
      </w:r>
      <w:r>
        <w:rPr>
          <w:rFonts w:hint="eastAsia" w:ascii="仿宋_GB2312" w:hAnsi="仿宋_GB2312" w:cs="仿宋_GB2312"/>
          <w:bCs/>
          <w:color w:val="auto"/>
          <w:spacing w:val="0"/>
          <w:kern w:val="21"/>
          <w:sz w:val="32"/>
          <w:szCs w:val="32"/>
        </w:rPr>
        <w:t>年，偿还地方政府债</w:t>
      </w:r>
      <w:r>
        <w:rPr>
          <w:rFonts w:hint="eastAsia" w:ascii="仿宋_GB2312" w:hAnsi="仿宋_GB2312" w:cs="仿宋_GB2312"/>
          <w:bCs/>
          <w:color w:val="auto"/>
          <w:spacing w:val="0"/>
          <w:kern w:val="21"/>
          <w:sz w:val="32"/>
          <w:szCs w:val="32"/>
          <w:lang w:eastAsia="zh-CN"/>
        </w:rPr>
        <w:t>务</w:t>
      </w:r>
      <w:r>
        <w:rPr>
          <w:rFonts w:hint="eastAsia" w:ascii="仿宋_GB2312" w:hAnsi="仿宋_GB2312" w:cs="仿宋_GB2312"/>
          <w:bCs/>
          <w:color w:val="auto"/>
          <w:spacing w:val="0"/>
          <w:kern w:val="21"/>
          <w:sz w:val="32"/>
          <w:szCs w:val="32"/>
        </w:rPr>
        <w:t>本息</w:t>
      </w:r>
      <w:r>
        <w:rPr>
          <w:rFonts w:hint="eastAsia" w:ascii="仿宋_GB2312" w:hAnsi="仿宋_GB2312" w:cs="仿宋_GB2312"/>
          <w:bCs/>
          <w:color w:val="auto"/>
          <w:spacing w:val="0"/>
          <w:kern w:val="21"/>
          <w:sz w:val="32"/>
          <w:szCs w:val="32"/>
          <w:lang w:val="en-US" w:eastAsia="zh-CN"/>
        </w:rPr>
        <w:t>186.6</w:t>
      </w:r>
      <w:r>
        <w:rPr>
          <w:rFonts w:hint="eastAsia" w:ascii="仿宋_GB2312" w:hAnsi="仿宋_GB2312" w:cs="仿宋_GB2312"/>
          <w:bCs/>
          <w:color w:val="auto"/>
          <w:spacing w:val="0"/>
          <w:kern w:val="21"/>
          <w:sz w:val="32"/>
          <w:szCs w:val="32"/>
        </w:rPr>
        <w:t>亿元，包括偿还本金</w:t>
      </w:r>
      <w:r>
        <w:rPr>
          <w:rFonts w:hint="eastAsia" w:ascii="仿宋_GB2312" w:hAnsi="仿宋_GB2312" w:cs="仿宋_GB2312"/>
          <w:bCs/>
          <w:color w:val="auto"/>
          <w:spacing w:val="0"/>
          <w:kern w:val="21"/>
          <w:sz w:val="32"/>
          <w:szCs w:val="32"/>
          <w:lang w:val="en-US" w:eastAsia="zh-CN"/>
        </w:rPr>
        <w:t>144.9</w:t>
      </w:r>
      <w:r>
        <w:rPr>
          <w:rFonts w:hint="eastAsia" w:ascii="仿宋_GB2312" w:hAnsi="仿宋_GB2312" w:cs="仿宋_GB2312"/>
          <w:bCs/>
          <w:color w:val="auto"/>
          <w:spacing w:val="0"/>
          <w:kern w:val="21"/>
          <w:sz w:val="32"/>
          <w:szCs w:val="32"/>
        </w:rPr>
        <w:t>亿元、支付利息</w:t>
      </w:r>
      <w:r>
        <w:rPr>
          <w:rFonts w:hint="eastAsia" w:ascii="仿宋_GB2312" w:hAnsi="仿宋_GB2312" w:cs="仿宋_GB2312"/>
          <w:bCs/>
          <w:color w:val="auto"/>
          <w:spacing w:val="0"/>
          <w:kern w:val="21"/>
          <w:sz w:val="32"/>
          <w:szCs w:val="32"/>
          <w:lang w:val="en-US" w:eastAsia="zh-CN"/>
        </w:rPr>
        <w:t>41.7</w:t>
      </w:r>
      <w:r>
        <w:rPr>
          <w:rFonts w:hint="eastAsia" w:ascii="仿宋_GB2312" w:hAnsi="仿宋_GB2312" w:cs="仿宋_GB2312"/>
          <w:bCs/>
          <w:color w:val="auto"/>
          <w:spacing w:val="0"/>
          <w:kern w:val="21"/>
          <w:sz w:val="32"/>
          <w:szCs w:val="32"/>
        </w:rPr>
        <w:t>亿元。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仿宋_GB2312"/>
          <w:bCs/>
          <w:color w:val="auto"/>
          <w:spacing w:val="0"/>
          <w:kern w:val="21"/>
          <w:sz w:val="32"/>
          <w:szCs w:val="32"/>
        </w:rPr>
      </w:pPr>
      <w:r>
        <w:rPr>
          <w:rFonts w:hint="eastAsia" w:ascii="仿宋_GB2312" w:hAnsi="仿宋_GB2312" w:cs="仿宋_GB2312"/>
          <w:bCs/>
          <w:color w:val="auto"/>
          <w:spacing w:val="0"/>
          <w:kern w:val="21"/>
          <w:sz w:val="32"/>
          <w:szCs w:val="32"/>
        </w:rPr>
        <w:t>需要说明的是，上述数据是根据预算执行情况初步汇总的，在财政决算编成后，还会有所变化。</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bCs/>
          <w:color w:val="auto"/>
          <w:spacing w:val="0"/>
          <w:kern w:val="21"/>
          <w:sz w:val="32"/>
          <w:szCs w:val="32"/>
        </w:rPr>
      </w:pPr>
      <w:r>
        <w:rPr>
          <w:rFonts w:hint="eastAsia" w:ascii="楷体_GB2312" w:hAnsi="楷体_GB2312" w:eastAsia="楷体_GB2312" w:cs="楷体_GB2312"/>
          <w:bCs/>
          <w:color w:val="auto"/>
          <w:spacing w:val="0"/>
          <w:kern w:val="21"/>
          <w:sz w:val="32"/>
          <w:szCs w:val="32"/>
        </w:rPr>
        <w:t>（五）落实重点政策和区人大预算决议情况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仿宋_GB2312" w:hAnsi="仿宋_GB2312" w:cs="仿宋_GB2312"/>
          <w:bCs/>
          <w:color w:val="auto"/>
          <w:spacing w:val="0"/>
          <w:kern w:val="21"/>
          <w:sz w:val="32"/>
          <w:szCs w:val="32"/>
        </w:rPr>
      </w:pPr>
      <w:r>
        <w:rPr>
          <w:rFonts w:hint="eastAsia" w:ascii="仿宋_GB2312" w:hAnsi="仿宋_GB2312" w:cs="仿宋_GB2312"/>
          <w:bCs/>
          <w:color w:val="auto"/>
          <w:spacing w:val="0"/>
          <w:kern w:val="21"/>
          <w:sz w:val="32"/>
          <w:szCs w:val="32"/>
        </w:rPr>
        <w:t>202</w:t>
      </w:r>
      <w:r>
        <w:rPr>
          <w:rFonts w:hint="eastAsia" w:ascii="仿宋_GB2312" w:hAnsi="仿宋_GB2312" w:cs="仿宋_GB2312"/>
          <w:bCs/>
          <w:color w:val="auto"/>
          <w:spacing w:val="0"/>
          <w:kern w:val="21"/>
          <w:sz w:val="32"/>
          <w:szCs w:val="32"/>
          <w:lang w:val="en-US" w:eastAsia="zh-CN"/>
        </w:rPr>
        <w:t>4</w:t>
      </w:r>
      <w:r>
        <w:rPr>
          <w:rFonts w:hint="eastAsia" w:ascii="仿宋_GB2312" w:hAnsi="仿宋_GB2312" w:cs="仿宋_GB2312"/>
          <w:bCs/>
          <w:color w:val="auto"/>
          <w:spacing w:val="0"/>
          <w:kern w:val="21"/>
          <w:sz w:val="32"/>
          <w:szCs w:val="32"/>
        </w:rPr>
        <w:t>年，财政部门认真落实区人大预算审查意见，强化资金统筹，加快财政支出，促进经济持续恢复向好，坚持在发展中保障和改善民生，支持强化城市治理效能，进一步深化财政改革，推动各项事业蓬勃向上。</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eastAsia="仿宋_GB2312" w:cs="Times New Roman"/>
          <w:b w:val="0"/>
          <w:bCs w:val="0"/>
          <w:color w:val="auto"/>
          <w:spacing w:val="0"/>
          <w:kern w:val="21"/>
          <w:sz w:val="32"/>
          <w:szCs w:val="32"/>
          <w:lang w:eastAsia="zh-CN"/>
        </w:rPr>
      </w:pPr>
      <w:r>
        <w:rPr>
          <w:rFonts w:hint="eastAsia" w:ascii="仿宋_GB2312" w:hAnsi="仿宋_GB2312" w:cs="Times New Roman"/>
          <w:b w:val="0"/>
          <w:bCs w:val="0"/>
          <w:color w:val="auto"/>
          <w:spacing w:val="0"/>
          <w:kern w:val="21"/>
          <w:sz w:val="32"/>
          <w:szCs w:val="32"/>
          <w:lang w:val="en-US" w:eastAsia="zh-CN"/>
        </w:rPr>
        <w:t>1</w:t>
      </w:r>
      <w:r>
        <w:rPr>
          <w:rFonts w:ascii="仿宋_GB2312" w:hAnsi="仿宋_GB2312" w:cs="Times New Roman"/>
          <w:b w:val="0"/>
          <w:bCs w:val="0"/>
          <w:color w:val="auto"/>
          <w:spacing w:val="0"/>
          <w:kern w:val="21"/>
          <w:sz w:val="32"/>
          <w:szCs w:val="32"/>
        </w:rPr>
        <w:t>.</w:t>
      </w:r>
      <w:r>
        <w:rPr>
          <w:rFonts w:hint="eastAsia" w:ascii="仿宋_GB2312" w:hAnsi="仿宋_GB2312" w:cs="Times New Roman"/>
          <w:b w:val="0"/>
          <w:bCs w:val="0"/>
          <w:color w:val="auto"/>
          <w:spacing w:val="0"/>
          <w:kern w:val="21"/>
          <w:sz w:val="32"/>
          <w:szCs w:val="32"/>
          <w:lang w:eastAsia="zh-CN"/>
        </w:rPr>
        <w:t>稳预期，促发展，推动经济回升向好</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Arial" w:eastAsia="仿宋_GB2312" w:cs="仿宋_GB2312"/>
          <w:color w:val="auto"/>
          <w:spacing w:val="0"/>
          <w:kern w:val="21"/>
          <w:sz w:val="32"/>
          <w:szCs w:val="32"/>
          <w:lang w:val="en-US" w:eastAsia="zh-CN" w:bidi="ar"/>
        </w:rPr>
      </w:pPr>
      <w:r>
        <w:rPr>
          <w:rFonts w:hint="eastAsia" w:ascii="仿宋_GB2312" w:hAnsi="仿宋" w:cs="Times New Roman"/>
          <w:b/>
          <w:bCs/>
          <w:color w:val="auto"/>
          <w:spacing w:val="0"/>
          <w:kern w:val="21"/>
          <w:sz w:val="32"/>
          <w:szCs w:val="32"/>
          <w:shd w:val="clear" w:color="auto" w:fill="auto"/>
          <w:lang w:eastAsia="zh-CN"/>
        </w:rPr>
        <w:t>打好政策“组合拳”，持续为市场主体减负增能。</w:t>
      </w:r>
      <w:r>
        <w:rPr>
          <w:rFonts w:hint="eastAsia" w:ascii="仿宋_GB2312" w:hAnsi="仿宋" w:cs="Times New Roman"/>
          <w:color w:val="auto"/>
          <w:spacing w:val="0"/>
          <w:kern w:val="21"/>
          <w:sz w:val="32"/>
          <w:szCs w:val="32"/>
          <w:shd w:val="clear" w:color="auto" w:fill="auto"/>
          <w:lang w:eastAsia="zh-CN"/>
        </w:rPr>
        <w:t>按照中央、北京市统一部署，延续实施</w:t>
      </w:r>
      <w:r>
        <w:rPr>
          <w:rFonts w:hint="eastAsia" w:ascii="仿宋_GB2312" w:hAnsi="仿宋_GB2312" w:eastAsia="仿宋_GB2312" w:cs="仿宋_GB2312"/>
          <w:b w:val="0"/>
          <w:bCs w:val="0"/>
          <w:color w:val="auto"/>
          <w:spacing w:val="0"/>
          <w:kern w:val="21"/>
          <w:sz w:val="32"/>
          <w:szCs w:val="32"/>
        </w:rPr>
        <w:t>小规模纳税人减半征收“六税两费”等减税降费政策</w:t>
      </w:r>
      <w:r>
        <w:rPr>
          <w:rFonts w:hint="eastAsia" w:ascii="仿宋_GB2312" w:hAnsi="仿宋_GB2312" w:cs="仿宋_GB2312"/>
          <w:b w:val="0"/>
          <w:bCs w:val="0"/>
          <w:color w:val="auto"/>
          <w:spacing w:val="0"/>
          <w:kern w:val="21"/>
          <w:sz w:val="32"/>
          <w:szCs w:val="32"/>
          <w:lang w:eastAsia="zh-CN"/>
        </w:rPr>
        <w:t>，为市场主体“供氧输血”，</w:t>
      </w:r>
      <w:r>
        <w:rPr>
          <w:rFonts w:hint="eastAsia" w:ascii="仿宋_GB2312" w:hAnsi="仿宋_GB2312" w:eastAsia="仿宋_GB2312" w:cs="仿宋_GB2312"/>
          <w:b w:val="0"/>
          <w:bCs w:val="0"/>
          <w:color w:val="auto"/>
          <w:spacing w:val="0"/>
          <w:kern w:val="21"/>
          <w:sz w:val="32"/>
          <w:szCs w:val="32"/>
          <w:lang w:eastAsia="zh-CN"/>
        </w:rPr>
        <w:t>促进“水深鱼归”</w:t>
      </w:r>
      <w:r>
        <w:rPr>
          <w:rFonts w:hint="eastAsia" w:ascii="仿宋_GB2312" w:hAnsi="仿宋_GB2312" w:cs="仿宋_GB2312"/>
          <w:b w:val="0"/>
          <w:bCs w:val="0"/>
          <w:color w:val="auto"/>
          <w:spacing w:val="0"/>
          <w:kern w:val="21"/>
          <w:sz w:val="32"/>
          <w:szCs w:val="32"/>
          <w:lang w:eastAsia="zh-CN"/>
        </w:rPr>
        <w:t>，</w:t>
      </w:r>
      <w:r>
        <w:rPr>
          <w:rFonts w:hint="eastAsia" w:ascii="仿宋_GB2312" w:hAnsi="仿宋_GB2312" w:cs="仿宋_GB2312"/>
          <w:b w:val="0"/>
          <w:bCs w:val="0"/>
          <w:color w:val="auto"/>
          <w:spacing w:val="0"/>
          <w:kern w:val="21"/>
          <w:sz w:val="32"/>
          <w:szCs w:val="32"/>
          <w:highlight w:val="none"/>
          <w:shd w:val="clear" w:color="auto" w:fill="auto"/>
          <w:lang w:val="en-US" w:eastAsia="zh-CN"/>
        </w:rPr>
        <w:t>2024年</w:t>
      </w:r>
      <w:r>
        <w:rPr>
          <w:rFonts w:hint="eastAsia" w:ascii="仿宋_GB2312" w:hAnsi="仿宋_GB2312" w:cs="Times New Roman"/>
          <w:color w:val="auto"/>
          <w:spacing w:val="0"/>
          <w:kern w:val="21"/>
          <w:sz w:val="32"/>
          <w:szCs w:val="32"/>
          <w:highlight w:val="none"/>
          <w:shd w:val="clear" w:color="auto" w:fill="auto"/>
        </w:rPr>
        <w:t>全年免减退缓税费</w:t>
      </w:r>
      <w:r>
        <w:rPr>
          <w:rFonts w:hint="eastAsia" w:ascii="仿宋_GB2312" w:hAnsi="仿宋_GB2312" w:cs="Times New Roman"/>
          <w:color w:val="auto"/>
          <w:spacing w:val="0"/>
          <w:kern w:val="21"/>
          <w:sz w:val="32"/>
          <w:szCs w:val="32"/>
          <w:highlight w:val="none"/>
          <w:shd w:val="clear" w:color="auto" w:fill="auto"/>
          <w:lang w:eastAsia="zh-CN"/>
        </w:rPr>
        <w:t>近</w:t>
      </w:r>
      <w:r>
        <w:rPr>
          <w:rFonts w:hint="eastAsia" w:ascii="仿宋_GB2312" w:hAnsi="仿宋_GB2312" w:cs="仿宋_GB2312"/>
          <w:b w:val="0"/>
          <w:bCs w:val="0"/>
          <w:color w:val="auto"/>
          <w:spacing w:val="0"/>
          <w:kern w:val="21"/>
          <w:sz w:val="32"/>
          <w:szCs w:val="32"/>
          <w:highlight w:val="none"/>
          <w:shd w:val="clear" w:color="auto" w:fill="auto"/>
          <w:lang w:val="en-US" w:eastAsia="zh-CN"/>
        </w:rPr>
        <w:t>50亿元</w:t>
      </w:r>
      <w:r>
        <w:rPr>
          <w:rFonts w:hint="eastAsia" w:ascii="仿宋_GB2312" w:hAnsi="仿宋_GB2312" w:cs="仿宋_GB2312"/>
          <w:b w:val="0"/>
          <w:bCs w:val="0"/>
          <w:color w:val="auto"/>
          <w:spacing w:val="0"/>
          <w:kern w:val="21"/>
          <w:sz w:val="32"/>
          <w:szCs w:val="32"/>
          <w:lang w:eastAsia="zh-CN"/>
        </w:rPr>
        <w:t>。支持政府性融资担保提质增量，</w:t>
      </w:r>
      <w:r>
        <w:rPr>
          <w:rFonts w:hint="eastAsia" w:ascii="仿宋_GB2312" w:hAnsi="仿宋_GB2312" w:cs="仿宋_GB2312"/>
          <w:b w:val="0"/>
          <w:bCs w:val="0"/>
          <w:color w:val="auto"/>
          <w:spacing w:val="0"/>
          <w:kern w:val="21"/>
          <w:sz w:val="32"/>
          <w:szCs w:val="32"/>
          <w:lang w:val="en-US" w:eastAsia="zh-CN"/>
        </w:rPr>
        <w:t>全年新增融资担保总规模超30亿元，</w:t>
      </w:r>
      <w:r>
        <w:rPr>
          <w:rFonts w:hint="eastAsia" w:ascii="仿宋_GB2312" w:hAnsi="仿宋_GB2312" w:cs="仿宋_GB2312"/>
          <w:b w:val="0"/>
          <w:bCs w:val="0"/>
          <w:color w:val="auto"/>
          <w:spacing w:val="0"/>
          <w:kern w:val="21"/>
          <w:sz w:val="32"/>
          <w:szCs w:val="32"/>
          <w:lang w:eastAsia="zh-CN"/>
        </w:rPr>
        <w:t>引导区属担保公司将小微企业担保费率降至</w:t>
      </w:r>
      <w:r>
        <w:rPr>
          <w:rFonts w:hint="eastAsia" w:ascii="仿宋_GB2312" w:hAnsi="仿宋_GB2312" w:cs="仿宋_GB2312"/>
          <w:b w:val="0"/>
          <w:bCs w:val="0"/>
          <w:color w:val="auto"/>
          <w:spacing w:val="0"/>
          <w:kern w:val="21"/>
          <w:sz w:val="32"/>
          <w:szCs w:val="32"/>
          <w:lang w:val="en-US" w:eastAsia="zh-CN"/>
        </w:rPr>
        <w:t>1%及以下，切实缓解企业“融资难”、“融资贵”问题。</w:t>
      </w:r>
      <w:r>
        <w:rPr>
          <w:rFonts w:hint="eastAsia" w:ascii="仿宋_GB2312" w:hAnsi="仿宋_GB2312" w:cs="仿宋_GB2312"/>
          <w:b w:val="0"/>
          <w:bCs w:val="0"/>
          <w:color w:val="auto"/>
          <w:spacing w:val="0"/>
          <w:kern w:val="21"/>
          <w:sz w:val="32"/>
          <w:szCs w:val="32"/>
          <w:lang w:eastAsia="zh-CN"/>
        </w:rPr>
        <w:t>充分</w:t>
      </w:r>
      <w:r>
        <w:rPr>
          <w:rFonts w:hint="eastAsia" w:ascii="仿宋_GB2312" w:hAnsi="仿宋_GB2312" w:eastAsia="仿宋_GB2312" w:cs="仿宋_GB2312"/>
          <w:b w:val="0"/>
          <w:bCs w:val="0"/>
          <w:color w:val="auto"/>
          <w:spacing w:val="0"/>
          <w:kern w:val="21"/>
          <w:sz w:val="32"/>
          <w:szCs w:val="32"/>
          <w:lang w:val="en-US" w:eastAsia="zh-CN" w:bidi="ar-SA"/>
        </w:rPr>
        <w:t>发挥</w:t>
      </w:r>
      <w:r>
        <w:rPr>
          <w:rFonts w:hint="eastAsia" w:ascii="仿宋_GB2312" w:hAnsi="仿宋_GB2312" w:cs="仿宋_GB2312"/>
          <w:b w:val="0"/>
          <w:bCs w:val="0"/>
          <w:color w:val="auto"/>
          <w:spacing w:val="0"/>
          <w:kern w:val="21"/>
          <w:sz w:val="32"/>
          <w:szCs w:val="32"/>
          <w:lang w:val="en-US" w:eastAsia="zh-CN" w:bidi="ar-SA"/>
        </w:rPr>
        <w:t>政府</w:t>
      </w:r>
      <w:r>
        <w:rPr>
          <w:rFonts w:hint="eastAsia" w:ascii="仿宋_GB2312" w:hAnsi="仿宋_GB2312" w:eastAsia="仿宋_GB2312" w:cs="仿宋_GB2312"/>
          <w:b w:val="0"/>
          <w:bCs w:val="0"/>
          <w:color w:val="auto"/>
          <w:spacing w:val="0"/>
          <w:kern w:val="21"/>
          <w:sz w:val="32"/>
          <w:szCs w:val="32"/>
          <w:lang w:val="en-US" w:eastAsia="zh-CN" w:bidi="ar-SA"/>
        </w:rPr>
        <w:t>采购政策功能，足额保障中小企业供应商预留份额，</w:t>
      </w:r>
      <w:r>
        <w:rPr>
          <w:rFonts w:hint="eastAsia" w:ascii="仿宋_GB2312" w:hAnsi="仿宋_GB2312" w:cs="仿宋_GB2312"/>
          <w:b w:val="0"/>
          <w:bCs w:val="0"/>
          <w:color w:val="auto"/>
          <w:spacing w:val="0"/>
          <w:kern w:val="21"/>
          <w:sz w:val="32"/>
          <w:szCs w:val="32"/>
          <w:lang w:val="en-US" w:eastAsia="zh-CN" w:bidi="ar-SA"/>
        </w:rPr>
        <w:t>推进政府采购全流程电子化建设</w:t>
      </w:r>
      <w:r>
        <w:rPr>
          <w:rFonts w:hint="eastAsia" w:ascii="仿宋_GB2312" w:hAnsi="Arial" w:cs="仿宋_GB2312"/>
          <w:color w:val="auto"/>
          <w:spacing w:val="0"/>
          <w:kern w:val="21"/>
          <w:sz w:val="32"/>
          <w:szCs w:val="32"/>
          <w:lang w:val="en-US" w:eastAsia="zh-CN" w:bidi="ar"/>
        </w:rPr>
        <w:t>，打造公平营商环境</w:t>
      </w:r>
      <w:r>
        <w:rPr>
          <w:rFonts w:hint="eastAsia" w:ascii="仿宋_GB2312" w:hAnsi="仿宋_GB2312" w:eastAsia="仿宋_GB2312" w:cs="仿宋_GB2312"/>
          <w:color w:val="auto"/>
          <w:spacing w:val="0"/>
          <w:kern w:val="21"/>
          <w:sz w:val="32"/>
          <w:szCs w:val="32"/>
          <w:lang w:val="en-US" w:eastAsia="zh-CN"/>
        </w:rPr>
        <w:t>，累计授予中小微企业合同金额19.</w:t>
      </w:r>
      <w:r>
        <w:rPr>
          <w:rFonts w:hint="eastAsia" w:ascii="仿宋_GB2312" w:hAnsi="仿宋_GB2312" w:cs="仿宋_GB2312"/>
          <w:color w:val="auto"/>
          <w:spacing w:val="0"/>
          <w:kern w:val="21"/>
          <w:sz w:val="32"/>
          <w:szCs w:val="32"/>
          <w:lang w:val="en-US" w:eastAsia="zh-CN"/>
        </w:rPr>
        <w:t>8</w:t>
      </w:r>
      <w:r>
        <w:rPr>
          <w:rFonts w:hint="eastAsia" w:ascii="仿宋_GB2312" w:hAnsi="仿宋_GB2312" w:eastAsia="仿宋_GB2312" w:cs="仿宋_GB2312"/>
          <w:color w:val="auto"/>
          <w:spacing w:val="0"/>
          <w:kern w:val="21"/>
          <w:sz w:val="32"/>
          <w:szCs w:val="32"/>
          <w:lang w:val="en-US" w:eastAsia="zh-CN"/>
        </w:rPr>
        <w:t>亿元，占全区合同总金额的75.</w:t>
      </w:r>
      <w:r>
        <w:rPr>
          <w:rFonts w:hint="eastAsia" w:ascii="仿宋_GB2312" w:hAnsi="仿宋_GB2312" w:cs="仿宋_GB2312"/>
          <w:color w:val="auto"/>
          <w:spacing w:val="0"/>
          <w:kern w:val="21"/>
          <w:sz w:val="32"/>
          <w:szCs w:val="32"/>
          <w:lang w:val="en-US" w:eastAsia="zh-CN"/>
        </w:rPr>
        <w:t>4</w:t>
      </w:r>
      <w:r>
        <w:rPr>
          <w:rFonts w:hint="eastAsia" w:ascii="仿宋_GB2312" w:hAnsi="仿宋_GB2312" w:eastAsia="仿宋_GB2312" w:cs="仿宋_GB2312"/>
          <w:color w:val="auto"/>
          <w:spacing w:val="0"/>
          <w:kern w:val="21"/>
          <w:sz w:val="32"/>
          <w:szCs w:val="32"/>
          <w:lang w:val="en-US" w:eastAsia="zh-CN"/>
        </w:rPr>
        <w:t>%，超市级考核指标35.</w:t>
      </w:r>
      <w:r>
        <w:rPr>
          <w:rFonts w:hint="eastAsia" w:ascii="仿宋_GB2312" w:hAnsi="仿宋_GB2312" w:cs="仿宋_GB2312"/>
          <w:color w:val="auto"/>
          <w:spacing w:val="0"/>
          <w:kern w:val="21"/>
          <w:sz w:val="32"/>
          <w:szCs w:val="32"/>
          <w:lang w:val="en-US" w:eastAsia="zh-CN"/>
        </w:rPr>
        <w:t>4</w:t>
      </w:r>
      <w:r>
        <w:rPr>
          <w:rFonts w:hint="eastAsia" w:ascii="仿宋_GB2312" w:hAnsi="仿宋_GB2312" w:eastAsia="仿宋_GB2312" w:cs="仿宋_GB2312"/>
          <w:color w:val="auto"/>
          <w:spacing w:val="0"/>
          <w:kern w:val="21"/>
          <w:sz w:val="32"/>
          <w:szCs w:val="32"/>
          <w:lang w:val="en-US" w:eastAsia="zh-CN"/>
        </w:rPr>
        <w:t>个百分点</w:t>
      </w:r>
      <w:r>
        <w:rPr>
          <w:rFonts w:hint="eastAsia" w:ascii="仿宋_GB2312" w:hAnsi="Arial" w:eastAsia="仿宋_GB2312" w:cs="仿宋_GB2312"/>
          <w:color w:val="auto"/>
          <w:spacing w:val="0"/>
          <w:kern w:val="21"/>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3" w:firstLineChars="200"/>
        <w:jc w:val="left"/>
        <w:rPr>
          <w:rFonts w:hint="eastAsia" w:hAnsi="仿宋_GB2312" w:cs="仿宋_GB2312"/>
          <w:color w:val="auto"/>
          <w:spacing w:val="0"/>
          <w:kern w:val="21"/>
          <w:sz w:val="32"/>
          <w:szCs w:val="32"/>
          <w:lang w:val="en-US" w:eastAsia="zh-CN" w:bidi="ar"/>
        </w:rPr>
      </w:pPr>
      <w:r>
        <w:rPr>
          <w:rFonts w:hint="eastAsia" w:ascii="仿宋_GB2312" w:hAnsi="Arial" w:cs="仿宋_GB2312"/>
          <w:b/>
          <w:bCs/>
          <w:color w:val="auto"/>
          <w:spacing w:val="0"/>
          <w:kern w:val="21"/>
          <w:sz w:val="32"/>
          <w:szCs w:val="32"/>
          <w:lang w:val="en-US" w:eastAsia="zh-CN" w:bidi="ar"/>
        </w:rPr>
        <w:t>抢抓政策机遇，持续释放</w:t>
      </w:r>
      <w:r>
        <w:rPr>
          <w:rFonts w:hint="eastAsia" w:ascii="仿宋_GB2312" w:hAnsi="仿宋" w:cs="Times New Roman"/>
          <w:b/>
          <w:bCs/>
          <w:color w:val="auto"/>
          <w:spacing w:val="0"/>
          <w:kern w:val="21"/>
          <w:sz w:val="32"/>
          <w:szCs w:val="32"/>
          <w:shd w:val="clear" w:color="auto" w:fill="auto"/>
          <w:lang w:eastAsia="zh-CN"/>
        </w:rPr>
        <w:t>积极财政政策效能。</w:t>
      </w:r>
      <w:r>
        <w:rPr>
          <w:rFonts w:hint="eastAsia" w:ascii="仿宋_GB2312" w:hAnsi="仿宋" w:cs="Times New Roman"/>
          <w:color w:val="auto"/>
          <w:spacing w:val="0"/>
          <w:kern w:val="21"/>
          <w:sz w:val="32"/>
          <w:szCs w:val="32"/>
          <w:shd w:val="clear" w:color="auto" w:fill="auto"/>
          <w:lang w:eastAsia="zh-CN"/>
        </w:rPr>
        <w:t>围绕国家鼓励和扶持的重点领域，会同有关部门积极谋划项目，</w:t>
      </w:r>
      <w:r>
        <w:rPr>
          <w:rFonts w:hint="eastAsia" w:ascii="仿宋_GB2312" w:hAnsi="仿宋_GB2312" w:eastAsia="仿宋_GB2312" w:cs="仿宋_GB2312"/>
          <w:b w:val="0"/>
          <w:bCs w:val="0"/>
          <w:color w:val="auto"/>
          <w:spacing w:val="0"/>
          <w:kern w:val="21"/>
          <w:sz w:val="32"/>
          <w:szCs w:val="32"/>
          <w:lang w:val="en-US" w:eastAsia="zh-CN"/>
        </w:rPr>
        <w:t>向上争取</w:t>
      </w:r>
      <w:r>
        <w:rPr>
          <w:rFonts w:hint="eastAsia" w:ascii="仿宋_GB2312" w:hAnsi="仿宋_GB2312" w:cs="仿宋_GB2312"/>
          <w:b w:val="0"/>
          <w:bCs w:val="0"/>
          <w:color w:val="auto"/>
          <w:spacing w:val="0"/>
          <w:kern w:val="21"/>
          <w:sz w:val="32"/>
          <w:szCs w:val="32"/>
          <w:lang w:val="en-US" w:eastAsia="zh-CN"/>
        </w:rPr>
        <w:t>转移支付</w:t>
      </w:r>
      <w:r>
        <w:rPr>
          <w:rFonts w:hint="eastAsia" w:ascii="仿宋_GB2312" w:hAnsi="仿宋_GB2312" w:eastAsia="仿宋_GB2312" w:cs="仿宋_GB2312"/>
          <w:b w:val="0"/>
          <w:bCs w:val="0"/>
          <w:color w:val="auto"/>
          <w:spacing w:val="0"/>
          <w:kern w:val="21"/>
          <w:sz w:val="32"/>
          <w:szCs w:val="32"/>
          <w:lang w:val="en-US" w:eastAsia="zh-CN"/>
        </w:rPr>
        <w:t>资金</w:t>
      </w:r>
      <w:r>
        <w:rPr>
          <w:rFonts w:hint="eastAsia" w:ascii="仿宋_GB2312" w:hAnsi="仿宋_GB2312" w:cs="仿宋_GB2312"/>
          <w:b w:val="0"/>
          <w:bCs w:val="0"/>
          <w:color w:val="auto"/>
          <w:spacing w:val="0"/>
          <w:kern w:val="21"/>
          <w:sz w:val="32"/>
          <w:szCs w:val="32"/>
          <w:lang w:val="en-US" w:eastAsia="zh-CN"/>
        </w:rPr>
        <w:t>支持，获得增发国债7.2亿元、超长期国债资金12.3亿元，</w:t>
      </w:r>
      <w:r>
        <w:rPr>
          <w:rFonts w:hint="eastAsia" w:ascii="仿宋_GB2312" w:hAnsi="仿宋_GB2312" w:eastAsia="仿宋_GB2312" w:cs="仿宋_GB2312"/>
          <w:color w:val="auto"/>
          <w:spacing w:val="0"/>
          <w:kern w:val="21"/>
          <w:sz w:val="32"/>
          <w:szCs w:val="32"/>
          <w:lang w:val="en-US" w:eastAsia="zh-CN" w:bidi="ar"/>
        </w:rPr>
        <w:t>专项用于</w:t>
      </w:r>
      <w:r>
        <w:rPr>
          <w:rFonts w:hint="eastAsia" w:ascii="仿宋_GB2312" w:hAnsi="仿宋_GB2312" w:eastAsia="仿宋_GB2312" w:cs="仿宋_GB2312"/>
          <w:color w:val="auto"/>
          <w:spacing w:val="0"/>
          <w:kern w:val="21"/>
          <w:sz w:val="32"/>
          <w:szCs w:val="32"/>
          <w:lang w:eastAsia="zh-CN"/>
        </w:rPr>
        <w:t>灾后恢复重建</w:t>
      </w:r>
      <w:r>
        <w:rPr>
          <w:rFonts w:hint="eastAsia" w:ascii="仿宋_GB2312" w:hAnsi="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eastAsia="zh-CN"/>
        </w:rPr>
        <w:t>提升防灾减灾救灾能力</w:t>
      </w:r>
      <w:r>
        <w:rPr>
          <w:rFonts w:hint="eastAsia" w:ascii="仿宋_GB2312" w:hAnsi="仿宋_GB2312" w:cs="仿宋_GB2312"/>
          <w:color w:val="auto"/>
          <w:spacing w:val="0"/>
          <w:kern w:val="21"/>
          <w:sz w:val="32"/>
          <w:szCs w:val="32"/>
          <w:lang w:eastAsia="zh-CN"/>
        </w:rPr>
        <w:t>，以及“两重”建设和“两新”建设领域</w:t>
      </w:r>
      <w:r>
        <w:rPr>
          <w:rFonts w:hint="eastAsia" w:ascii="仿宋_GB2312" w:hAnsi="仿宋_GB2312" w:cs="仿宋_GB2312"/>
          <w:color w:val="auto"/>
          <w:spacing w:val="0"/>
          <w:kern w:val="21"/>
          <w:sz w:val="32"/>
          <w:szCs w:val="32"/>
          <w:lang w:val="en-US" w:eastAsia="zh-CN" w:bidi="ar"/>
        </w:rPr>
        <w:t>；获得</w:t>
      </w:r>
      <w:r>
        <w:rPr>
          <w:rFonts w:hint="eastAsia" w:ascii="仿宋_GB2312" w:hAnsi="仿宋_GB2312" w:eastAsia="仿宋_GB2312" w:cs="仿宋_GB2312"/>
          <w:color w:val="auto"/>
          <w:spacing w:val="0"/>
          <w:kern w:val="21"/>
          <w:sz w:val="32"/>
          <w:szCs w:val="32"/>
          <w:lang w:val="en-US" w:eastAsia="zh-CN" w:bidi="ar"/>
        </w:rPr>
        <w:t>中央直达资金9.</w:t>
      </w:r>
      <w:r>
        <w:rPr>
          <w:rFonts w:hint="eastAsia" w:ascii="仿宋_GB2312" w:hAnsi="仿宋_GB2312" w:cs="仿宋_GB2312"/>
          <w:color w:val="auto"/>
          <w:spacing w:val="0"/>
          <w:kern w:val="21"/>
          <w:sz w:val="32"/>
          <w:szCs w:val="32"/>
          <w:lang w:val="en-US" w:eastAsia="zh-CN" w:bidi="ar"/>
        </w:rPr>
        <w:t>9</w:t>
      </w:r>
      <w:r>
        <w:rPr>
          <w:rFonts w:hint="eastAsia" w:ascii="仿宋_GB2312" w:hAnsi="仿宋_GB2312" w:eastAsia="仿宋_GB2312" w:cs="仿宋_GB2312"/>
          <w:color w:val="auto"/>
          <w:spacing w:val="0"/>
          <w:kern w:val="21"/>
          <w:sz w:val="32"/>
          <w:szCs w:val="32"/>
          <w:lang w:val="en-US" w:eastAsia="zh-CN" w:bidi="ar"/>
        </w:rPr>
        <w:t>亿元</w:t>
      </w:r>
      <w:r>
        <w:rPr>
          <w:rFonts w:hint="eastAsia" w:ascii="仿宋_GB2312" w:hAnsi="仿宋_GB2312" w:cs="仿宋_GB2312"/>
          <w:color w:val="auto"/>
          <w:spacing w:val="0"/>
          <w:kern w:val="21"/>
          <w:sz w:val="32"/>
          <w:szCs w:val="32"/>
          <w:lang w:val="en-US" w:eastAsia="zh-CN" w:bidi="ar"/>
        </w:rPr>
        <w:t>，用于教育、医疗、社保等重点民生领域。</w:t>
      </w:r>
      <w:r>
        <w:rPr>
          <w:rFonts w:hint="eastAsia" w:ascii="仿宋_GB2312" w:hAnsi="仿宋_GB2312" w:eastAsia="仿宋_GB2312"/>
          <w:b w:val="0"/>
          <w:bCs w:val="0"/>
          <w:color w:val="auto"/>
          <w:spacing w:val="0"/>
          <w:kern w:val="21"/>
          <w:sz w:val="32"/>
          <w:szCs w:val="32"/>
          <w:highlight w:val="none"/>
        </w:rPr>
        <w:t>落实基本建设资金</w:t>
      </w:r>
      <w:r>
        <w:rPr>
          <w:rFonts w:hint="eastAsia" w:ascii="仿宋_GB2312" w:hAnsi="仿宋_GB2312"/>
          <w:b w:val="0"/>
          <w:bCs w:val="0"/>
          <w:color w:val="auto"/>
          <w:spacing w:val="0"/>
          <w:kern w:val="21"/>
          <w:sz w:val="32"/>
          <w:szCs w:val="32"/>
          <w:highlight w:val="none"/>
          <w:lang w:val="en-US" w:eastAsia="zh-CN"/>
        </w:rPr>
        <w:t>34.6</w:t>
      </w:r>
      <w:r>
        <w:rPr>
          <w:rFonts w:hint="eastAsia" w:ascii="仿宋_GB2312" w:hAnsi="仿宋_GB2312" w:eastAsia="仿宋_GB2312"/>
          <w:b w:val="0"/>
          <w:bCs w:val="0"/>
          <w:color w:val="auto"/>
          <w:spacing w:val="0"/>
          <w:kern w:val="21"/>
          <w:sz w:val="32"/>
          <w:szCs w:val="32"/>
          <w:highlight w:val="none"/>
        </w:rPr>
        <w:t>亿元</w:t>
      </w:r>
      <w:r>
        <w:rPr>
          <w:rFonts w:hint="eastAsia" w:ascii="仿宋_GB2312" w:hAnsi="仿宋_GB2312" w:eastAsia="仿宋_GB2312"/>
          <w:b w:val="0"/>
          <w:bCs w:val="0"/>
          <w:color w:val="auto"/>
          <w:spacing w:val="0"/>
          <w:kern w:val="21"/>
          <w:sz w:val="32"/>
          <w:szCs w:val="32"/>
        </w:rPr>
        <w:t>，</w:t>
      </w:r>
      <w:r>
        <w:rPr>
          <w:rFonts w:hint="eastAsia" w:ascii="仿宋_GB2312" w:hAnsi="仿宋_GB2312" w:eastAsia="仿宋_GB2312"/>
          <w:b w:val="0"/>
          <w:bCs w:val="0"/>
          <w:color w:val="auto"/>
          <w:spacing w:val="0"/>
          <w:kern w:val="21"/>
          <w:sz w:val="32"/>
          <w:szCs w:val="32"/>
          <w:lang w:eastAsia="zh-CN"/>
        </w:rPr>
        <w:t>有力</w:t>
      </w:r>
      <w:r>
        <w:rPr>
          <w:rFonts w:hint="eastAsia" w:ascii="仿宋_GB2312" w:hAnsi="仿宋_GB2312" w:eastAsia="仿宋_GB2312"/>
          <w:color w:val="auto"/>
          <w:spacing w:val="0"/>
          <w:kern w:val="21"/>
          <w:sz w:val="32"/>
          <w:szCs w:val="32"/>
          <w:lang w:eastAsia="zh-CN"/>
        </w:rPr>
        <w:t>保障</w:t>
      </w:r>
      <w:r>
        <w:rPr>
          <w:rFonts w:hint="eastAsia" w:ascii="仿宋_GB2312" w:hAnsi="仿宋_GB2312" w:eastAsia="仿宋_GB2312"/>
          <w:color w:val="auto"/>
          <w:spacing w:val="0"/>
          <w:kern w:val="21"/>
          <w:sz w:val="32"/>
          <w:szCs w:val="32"/>
        </w:rPr>
        <w:t>地铁1号线支线建设</w:t>
      </w:r>
      <w:r>
        <w:rPr>
          <w:rFonts w:hint="eastAsia" w:ascii="仿宋_GB2312" w:hAnsi="仿宋_GB2312" w:eastAsia="仿宋_GB2312"/>
          <w:color w:val="auto"/>
          <w:spacing w:val="0"/>
          <w:kern w:val="21"/>
          <w:sz w:val="32"/>
          <w:szCs w:val="32"/>
          <w:lang w:eastAsia="zh-CN"/>
        </w:rPr>
        <w:t>、</w:t>
      </w:r>
      <w:r>
        <w:rPr>
          <w:rFonts w:hint="eastAsia" w:ascii="仿宋_GB2312" w:hAnsi="仿宋_GB2312" w:eastAsia="仿宋_GB2312"/>
          <w:color w:val="auto"/>
          <w:spacing w:val="0"/>
          <w:kern w:val="21"/>
          <w:sz w:val="32"/>
          <w:szCs w:val="32"/>
        </w:rPr>
        <w:t>中西医结合医院二期工程</w:t>
      </w:r>
      <w:r>
        <w:rPr>
          <w:rFonts w:hint="eastAsia" w:ascii="仿宋_GB2312" w:hAnsi="仿宋_GB2312"/>
          <w:color w:val="auto"/>
          <w:spacing w:val="0"/>
          <w:kern w:val="21"/>
          <w:sz w:val="32"/>
          <w:szCs w:val="32"/>
          <w:lang w:eastAsia="zh-CN"/>
        </w:rPr>
        <w:t>建设</w:t>
      </w:r>
      <w:r>
        <w:rPr>
          <w:rFonts w:hint="eastAsia" w:ascii="仿宋_GB2312" w:hAnsi="仿宋_GB2312" w:eastAsia="仿宋_GB2312"/>
          <w:color w:val="auto"/>
          <w:spacing w:val="0"/>
          <w:kern w:val="21"/>
          <w:sz w:val="32"/>
          <w:szCs w:val="32"/>
          <w:lang w:eastAsia="zh-CN"/>
        </w:rPr>
        <w:t>等重点项目</w:t>
      </w:r>
      <w:r>
        <w:rPr>
          <w:rFonts w:hint="eastAsia" w:ascii="仿宋_GB2312" w:hAnsi="仿宋_GB2312"/>
          <w:color w:val="auto"/>
          <w:spacing w:val="0"/>
          <w:kern w:val="21"/>
          <w:sz w:val="32"/>
          <w:szCs w:val="32"/>
          <w:lang w:eastAsia="zh-CN"/>
        </w:rPr>
        <w:t>，以政府投资计划为抓手，稳定投资基本盘。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hAnsi="Arial" w:eastAsia="仿宋_GB2312" w:cs="仿宋_GB2312"/>
          <w:b w:val="0"/>
          <w:bCs w:val="0"/>
          <w:color w:val="auto"/>
          <w:spacing w:val="0"/>
          <w:kern w:val="21"/>
          <w:sz w:val="32"/>
          <w:szCs w:val="32"/>
          <w:lang w:val="en-US" w:eastAsia="zh-CN" w:bidi="ar"/>
        </w:rPr>
      </w:pPr>
      <w:r>
        <w:rPr>
          <w:rFonts w:hint="eastAsia" w:ascii="仿宋_GB2312" w:hAnsi="Arial" w:cs="仿宋_GB2312"/>
          <w:b w:val="0"/>
          <w:bCs w:val="0"/>
          <w:color w:val="auto"/>
          <w:spacing w:val="0"/>
          <w:kern w:val="21"/>
          <w:sz w:val="32"/>
          <w:szCs w:val="32"/>
          <w:lang w:val="en-US" w:eastAsia="zh-CN" w:bidi="ar"/>
        </w:rPr>
        <w:t>2.抓创新，聚合力，发展动能不断增强</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cs="仿宋_GB2312"/>
          <w:color w:val="auto"/>
          <w:spacing w:val="0"/>
          <w:kern w:val="21"/>
          <w:sz w:val="32"/>
          <w:szCs w:val="32"/>
          <w:lang w:val="en-US" w:eastAsia="zh-CN"/>
        </w:rPr>
      </w:pPr>
      <w:r>
        <w:rPr>
          <w:rFonts w:hint="eastAsia" w:ascii="仿宋_GB2312" w:hAnsi="仿宋_GB2312" w:cs="Times New Roman"/>
          <w:b/>
          <w:bCs/>
          <w:color w:val="auto"/>
          <w:spacing w:val="0"/>
          <w:kern w:val="21"/>
          <w:sz w:val="32"/>
          <w:szCs w:val="32"/>
          <w:lang w:eastAsia="zh-CN"/>
        </w:rPr>
        <w:t>提升财源建设水平，</w:t>
      </w:r>
      <w:r>
        <w:rPr>
          <w:rFonts w:hint="eastAsia" w:ascii="仿宋_GB2312" w:hAnsi="仿宋_GB2312" w:cs="Times New Roman"/>
          <w:b/>
          <w:bCs/>
          <w:color w:val="auto"/>
          <w:spacing w:val="0"/>
          <w:kern w:val="21"/>
          <w:sz w:val="32"/>
          <w:szCs w:val="32"/>
        </w:rPr>
        <w:t>促进激发经济内生动力。</w:t>
      </w:r>
      <w:r>
        <w:rPr>
          <w:rFonts w:hint="eastAsia" w:ascii="仿宋_GB2312" w:hAnsi="仿宋_GB2312" w:cs="Times New Roman"/>
          <w:color w:val="auto"/>
          <w:spacing w:val="0"/>
          <w:kern w:val="21"/>
          <w:sz w:val="32"/>
          <w:szCs w:val="32"/>
          <w:lang w:eastAsia="zh-CN"/>
        </w:rPr>
        <w:t>依托“服务包”机制，</w:t>
      </w:r>
      <w:r>
        <w:rPr>
          <w:rFonts w:hint="eastAsia" w:ascii="仿宋_GB2312" w:hAnsi="仿宋_GB2312" w:cs="仿宋_GB2312"/>
          <w:color w:val="auto"/>
          <w:spacing w:val="0"/>
          <w:kern w:val="21"/>
          <w:sz w:val="32"/>
          <w:szCs w:val="32"/>
          <w:lang w:val="en-US" w:eastAsia="zh-CN"/>
        </w:rPr>
        <w:t>联合各行业主管部门及属地，</w:t>
      </w:r>
      <w:r>
        <w:rPr>
          <w:rFonts w:hint="eastAsia" w:ascii="仿宋_GB2312" w:hAnsi="仿宋" w:eastAsia="仿宋_GB2312" w:cs="Times New Roman"/>
          <w:color w:val="auto"/>
          <w:spacing w:val="0"/>
          <w:kern w:val="21"/>
          <w:sz w:val="32"/>
          <w:szCs w:val="32"/>
          <w:shd w:val="clear" w:color="auto" w:fill="auto"/>
        </w:rPr>
        <w:t>做实</w:t>
      </w:r>
      <w:r>
        <w:rPr>
          <w:rFonts w:hint="eastAsia" w:ascii="仿宋_GB2312" w:hAnsi="仿宋" w:cs="Times New Roman"/>
          <w:color w:val="auto"/>
          <w:spacing w:val="0"/>
          <w:kern w:val="21"/>
          <w:sz w:val="32"/>
          <w:szCs w:val="32"/>
          <w:shd w:val="clear" w:color="auto" w:fill="auto"/>
          <w:lang w:eastAsia="zh-CN"/>
        </w:rPr>
        <w:t>存量</w:t>
      </w:r>
      <w:r>
        <w:rPr>
          <w:rFonts w:hint="eastAsia" w:ascii="仿宋_GB2312" w:hAnsi="仿宋" w:eastAsia="仿宋_GB2312" w:cs="Times New Roman"/>
          <w:color w:val="auto"/>
          <w:spacing w:val="0"/>
          <w:kern w:val="21"/>
          <w:sz w:val="32"/>
          <w:szCs w:val="32"/>
          <w:shd w:val="clear" w:color="auto" w:fill="auto"/>
        </w:rPr>
        <w:t>企业服务</w:t>
      </w:r>
      <w:r>
        <w:rPr>
          <w:rFonts w:hint="eastAsia" w:ascii="仿宋_GB2312" w:hAnsi="仿宋" w:cs="Times New Roman"/>
          <w:color w:val="auto"/>
          <w:spacing w:val="0"/>
          <w:kern w:val="21"/>
          <w:sz w:val="32"/>
          <w:szCs w:val="32"/>
          <w:shd w:val="clear" w:color="auto" w:fill="auto"/>
          <w:lang w:eastAsia="zh-CN"/>
        </w:rPr>
        <w:t>，倾听并解决</w:t>
      </w:r>
      <w:r>
        <w:rPr>
          <w:rFonts w:hint="eastAsia" w:ascii="仿宋_GB2312"/>
          <w:b w:val="0"/>
          <w:bCs w:val="0"/>
          <w:color w:val="auto"/>
          <w:spacing w:val="0"/>
          <w:kern w:val="21"/>
          <w:sz w:val="32"/>
          <w:szCs w:val="32"/>
          <w:lang w:eastAsia="zh-CN"/>
        </w:rPr>
        <w:t>企业发展中的梗阻难题，全年</w:t>
      </w:r>
      <w:r>
        <w:rPr>
          <w:rFonts w:hint="eastAsia" w:ascii="仿宋_GB2312" w:eastAsia="仿宋_GB2312"/>
          <w:b w:val="0"/>
          <w:bCs w:val="0"/>
          <w:color w:val="auto"/>
          <w:spacing w:val="0"/>
          <w:kern w:val="21"/>
          <w:sz w:val="32"/>
          <w:szCs w:val="32"/>
        </w:rPr>
        <w:t>累计协调</w:t>
      </w:r>
      <w:r>
        <w:rPr>
          <w:rFonts w:hint="eastAsia" w:ascii="仿宋_GB2312"/>
          <w:b w:val="0"/>
          <w:bCs w:val="0"/>
          <w:color w:val="auto"/>
          <w:spacing w:val="0"/>
          <w:kern w:val="21"/>
          <w:sz w:val="32"/>
          <w:szCs w:val="32"/>
          <w:lang w:eastAsia="zh-CN"/>
        </w:rPr>
        <w:t>企业</w:t>
      </w:r>
      <w:r>
        <w:rPr>
          <w:rFonts w:hint="eastAsia" w:ascii="仿宋_GB2312" w:eastAsia="仿宋_GB2312"/>
          <w:b w:val="0"/>
          <w:bCs w:val="0"/>
          <w:color w:val="auto"/>
          <w:spacing w:val="0"/>
          <w:kern w:val="21"/>
          <w:sz w:val="32"/>
          <w:szCs w:val="32"/>
          <w:lang w:eastAsia="zh-CN"/>
        </w:rPr>
        <w:t>诉</w:t>
      </w:r>
      <w:r>
        <w:rPr>
          <w:rFonts w:hint="eastAsia" w:ascii="仿宋_GB2312" w:eastAsia="仿宋_GB2312"/>
          <w:b w:val="0"/>
          <w:bCs w:val="0"/>
          <w:color w:val="auto"/>
          <w:spacing w:val="0"/>
          <w:kern w:val="21"/>
          <w:sz w:val="32"/>
          <w:szCs w:val="32"/>
        </w:rPr>
        <w:t>求300余</w:t>
      </w:r>
      <w:r>
        <w:rPr>
          <w:rFonts w:hint="eastAsia" w:ascii="仿宋_GB2312" w:eastAsia="仿宋_GB2312"/>
          <w:b w:val="0"/>
          <w:bCs w:val="0"/>
          <w:color w:val="auto"/>
          <w:spacing w:val="0"/>
          <w:kern w:val="21"/>
          <w:sz w:val="32"/>
          <w:szCs w:val="32"/>
          <w:lang w:eastAsia="zh-CN"/>
        </w:rPr>
        <w:t>项</w:t>
      </w:r>
      <w:r>
        <w:rPr>
          <w:rFonts w:hint="eastAsia" w:ascii="仿宋_GB2312"/>
          <w:b w:val="0"/>
          <w:bCs w:val="0"/>
          <w:color w:val="auto"/>
          <w:spacing w:val="0"/>
          <w:kern w:val="21"/>
          <w:sz w:val="32"/>
          <w:szCs w:val="32"/>
          <w:lang w:eastAsia="zh-CN"/>
        </w:rPr>
        <w:t>，助力企业安心在丰发展。</w:t>
      </w:r>
      <w:r>
        <w:rPr>
          <w:rFonts w:hint="eastAsia" w:ascii="仿宋_GB2312" w:hAnsi="仿宋" w:eastAsia="仿宋_GB2312" w:cs="Times New Roman"/>
          <w:color w:val="auto"/>
          <w:spacing w:val="0"/>
          <w:kern w:val="21"/>
          <w:sz w:val="32"/>
          <w:szCs w:val="32"/>
          <w:shd w:val="clear" w:color="auto" w:fill="auto"/>
        </w:rPr>
        <w:t>着力培育“增量财源”，</w:t>
      </w:r>
      <w:r>
        <w:rPr>
          <w:rFonts w:hint="eastAsia" w:ascii="仿宋_GB2312" w:hAnsi="仿宋" w:cs="Times New Roman"/>
          <w:color w:val="auto"/>
          <w:spacing w:val="0"/>
          <w:kern w:val="21"/>
          <w:sz w:val="32"/>
          <w:szCs w:val="32"/>
          <w:shd w:val="clear" w:color="auto" w:fill="auto"/>
          <w:lang w:eastAsia="zh-CN"/>
        </w:rPr>
        <w:t>围绕“</w:t>
      </w:r>
      <w:r>
        <w:rPr>
          <w:rFonts w:hint="eastAsia" w:ascii="仿宋_GB2312" w:hAnsi="仿宋" w:cs="Times New Roman"/>
          <w:color w:val="auto"/>
          <w:spacing w:val="0"/>
          <w:kern w:val="21"/>
          <w:sz w:val="32"/>
          <w:szCs w:val="32"/>
          <w:shd w:val="clear" w:color="auto" w:fill="auto"/>
          <w:lang w:val="en-US" w:eastAsia="zh-CN"/>
        </w:rPr>
        <w:t>2+4+6</w:t>
      </w:r>
      <w:r>
        <w:rPr>
          <w:rFonts w:hint="eastAsia" w:ascii="仿宋_GB2312" w:hAnsi="仿宋" w:cs="Times New Roman"/>
          <w:color w:val="auto"/>
          <w:spacing w:val="0"/>
          <w:kern w:val="21"/>
          <w:sz w:val="32"/>
          <w:szCs w:val="32"/>
          <w:shd w:val="clear" w:color="auto" w:fill="auto"/>
          <w:lang w:eastAsia="zh-CN"/>
        </w:rPr>
        <w:t>”产业体系，加强精准招商、资源统筹和企业服务，加快推进“</w:t>
      </w:r>
      <w:r>
        <w:rPr>
          <w:rFonts w:hint="eastAsia" w:ascii="仿宋_GB2312" w:hAnsi="仿宋" w:cs="Times New Roman"/>
          <w:color w:val="auto"/>
          <w:spacing w:val="0"/>
          <w:kern w:val="21"/>
          <w:sz w:val="32"/>
          <w:szCs w:val="32"/>
          <w:shd w:val="clear" w:color="auto" w:fill="auto"/>
          <w:lang w:val="en-US" w:eastAsia="zh-CN"/>
        </w:rPr>
        <w:t>1511</w:t>
      </w:r>
      <w:r>
        <w:rPr>
          <w:rFonts w:hint="eastAsia" w:ascii="仿宋_GB2312" w:hAnsi="仿宋" w:cs="Times New Roman"/>
          <w:color w:val="auto"/>
          <w:spacing w:val="0"/>
          <w:kern w:val="21"/>
          <w:sz w:val="32"/>
          <w:szCs w:val="32"/>
          <w:shd w:val="clear" w:color="auto" w:fill="auto"/>
          <w:lang w:eastAsia="zh-CN"/>
        </w:rPr>
        <w:t>”产业发展提质工程和“两区”建设，一批强链补链项目相继落地，形成经济增长“新引擎”</w:t>
      </w:r>
      <w:r>
        <w:rPr>
          <w:rFonts w:hint="eastAsia" w:ascii="仿宋_GB2312" w:hAnsi="仿宋" w:eastAsia="仿宋_GB2312" w:cs="Times New Roman"/>
          <w:color w:val="auto"/>
          <w:spacing w:val="0"/>
          <w:kern w:val="21"/>
          <w:sz w:val="32"/>
          <w:szCs w:val="32"/>
          <w:shd w:val="clear" w:color="auto" w:fill="auto"/>
        </w:rPr>
        <w:t>。</w:t>
      </w:r>
      <w:r>
        <w:rPr>
          <w:rFonts w:hint="eastAsia" w:ascii="仿宋_GB2312" w:hAnsi="仿宋" w:cs="Times New Roman"/>
          <w:color w:val="auto"/>
          <w:spacing w:val="0"/>
          <w:kern w:val="21"/>
          <w:sz w:val="32"/>
          <w:szCs w:val="32"/>
          <w:shd w:val="clear" w:color="auto" w:fill="auto"/>
          <w:lang w:eastAsia="zh-CN"/>
        </w:rPr>
        <w:t>注重</w:t>
      </w:r>
      <w:r>
        <w:rPr>
          <w:rFonts w:hint="eastAsia" w:ascii="仿宋_GB2312" w:hAnsi="仿宋" w:eastAsia="仿宋_GB2312" w:cs="Times New Roman"/>
          <w:color w:val="auto"/>
          <w:spacing w:val="0"/>
          <w:kern w:val="21"/>
          <w:sz w:val="32"/>
          <w:szCs w:val="32"/>
          <w:shd w:val="clear" w:color="auto" w:fill="auto"/>
        </w:rPr>
        <w:t>“财源质量”</w:t>
      </w:r>
      <w:r>
        <w:rPr>
          <w:rFonts w:hint="eastAsia" w:ascii="仿宋_GB2312" w:hAnsi="仿宋" w:cs="Times New Roman"/>
          <w:color w:val="auto"/>
          <w:spacing w:val="0"/>
          <w:kern w:val="21"/>
          <w:sz w:val="32"/>
          <w:szCs w:val="32"/>
          <w:shd w:val="clear" w:color="auto" w:fill="auto"/>
          <w:lang w:eastAsia="zh-CN"/>
        </w:rPr>
        <w:t>提升</w:t>
      </w:r>
      <w:r>
        <w:rPr>
          <w:rFonts w:hint="eastAsia" w:ascii="仿宋_GB2312" w:hAnsi="仿宋" w:eastAsia="仿宋_GB2312" w:cs="Times New Roman"/>
          <w:color w:val="auto"/>
          <w:spacing w:val="0"/>
          <w:kern w:val="21"/>
          <w:sz w:val="32"/>
          <w:szCs w:val="32"/>
          <w:shd w:val="clear" w:color="auto" w:fill="auto"/>
        </w:rPr>
        <w:t>，</w:t>
      </w:r>
      <w:r>
        <w:rPr>
          <w:rFonts w:hint="eastAsia" w:ascii="仿宋_GB2312" w:hAnsi="Arial" w:cs="仿宋_GB2312"/>
          <w:color w:val="auto"/>
          <w:spacing w:val="0"/>
          <w:kern w:val="21"/>
          <w:sz w:val="32"/>
          <w:szCs w:val="32"/>
          <w:lang w:eastAsia="zh-CN"/>
        </w:rPr>
        <w:t>设立</w:t>
      </w:r>
      <w:r>
        <w:rPr>
          <w:rFonts w:hint="eastAsia" w:ascii="仿宋_GB2312" w:hAnsi="仿宋_GB2312" w:eastAsia="仿宋_GB2312" w:cs="仿宋_GB2312"/>
          <w:color w:val="auto"/>
          <w:spacing w:val="0"/>
          <w:kern w:val="21"/>
          <w:sz w:val="32"/>
          <w:szCs w:val="32"/>
          <w:lang w:val="en-US" w:eastAsia="zh-CN"/>
        </w:rPr>
        <w:t>北京自然科学基金-丰台创新联合基金</w:t>
      </w:r>
      <w:r>
        <w:rPr>
          <w:rFonts w:hint="eastAsia" w:ascii="仿宋_GB2312" w:hAnsi="仿宋" w:cs="Times New Roman"/>
          <w:color w:val="auto"/>
          <w:spacing w:val="0"/>
          <w:kern w:val="21"/>
          <w:sz w:val="32"/>
          <w:szCs w:val="32"/>
          <w:shd w:val="clear" w:color="auto" w:fill="auto"/>
          <w:lang w:eastAsia="zh-CN"/>
        </w:rPr>
        <w:t>，首年规模</w:t>
      </w:r>
      <w:r>
        <w:rPr>
          <w:rFonts w:hint="eastAsia" w:ascii="仿宋_GB2312" w:hAnsi="仿宋" w:cs="Times New Roman"/>
          <w:color w:val="auto"/>
          <w:spacing w:val="0"/>
          <w:kern w:val="21"/>
          <w:sz w:val="32"/>
          <w:szCs w:val="32"/>
          <w:shd w:val="clear" w:color="auto" w:fill="auto"/>
          <w:lang w:val="en-US" w:eastAsia="zh-CN"/>
        </w:rPr>
        <w:t>5000万元，用于</w:t>
      </w:r>
      <w:r>
        <w:rPr>
          <w:rFonts w:hint="eastAsia" w:ascii="仿宋_GB2312" w:hAnsi="仿宋" w:eastAsia="仿宋_GB2312" w:cs="Times New Roman"/>
          <w:color w:val="auto"/>
          <w:spacing w:val="0"/>
          <w:kern w:val="21"/>
          <w:sz w:val="32"/>
          <w:szCs w:val="32"/>
          <w:shd w:val="clear" w:color="auto" w:fill="auto"/>
          <w:lang w:eastAsia="zh-CN"/>
        </w:rPr>
        <w:t>支持</w:t>
      </w:r>
      <w:r>
        <w:rPr>
          <w:rFonts w:hint="eastAsia" w:ascii="仿宋_GB2312" w:hAnsi="仿宋" w:eastAsia="仿宋_GB2312" w:cs="Times New Roman"/>
          <w:color w:val="auto"/>
          <w:spacing w:val="0"/>
          <w:kern w:val="21"/>
          <w:sz w:val="32"/>
          <w:szCs w:val="32"/>
          <w:shd w:val="clear" w:color="auto" w:fill="auto"/>
        </w:rPr>
        <w:t>重点领域</w:t>
      </w:r>
      <w:r>
        <w:rPr>
          <w:rFonts w:hint="eastAsia" w:ascii="仿宋_GB2312" w:hAnsi="仿宋" w:eastAsia="仿宋_GB2312" w:cs="Times New Roman"/>
          <w:color w:val="auto"/>
          <w:spacing w:val="0"/>
          <w:kern w:val="21"/>
          <w:sz w:val="32"/>
          <w:szCs w:val="32"/>
          <w:shd w:val="clear" w:color="auto" w:fill="auto"/>
          <w:lang w:eastAsia="zh-CN"/>
        </w:rPr>
        <w:t>技术</w:t>
      </w:r>
      <w:r>
        <w:rPr>
          <w:rFonts w:hint="eastAsia" w:ascii="仿宋_GB2312" w:hAnsi="仿宋" w:eastAsia="仿宋_GB2312" w:cs="Times New Roman"/>
          <w:color w:val="auto"/>
          <w:spacing w:val="0"/>
          <w:kern w:val="21"/>
          <w:sz w:val="32"/>
          <w:szCs w:val="32"/>
          <w:shd w:val="clear" w:color="auto" w:fill="auto"/>
        </w:rPr>
        <w:t>研究</w:t>
      </w:r>
      <w:r>
        <w:rPr>
          <w:rFonts w:hint="eastAsia" w:ascii="仿宋_GB2312" w:hAnsi="仿宋" w:eastAsia="仿宋_GB2312" w:cs="Times New Roman"/>
          <w:color w:val="auto"/>
          <w:spacing w:val="0"/>
          <w:kern w:val="21"/>
          <w:sz w:val="32"/>
          <w:szCs w:val="32"/>
          <w:shd w:val="clear" w:color="auto" w:fill="auto"/>
          <w:lang w:eastAsia="zh-CN"/>
        </w:rPr>
        <w:t>及项目孵化，更好</w:t>
      </w:r>
      <w:r>
        <w:rPr>
          <w:rFonts w:hint="eastAsia" w:ascii="仿宋_GB2312" w:hAnsi="仿宋" w:eastAsia="仿宋_GB2312" w:cs="Times New Roman"/>
          <w:color w:val="auto"/>
          <w:spacing w:val="0"/>
          <w:kern w:val="21"/>
          <w:sz w:val="32"/>
          <w:szCs w:val="32"/>
          <w:shd w:val="clear" w:color="auto" w:fill="auto"/>
        </w:rPr>
        <w:t>服务高精尖产业发展和未来产业布</w:t>
      </w:r>
      <w:r>
        <w:rPr>
          <w:rFonts w:hint="eastAsia" w:ascii="仿宋_GB2312" w:hAnsi="仿宋" w:cs="Times New Roman"/>
          <w:color w:val="auto"/>
          <w:spacing w:val="0"/>
          <w:kern w:val="21"/>
          <w:sz w:val="32"/>
          <w:szCs w:val="32"/>
          <w:shd w:val="clear" w:color="auto" w:fill="auto"/>
          <w:lang w:eastAsia="zh-CN"/>
        </w:rPr>
        <w:t>局</w:t>
      </w:r>
      <w:r>
        <w:rPr>
          <w:rFonts w:hint="eastAsia" w:ascii="仿宋_GB2312" w:hAnsi="仿宋" w:eastAsia="仿宋_GB2312" w:cs="Times New Roman"/>
          <w:color w:val="auto"/>
          <w:spacing w:val="0"/>
          <w:kern w:val="21"/>
          <w:sz w:val="32"/>
          <w:szCs w:val="32"/>
          <w:shd w:val="clear" w:color="auto" w:fill="auto"/>
        </w:rPr>
        <w:t>。</w:t>
      </w:r>
      <w:r>
        <w:rPr>
          <w:rFonts w:hint="eastAsia" w:ascii="仿宋_GB2312" w:hAnsi="仿宋" w:cs="Times New Roman"/>
          <w:color w:val="auto"/>
          <w:spacing w:val="0"/>
          <w:kern w:val="21"/>
          <w:sz w:val="32"/>
          <w:szCs w:val="32"/>
          <w:shd w:val="clear" w:color="auto" w:fill="auto"/>
          <w:lang w:eastAsia="zh-CN"/>
        </w:rPr>
        <w:t>依托</w:t>
      </w:r>
      <w:r>
        <w:rPr>
          <w:rFonts w:hint="eastAsia" w:ascii="仿宋_GB2312" w:hAnsi="仿宋_GB2312" w:cs="仿宋_GB2312"/>
          <w:color w:val="auto"/>
          <w:spacing w:val="0"/>
          <w:kern w:val="21"/>
          <w:sz w:val="32"/>
          <w:szCs w:val="32"/>
          <w:lang w:val="en-US" w:eastAsia="zh-CN"/>
        </w:rPr>
        <w:t>市级新设产业基金，建立多部门联动工作机制，充分挖掘区内优质项目，累计推荐项目67个，帮助2家企业获得股权投资1.5亿元。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_GB2312" w:eastAsia="仿宋_GB2312" w:cs="仿宋_GB2312"/>
          <w:b w:val="0"/>
          <w:bCs/>
          <w:color w:val="auto"/>
          <w:spacing w:val="0"/>
          <w:kern w:val="21"/>
          <w:sz w:val="32"/>
          <w:szCs w:val="32"/>
          <w:lang w:val="en-US" w:eastAsia="zh-CN"/>
        </w:rPr>
      </w:pPr>
      <w:r>
        <w:rPr>
          <w:rFonts w:hint="eastAsia" w:ascii="仿宋_GB2312" w:hAnsi="仿宋_GB2312" w:cs="Times New Roman"/>
          <w:b/>
          <w:bCs/>
          <w:color w:val="auto"/>
          <w:spacing w:val="0"/>
          <w:kern w:val="21"/>
          <w:sz w:val="32"/>
          <w:szCs w:val="32"/>
          <w:highlight w:val="none"/>
          <w:lang w:eastAsia="zh-CN"/>
        </w:rPr>
        <w:t>提升重点功能区发展能级，培育发展新质生产力</w:t>
      </w:r>
      <w:r>
        <w:rPr>
          <w:rFonts w:hint="eastAsia" w:ascii="仿宋_GB2312" w:hAnsi="仿宋_GB2312" w:cs="Times New Roman"/>
          <w:b/>
          <w:bCs/>
          <w:color w:val="auto"/>
          <w:spacing w:val="0"/>
          <w:kern w:val="21"/>
          <w:sz w:val="32"/>
          <w:szCs w:val="32"/>
          <w:highlight w:val="none"/>
        </w:rPr>
        <w:t>。</w:t>
      </w:r>
      <w:r>
        <w:rPr>
          <w:rFonts w:hint="eastAsia" w:ascii="仿宋_GB2312" w:hAnsi="仿宋_GB2312" w:cs="Times New Roman"/>
          <w:color w:val="auto"/>
          <w:spacing w:val="0"/>
          <w:kern w:val="21"/>
          <w:sz w:val="32"/>
          <w:szCs w:val="32"/>
          <w:highlight w:val="none"/>
          <w:lang w:eastAsia="zh-CN"/>
        </w:rPr>
        <w:t>投入资金</w:t>
      </w:r>
      <w:r>
        <w:rPr>
          <w:rFonts w:hint="eastAsia" w:ascii="仿宋_GB2312" w:hAnsi="仿宋_GB2312" w:cs="Times New Roman"/>
          <w:color w:val="auto"/>
          <w:spacing w:val="0"/>
          <w:kern w:val="21"/>
          <w:sz w:val="32"/>
          <w:szCs w:val="32"/>
          <w:highlight w:val="none"/>
          <w:lang w:val="en-US" w:eastAsia="zh-CN"/>
        </w:rPr>
        <w:t>32.1亿元，支持丽泽金融商务区</w:t>
      </w:r>
      <w:r>
        <w:rPr>
          <w:rFonts w:hint="eastAsia" w:ascii="仿宋_GB2312" w:hAnsi="仿宋_GB2312" w:cs="Times New Roman"/>
          <w:color w:val="auto"/>
          <w:spacing w:val="0"/>
          <w:kern w:val="21"/>
          <w:sz w:val="32"/>
          <w:szCs w:val="32"/>
          <w:highlight w:val="none"/>
          <w:lang w:eastAsia="zh-CN"/>
        </w:rPr>
        <w:t>加速崛起，形成以</w:t>
      </w:r>
      <w:r>
        <w:rPr>
          <w:rFonts w:hint="eastAsia" w:ascii="仿宋_GB2312" w:hAnsi="仿宋_GB2312" w:cs="Times New Roman"/>
          <w:color w:val="auto"/>
          <w:spacing w:val="0"/>
          <w:kern w:val="21"/>
          <w:sz w:val="32"/>
          <w:szCs w:val="32"/>
          <w:highlight w:val="none"/>
          <w:lang w:val="en-US" w:eastAsia="zh-CN"/>
        </w:rPr>
        <w:t>金融业为核心，以科技、高端商务为支撑的产业生态，入驻企业已超1200家。支持实施</w:t>
      </w:r>
      <w:r>
        <w:rPr>
          <w:rFonts w:hint="eastAsia" w:ascii="仿宋_GB2312" w:hAnsi="仿宋_GB2312" w:cs="Times New Roman"/>
          <w:color w:val="auto"/>
          <w:spacing w:val="0"/>
          <w:kern w:val="21"/>
          <w:sz w:val="32"/>
          <w:szCs w:val="32"/>
          <w:highlight w:val="none"/>
        </w:rPr>
        <w:t>商务区环境一体化提升</w:t>
      </w:r>
      <w:r>
        <w:rPr>
          <w:rFonts w:hint="eastAsia" w:ascii="仿宋_GB2312" w:hAnsi="仿宋_GB2312" w:cs="Times New Roman"/>
          <w:color w:val="auto"/>
          <w:spacing w:val="0"/>
          <w:kern w:val="21"/>
          <w:sz w:val="32"/>
          <w:szCs w:val="32"/>
          <w:highlight w:val="none"/>
          <w:lang w:eastAsia="zh-CN"/>
        </w:rPr>
        <w:t>工程，</w:t>
      </w:r>
      <w:r>
        <w:rPr>
          <w:rFonts w:hint="eastAsia" w:ascii="仿宋_GB2312" w:hAnsi="仿宋_GB2312" w:cs="Times New Roman"/>
          <w:color w:val="auto"/>
          <w:spacing w:val="0"/>
          <w:kern w:val="21"/>
          <w:sz w:val="32"/>
          <w:szCs w:val="32"/>
          <w:highlight w:val="none"/>
          <w:lang w:val="en-US" w:eastAsia="zh-CN"/>
        </w:rPr>
        <w:t>建设丽泽城市航站楼综合交通枢纽，</w:t>
      </w:r>
      <w:r>
        <w:rPr>
          <w:rFonts w:hint="eastAsia" w:ascii="仿宋_GB2312" w:hAnsi="仿宋_GB2312" w:cs="Times New Roman"/>
          <w:color w:val="auto"/>
          <w:spacing w:val="0"/>
          <w:kern w:val="21"/>
          <w:sz w:val="32"/>
          <w:szCs w:val="32"/>
          <w:highlight w:val="none"/>
          <w:lang w:eastAsia="zh-CN"/>
        </w:rPr>
        <w:t>商务区环境品质实现全面升级。投入资金</w:t>
      </w:r>
      <w:r>
        <w:rPr>
          <w:rFonts w:hint="eastAsia" w:ascii="仿宋_GB2312" w:hAnsi="仿宋_GB2312" w:cs="Times New Roman"/>
          <w:color w:val="auto"/>
          <w:spacing w:val="0"/>
          <w:kern w:val="21"/>
          <w:sz w:val="32"/>
          <w:szCs w:val="32"/>
          <w:highlight w:val="none"/>
          <w:lang w:val="en-US" w:eastAsia="zh-CN"/>
        </w:rPr>
        <w:t>48.0亿元，支持中关村丰台园西I区、东三期开发建设，加速产业集群发展。</w:t>
      </w:r>
      <w:r>
        <w:rPr>
          <w:rFonts w:hint="eastAsia" w:ascii="仿宋_GB2312" w:hAnsi="仿宋_GB2312" w:cs="仿宋_GB2312"/>
          <w:b w:val="0"/>
          <w:bCs w:val="0"/>
          <w:color w:val="auto"/>
          <w:spacing w:val="0"/>
          <w:kern w:val="21"/>
          <w:sz w:val="32"/>
          <w:szCs w:val="32"/>
          <w:lang w:val="en-US" w:eastAsia="zh-CN"/>
        </w:rPr>
        <w:t>做优做强</w:t>
      </w:r>
      <w:r>
        <w:rPr>
          <w:rFonts w:hint="eastAsia" w:ascii="仿宋_GB2312" w:hAnsi="仿宋_GB2312" w:eastAsia="仿宋_GB2312" w:cs="仿宋_GB2312"/>
          <w:b w:val="0"/>
          <w:bCs w:val="0"/>
          <w:color w:val="auto"/>
          <w:spacing w:val="0"/>
          <w:kern w:val="21"/>
          <w:sz w:val="32"/>
          <w:szCs w:val="32"/>
          <w:lang w:val="en-US" w:eastAsia="zh-CN"/>
        </w:rPr>
        <w:t>主导</w:t>
      </w:r>
      <w:r>
        <w:rPr>
          <w:rFonts w:hint="eastAsia" w:ascii="仿宋_GB2312" w:hAnsi="仿宋_GB2312" w:cs="仿宋_GB2312"/>
          <w:b w:val="0"/>
          <w:bCs w:val="0"/>
          <w:color w:val="auto"/>
          <w:spacing w:val="0"/>
          <w:kern w:val="21"/>
          <w:sz w:val="32"/>
          <w:szCs w:val="32"/>
          <w:lang w:val="en-US" w:eastAsia="zh-CN"/>
        </w:rPr>
        <w:t>产业</w:t>
      </w:r>
      <w:r>
        <w:rPr>
          <w:rFonts w:hint="eastAsia" w:ascii="仿宋_GB2312" w:hAnsi="仿宋_GB2312" w:eastAsia="仿宋_GB2312" w:cs="仿宋_GB2312"/>
          <w:b w:val="0"/>
          <w:bCs w:val="0"/>
          <w:color w:val="auto"/>
          <w:spacing w:val="0"/>
          <w:kern w:val="21"/>
          <w:sz w:val="32"/>
          <w:szCs w:val="32"/>
          <w:lang w:val="en-US" w:eastAsia="zh-CN"/>
        </w:rPr>
        <w:t>，</w:t>
      </w:r>
      <w:r>
        <w:rPr>
          <w:rFonts w:hint="eastAsia" w:ascii="仿宋_GB2312" w:hAnsi="仿宋_GB2312" w:cs="Times New Roman"/>
          <w:color w:val="auto"/>
          <w:spacing w:val="0"/>
          <w:kern w:val="21"/>
          <w:sz w:val="32"/>
          <w:szCs w:val="32"/>
          <w:highlight w:val="none"/>
          <w:lang w:val="en-US" w:eastAsia="zh-CN"/>
        </w:rPr>
        <w:t>以整体形象参加柏林国际轨道交通展览会，</w:t>
      </w:r>
      <w:r>
        <w:rPr>
          <w:rFonts w:hint="eastAsia" w:ascii="仿宋_GB2312" w:hAnsi="仿宋_GB2312" w:eastAsia="仿宋_GB2312" w:cs="仿宋_GB2312"/>
          <w:b w:val="0"/>
          <w:bCs w:val="0"/>
          <w:color w:val="auto"/>
          <w:spacing w:val="0"/>
          <w:kern w:val="21"/>
          <w:sz w:val="32"/>
          <w:szCs w:val="32"/>
          <w:lang w:val="en-US" w:eastAsia="zh-CN"/>
        </w:rPr>
        <w:t>打造</w:t>
      </w:r>
      <w:r>
        <w:rPr>
          <w:rFonts w:hint="eastAsia" w:ascii="仿宋_GB2312" w:hAnsi="仿宋_GB2312" w:eastAsia="仿宋_GB2312" w:cs="仿宋_GB2312"/>
          <w:b w:val="0"/>
          <w:bCs w:val="0"/>
          <w:color w:val="auto"/>
          <w:spacing w:val="0"/>
          <w:kern w:val="21"/>
          <w:sz w:val="32"/>
          <w:szCs w:val="32"/>
        </w:rPr>
        <w:t>丰台园国际品牌影响力</w:t>
      </w:r>
      <w:r>
        <w:rPr>
          <w:rFonts w:hint="eastAsia" w:ascii="仿宋_GB2312" w:hAnsi="仿宋_GB2312" w:cs="仿宋_GB2312"/>
          <w:b w:val="0"/>
          <w:bCs w:val="0"/>
          <w:color w:val="auto"/>
          <w:spacing w:val="0"/>
          <w:kern w:val="21"/>
          <w:sz w:val="32"/>
          <w:szCs w:val="32"/>
          <w:lang w:eastAsia="zh-CN"/>
        </w:rPr>
        <w:t>；创新布局未来产业，</w:t>
      </w:r>
      <w:r>
        <w:rPr>
          <w:rFonts w:hint="eastAsia" w:ascii="仿宋_GB2312" w:hAnsi="仿宋_GB2312" w:eastAsia="仿宋_GB2312" w:cs="仿宋_GB2312"/>
          <w:color w:val="auto"/>
          <w:spacing w:val="0"/>
          <w:kern w:val="21"/>
          <w:sz w:val="32"/>
          <w:szCs w:val="32"/>
          <w:lang w:eastAsia="zh-CN"/>
        </w:rPr>
        <w:t>在全市率先打造低空</w:t>
      </w:r>
      <w:r>
        <w:rPr>
          <w:rFonts w:hint="eastAsia" w:ascii="仿宋_GB2312" w:hAnsi="仿宋_GB2312" w:cs="仿宋_GB2312"/>
          <w:color w:val="auto"/>
          <w:spacing w:val="0"/>
          <w:kern w:val="21"/>
          <w:sz w:val="32"/>
          <w:szCs w:val="32"/>
          <w:lang w:eastAsia="zh-CN"/>
        </w:rPr>
        <w:t>技术</w:t>
      </w:r>
      <w:r>
        <w:rPr>
          <w:rFonts w:hint="eastAsia" w:ascii="仿宋_GB2312" w:hAnsi="仿宋_GB2312" w:eastAsia="仿宋_GB2312" w:cs="仿宋_GB2312"/>
          <w:color w:val="auto"/>
          <w:spacing w:val="0"/>
          <w:kern w:val="21"/>
          <w:sz w:val="32"/>
          <w:szCs w:val="32"/>
          <w:lang w:eastAsia="zh-CN"/>
        </w:rPr>
        <w:t>产业示范区</w:t>
      </w:r>
      <w:r>
        <w:rPr>
          <w:rFonts w:hint="eastAsia" w:ascii="仿宋_GB2312" w:hAnsi="仿宋_GB2312" w:eastAsia="仿宋_GB2312" w:cs="仿宋_GB2312"/>
          <w:color w:val="auto"/>
          <w:spacing w:val="0"/>
          <w:kern w:val="21"/>
          <w:sz w:val="32"/>
          <w:szCs w:val="32"/>
        </w:rPr>
        <w:t>，</w:t>
      </w:r>
      <w:r>
        <w:rPr>
          <w:rFonts w:hint="eastAsia" w:ascii="仿宋_GB2312" w:hAnsi="仿宋_GB2312" w:eastAsia="仿宋_GB2312" w:cs="仿宋_GB2312"/>
          <w:strike w:val="0"/>
          <w:dstrike w:val="0"/>
          <w:color w:val="auto"/>
          <w:spacing w:val="0"/>
          <w:kern w:val="21"/>
          <w:sz w:val="32"/>
          <w:szCs w:val="32"/>
          <w:lang w:eastAsia="zh-CN"/>
        </w:rPr>
        <w:t>举办</w:t>
      </w:r>
      <w:r>
        <w:rPr>
          <w:rFonts w:hint="eastAsia" w:ascii="仿宋_GB2312" w:hAnsi="仿宋_GB2312" w:eastAsia="仿宋_GB2312" w:cs="仿宋_GB2312"/>
          <w:strike w:val="0"/>
          <w:dstrike w:val="0"/>
          <w:color w:val="auto"/>
          <w:spacing w:val="0"/>
          <w:kern w:val="21"/>
          <w:sz w:val="32"/>
          <w:szCs w:val="32"/>
        </w:rPr>
        <w:t>首届低空</w:t>
      </w:r>
      <w:r>
        <w:rPr>
          <w:rFonts w:hint="eastAsia" w:ascii="仿宋_GB2312" w:hAnsi="仿宋_GB2312" w:cs="仿宋_GB2312"/>
          <w:strike w:val="0"/>
          <w:dstrike w:val="0"/>
          <w:color w:val="auto"/>
          <w:spacing w:val="0"/>
          <w:kern w:val="21"/>
          <w:sz w:val="32"/>
          <w:szCs w:val="32"/>
          <w:lang w:eastAsia="zh-CN"/>
        </w:rPr>
        <w:t>技术</w:t>
      </w:r>
      <w:r>
        <w:rPr>
          <w:rFonts w:hint="eastAsia" w:ascii="仿宋_GB2312" w:hAnsi="仿宋_GB2312" w:eastAsia="仿宋_GB2312" w:cs="仿宋_GB2312"/>
          <w:strike w:val="0"/>
          <w:dstrike w:val="0"/>
          <w:color w:val="auto"/>
          <w:spacing w:val="0"/>
          <w:kern w:val="21"/>
          <w:sz w:val="32"/>
          <w:szCs w:val="32"/>
        </w:rPr>
        <w:t>创新引领大会</w:t>
      </w:r>
      <w:r>
        <w:rPr>
          <w:rFonts w:hint="eastAsia" w:ascii="仿宋_GB2312" w:hAnsi="仿宋_GB2312" w:eastAsia="仿宋_GB2312" w:cs="仿宋_GB2312"/>
          <w:strike w:val="0"/>
          <w:dstrike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rPr>
        <w:t>引领丰台低空</w:t>
      </w:r>
      <w:r>
        <w:rPr>
          <w:rFonts w:hint="eastAsia" w:ascii="仿宋_GB2312" w:hAnsi="仿宋_GB2312" w:cs="仿宋_GB2312"/>
          <w:b w:val="0"/>
          <w:bCs w:val="0"/>
          <w:color w:val="auto"/>
          <w:spacing w:val="0"/>
          <w:kern w:val="21"/>
          <w:sz w:val="32"/>
          <w:szCs w:val="32"/>
          <w:lang w:val="en-US" w:eastAsia="zh-CN"/>
        </w:rPr>
        <w:t>技术</w:t>
      </w:r>
      <w:r>
        <w:rPr>
          <w:rFonts w:hint="eastAsia" w:ascii="仿宋_GB2312" w:hAnsi="仿宋_GB2312" w:eastAsia="仿宋_GB2312" w:cs="仿宋_GB2312"/>
          <w:b w:val="0"/>
          <w:bCs w:val="0"/>
          <w:color w:val="auto"/>
          <w:spacing w:val="0"/>
          <w:kern w:val="21"/>
          <w:sz w:val="32"/>
          <w:szCs w:val="32"/>
          <w:lang w:val="en-US" w:eastAsia="zh-CN"/>
        </w:rPr>
        <w:t>“起飞”。</w:t>
      </w:r>
      <w:r>
        <w:rPr>
          <w:rFonts w:hint="eastAsia" w:ascii="仿宋_GB2312" w:hAnsi="仿宋_GB2312" w:cs="仿宋_GB2312"/>
          <w:b w:val="0"/>
          <w:bCs w:val="0"/>
          <w:color w:val="auto"/>
          <w:spacing w:val="0"/>
          <w:kern w:val="21"/>
          <w:sz w:val="32"/>
          <w:szCs w:val="32"/>
          <w:lang w:val="en-US" w:eastAsia="zh-CN"/>
        </w:rPr>
        <w:t>投入资金</w:t>
      </w:r>
      <w:r>
        <w:rPr>
          <w:rFonts w:hint="eastAsia" w:ascii="仿宋_GB2312" w:hAnsi="仿宋_GB2312" w:cs="Times New Roman"/>
          <w:color w:val="auto"/>
          <w:spacing w:val="0"/>
          <w:kern w:val="21"/>
          <w:sz w:val="32"/>
          <w:szCs w:val="32"/>
          <w:highlight w:val="none"/>
          <w:lang w:val="en-US" w:eastAsia="zh-CN"/>
        </w:rPr>
        <w:t>1.1</w:t>
      </w:r>
      <w:r>
        <w:rPr>
          <w:rFonts w:hint="eastAsia" w:ascii="仿宋_GB2312" w:hAnsi="仿宋_GB2312" w:cs="Times New Roman"/>
          <w:color w:val="auto"/>
          <w:spacing w:val="0"/>
          <w:kern w:val="21"/>
          <w:sz w:val="32"/>
          <w:szCs w:val="32"/>
          <w:highlight w:val="none"/>
        </w:rPr>
        <w:t>亿元，</w:t>
      </w:r>
      <w:r>
        <w:rPr>
          <w:rFonts w:hint="eastAsia" w:ascii="仿宋_GB2312" w:hAnsi="仿宋_GB2312" w:eastAsia="仿宋_GB2312" w:cs="仿宋_GB2312"/>
          <w:color w:val="auto"/>
          <w:spacing w:val="0"/>
          <w:kern w:val="21"/>
          <w:sz w:val="32"/>
          <w:szCs w:val="32"/>
          <w:lang w:val="en-US" w:eastAsia="zh-CN" w:bidi="ar-SA"/>
        </w:rPr>
        <w:t>加快南中轴-首都商务新区建设，推动高品质、国际化商务项目及设施配套建设，推进存量楼宇更新，持续释放高品质发展空间。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cs="Times New Roman"/>
          <w:color w:val="auto"/>
          <w:spacing w:val="0"/>
          <w:kern w:val="21"/>
          <w:sz w:val="32"/>
          <w:szCs w:val="32"/>
        </w:rPr>
      </w:pPr>
      <w:r>
        <w:rPr>
          <w:rFonts w:hint="eastAsia" w:ascii="仿宋_GB2312" w:hAnsi="仿宋_GB2312" w:cs="Times New Roman"/>
          <w:b/>
          <w:bCs/>
          <w:color w:val="auto"/>
          <w:spacing w:val="0"/>
          <w:kern w:val="21"/>
          <w:sz w:val="32"/>
          <w:szCs w:val="32"/>
          <w:lang w:eastAsia="zh-CN"/>
        </w:rPr>
        <w:t>加速推进</w:t>
      </w:r>
      <w:r>
        <w:rPr>
          <w:rFonts w:hint="eastAsia" w:ascii="仿宋_GB2312" w:hAnsi="仿宋_GB2312" w:cs="Times New Roman"/>
          <w:b/>
          <w:bCs/>
          <w:color w:val="auto"/>
          <w:spacing w:val="0"/>
          <w:kern w:val="21"/>
          <w:sz w:val="32"/>
          <w:szCs w:val="32"/>
        </w:rPr>
        <w:t>国际消费中心城市</w:t>
      </w:r>
      <w:r>
        <w:rPr>
          <w:rFonts w:hint="eastAsia" w:ascii="仿宋_GB2312" w:hAnsi="仿宋_GB2312" w:cs="Times New Roman"/>
          <w:b/>
          <w:bCs/>
          <w:color w:val="auto"/>
          <w:spacing w:val="0"/>
          <w:kern w:val="21"/>
          <w:sz w:val="32"/>
          <w:szCs w:val="32"/>
          <w:lang w:eastAsia="zh-CN"/>
        </w:rPr>
        <w:t>建设。</w:t>
      </w:r>
      <w:r>
        <w:rPr>
          <w:rFonts w:hint="eastAsia" w:ascii="仿宋_GB2312" w:hAnsi="仿宋_GB2312" w:cs="Times New Roman"/>
          <w:color w:val="auto"/>
          <w:spacing w:val="0"/>
          <w:kern w:val="21"/>
          <w:sz w:val="32"/>
          <w:szCs w:val="32"/>
          <w:lang w:eastAsia="zh-CN"/>
        </w:rPr>
        <w:t>支持举办</w:t>
      </w:r>
      <w:r>
        <w:rPr>
          <w:rFonts w:hint="eastAsia" w:ascii="仿宋_GB2312" w:hAnsi="仿宋_GB2312" w:cs="Times New Roman"/>
          <w:color w:val="auto"/>
          <w:spacing w:val="0"/>
          <w:kern w:val="21"/>
          <w:sz w:val="32"/>
          <w:szCs w:val="32"/>
          <w:lang w:val="en-US" w:eastAsia="zh-CN"/>
        </w:rPr>
        <w:t>2024年丰台消费季系列活动，依托丽泽</w:t>
      </w:r>
      <w:r>
        <w:rPr>
          <w:rFonts w:hint="default" w:ascii="Arial" w:hAnsi="Arial" w:cs="Arial"/>
          <w:color w:val="auto"/>
          <w:spacing w:val="0"/>
          <w:kern w:val="21"/>
          <w:sz w:val="32"/>
          <w:szCs w:val="32"/>
          <w:lang w:val="en-US" w:eastAsia="zh-CN"/>
        </w:rPr>
        <w:t>×</w:t>
      </w:r>
      <w:r>
        <w:rPr>
          <w:rFonts w:hint="eastAsia" w:ascii="仿宋_GB2312" w:hAnsi="仿宋_GB2312" w:cs="Times New Roman"/>
          <w:color w:val="auto"/>
          <w:spacing w:val="0"/>
          <w:kern w:val="21"/>
          <w:sz w:val="32"/>
          <w:szCs w:val="32"/>
          <w:lang w:val="en-US" w:eastAsia="zh-CN"/>
        </w:rPr>
        <w:t>首都商务新区、丰台科技园、方庄、马家堡、槐新五大商圈，打造多种融合消费场景。贯彻落实国家及北京市推动消费品以旧换新工作要求，</w:t>
      </w:r>
      <w:r>
        <w:rPr>
          <w:rFonts w:hint="eastAsia" w:ascii="仿宋_GB2312" w:hAnsi="仿宋_GB2312" w:cs="Times New Roman"/>
          <w:color w:val="auto"/>
          <w:spacing w:val="0"/>
          <w:kern w:val="21"/>
          <w:sz w:val="32"/>
          <w:szCs w:val="32"/>
        </w:rPr>
        <w:t>发放汽车</w:t>
      </w:r>
      <w:r>
        <w:rPr>
          <w:rFonts w:hint="eastAsia" w:ascii="仿宋_GB2312" w:hAnsi="仿宋_GB2312" w:cs="Times New Roman"/>
          <w:color w:val="auto"/>
          <w:spacing w:val="0"/>
          <w:kern w:val="21"/>
          <w:sz w:val="32"/>
          <w:szCs w:val="32"/>
          <w:lang w:eastAsia="zh-CN"/>
        </w:rPr>
        <w:t>、家</w:t>
      </w:r>
      <w:r>
        <w:rPr>
          <w:rFonts w:hint="eastAsia" w:ascii="仿宋_GB2312" w:hAnsi="仿宋_GB2312" w:cs="Times New Roman"/>
          <w:color w:val="auto"/>
          <w:spacing w:val="0"/>
          <w:kern w:val="21"/>
          <w:sz w:val="32"/>
          <w:szCs w:val="32"/>
        </w:rPr>
        <w:t>电家居</w:t>
      </w:r>
      <w:r>
        <w:rPr>
          <w:rFonts w:hint="eastAsia" w:ascii="仿宋_GB2312" w:hAnsi="仿宋_GB2312" w:cs="Times New Roman"/>
          <w:color w:val="auto"/>
          <w:spacing w:val="0"/>
          <w:kern w:val="21"/>
          <w:sz w:val="32"/>
          <w:szCs w:val="32"/>
          <w:lang w:eastAsia="zh-CN"/>
        </w:rPr>
        <w:t>以旧换新</w:t>
      </w:r>
      <w:r>
        <w:rPr>
          <w:rFonts w:hint="eastAsia" w:ascii="仿宋_GB2312" w:hAnsi="仿宋_GB2312" w:cs="Times New Roman"/>
          <w:color w:val="auto"/>
          <w:spacing w:val="0"/>
          <w:kern w:val="21"/>
          <w:sz w:val="32"/>
          <w:szCs w:val="32"/>
        </w:rPr>
        <w:t>消费券</w:t>
      </w:r>
      <w:r>
        <w:rPr>
          <w:rFonts w:hint="eastAsia" w:ascii="仿宋_GB2312" w:hAnsi="仿宋_GB2312" w:cs="Times New Roman"/>
          <w:color w:val="auto"/>
          <w:spacing w:val="0"/>
          <w:kern w:val="21"/>
          <w:sz w:val="32"/>
          <w:szCs w:val="32"/>
          <w:lang w:eastAsia="zh-CN"/>
        </w:rPr>
        <w:t>共计</w:t>
      </w:r>
      <w:r>
        <w:rPr>
          <w:rFonts w:hint="eastAsia" w:ascii="仿宋_GB2312" w:hAnsi="仿宋_GB2312" w:cs="Times New Roman"/>
          <w:color w:val="auto"/>
          <w:spacing w:val="0"/>
          <w:kern w:val="21"/>
          <w:sz w:val="32"/>
          <w:szCs w:val="32"/>
          <w:lang w:val="en-US" w:eastAsia="zh-CN"/>
        </w:rPr>
        <w:t>1</w:t>
      </w:r>
      <w:r>
        <w:rPr>
          <w:rFonts w:ascii="仿宋_GB2312" w:hAnsi="仿宋_GB2312" w:cs="Times New Roman"/>
          <w:color w:val="auto"/>
          <w:spacing w:val="0"/>
          <w:kern w:val="21"/>
          <w:sz w:val="32"/>
          <w:szCs w:val="32"/>
        </w:rPr>
        <w:t>000</w:t>
      </w:r>
      <w:r>
        <w:rPr>
          <w:rFonts w:hint="eastAsia" w:ascii="仿宋_GB2312" w:hAnsi="仿宋_GB2312" w:cs="Times New Roman"/>
          <w:color w:val="auto"/>
          <w:spacing w:val="0"/>
          <w:kern w:val="21"/>
          <w:sz w:val="32"/>
          <w:szCs w:val="32"/>
        </w:rPr>
        <w:t>万元</w:t>
      </w:r>
      <w:r>
        <w:rPr>
          <w:rFonts w:hint="eastAsia" w:ascii="仿宋_GB2312" w:hAnsi="仿宋_GB2312" w:cs="Times New Roman"/>
          <w:color w:val="auto"/>
          <w:spacing w:val="0"/>
          <w:kern w:val="21"/>
          <w:sz w:val="32"/>
          <w:szCs w:val="32"/>
          <w:lang w:eastAsia="zh-CN"/>
        </w:rPr>
        <w:t>，有力撬动消费市场，提振消费信心，释放消费潜能</w:t>
      </w:r>
      <w:r>
        <w:rPr>
          <w:rFonts w:hint="eastAsia" w:ascii="仿宋_GB2312" w:hAnsi="仿宋_GB2312" w:cs="Times New Roman"/>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Times New Roman"/>
          <w:b w:val="0"/>
          <w:bCs w:val="0"/>
          <w:color w:val="auto"/>
          <w:spacing w:val="0"/>
          <w:kern w:val="21"/>
          <w:sz w:val="32"/>
          <w:szCs w:val="32"/>
          <w:highlight w:val="none"/>
          <w:lang w:val="en-US" w:eastAsia="zh-CN"/>
        </w:rPr>
      </w:pPr>
      <w:r>
        <w:rPr>
          <w:rFonts w:hint="eastAsia" w:ascii="仿宋_GB2312" w:hAnsi="仿宋_GB2312" w:cs="Times New Roman"/>
          <w:b w:val="0"/>
          <w:bCs w:val="0"/>
          <w:color w:val="auto"/>
          <w:spacing w:val="0"/>
          <w:kern w:val="21"/>
          <w:sz w:val="32"/>
          <w:szCs w:val="32"/>
          <w:highlight w:val="none"/>
          <w:lang w:val="en-US" w:eastAsia="zh-CN"/>
        </w:rPr>
        <w:t>3.优结构、增效能，预算改革步伐加快</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cs="Times New Roman"/>
          <w:color w:val="auto"/>
          <w:spacing w:val="0"/>
          <w:kern w:val="21"/>
          <w:sz w:val="32"/>
          <w:szCs w:val="32"/>
          <w:highlight w:val="none"/>
        </w:rPr>
      </w:pPr>
      <w:r>
        <w:rPr>
          <w:rFonts w:hint="eastAsia" w:ascii="仿宋_GB2312" w:hAnsi="仿宋_GB2312" w:cs="仿宋_GB2312"/>
          <w:b/>
          <w:bCs/>
          <w:color w:val="auto"/>
          <w:spacing w:val="0"/>
          <w:kern w:val="21"/>
          <w:sz w:val="32"/>
          <w:szCs w:val="32"/>
          <w:highlight w:val="none"/>
          <w:shd w:val="clear" w:color="auto" w:fill="auto"/>
          <w:lang w:eastAsia="zh-CN"/>
        </w:rPr>
        <w:t>坚持有保有压，集中财力保障重点。</w:t>
      </w:r>
      <w:r>
        <w:rPr>
          <w:rFonts w:hint="default" w:ascii="仿宋_GB2312" w:hAnsi="仿宋_GB2312" w:eastAsia="仿宋_GB2312" w:cs="仿宋_GB2312"/>
          <w:color w:val="auto"/>
          <w:spacing w:val="0"/>
          <w:kern w:val="21"/>
          <w:sz w:val="32"/>
          <w:szCs w:val="32"/>
          <w:highlight w:val="none"/>
          <w:shd w:val="clear" w:color="auto" w:fill="auto"/>
          <w:lang w:eastAsia="zh-CN"/>
        </w:rPr>
        <w:t>坚持习惯过</w:t>
      </w:r>
      <w:r>
        <w:rPr>
          <w:rFonts w:hint="eastAsia" w:ascii="仿宋_GB2312" w:hAnsi="仿宋_GB2312" w:cs="仿宋_GB2312"/>
          <w:color w:val="auto"/>
          <w:spacing w:val="0"/>
          <w:kern w:val="21"/>
          <w:sz w:val="32"/>
          <w:szCs w:val="32"/>
          <w:highlight w:val="none"/>
          <w:shd w:val="clear" w:color="auto" w:fill="auto"/>
          <w:lang w:eastAsia="zh-CN"/>
        </w:rPr>
        <w:t>“</w:t>
      </w:r>
      <w:r>
        <w:rPr>
          <w:rFonts w:hint="default" w:ascii="仿宋_GB2312" w:hAnsi="仿宋_GB2312" w:eastAsia="仿宋_GB2312" w:cs="仿宋_GB2312"/>
          <w:color w:val="auto"/>
          <w:spacing w:val="0"/>
          <w:kern w:val="21"/>
          <w:sz w:val="32"/>
          <w:szCs w:val="32"/>
          <w:highlight w:val="none"/>
          <w:shd w:val="clear" w:color="auto" w:fill="auto"/>
          <w:lang w:eastAsia="zh-CN"/>
        </w:rPr>
        <w:t>紧日子</w:t>
      </w:r>
      <w:r>
        <w:rPr>
          <w:rFonts w:hint="eastAsia" w:ascii="仿宋_GB2312" w:hAnsi="仿宋_GB2312" w:cs="仿宋_GB2312"/>
          <w:color w:val="auto"/>
          <w:spacing w:val="0"/>
          <w:kern w:val="21"/>
          <w:sz w:val="32"/>
          <w:szCs w:val="32"/>
          <w:highlight w:val="none"/>
          <w:shd w:val="clear" w:color="auto" w:fill="auto"/>
          <w:lang w:eastAsia="zh-CN"/>
        </w:rPr>
        <w:t>”</w:t>
      </w:r>
      <w:r>
        <w:rPr>
          <w:rFonts w:hint="default" w:ascii="仿宋_GB2312" w:hAnsi="仿宋_GB2312" w:eastAsia="仿宋_GB2312" w:cs="仿宋_GB2312"/>
          <w:color w:val="auto"/>
          <w:spacing w:val="0"/>
          <w:kern w:val="21"/>
          <w:sz w:val="32"/>
          <w:szCs w:val="32"/>
          <w:highlight w:val="none"/>
          <w:shd w:val="clear" w:color="auto" w:fill="auto"/>
          <w:lang w:eastAsia="zh-CN"/>
        </w:rPr>
        <w:t>，严控一般性支出，大幅</w:t>
      </w:r>
      <w:r>
        <w:rPr>
          <w:rFonts w:hint="eastAsia" w:ascii="仿宋_GB2312" w:hAnsi="仿宋_GB2312" w:cs="仿宋_GB2312"/>
          <w:color w:val="auto"/>
          <w:spacing w:val="0"/>
          <w:kern w:val="21"/>
          <w:sz w:val="32"/>
          <w:szCs w:val="32"/>
          <w:highlight w:val="none"/>
          <w:shd w:val="clear" w:color="auto" w:fill="auto"/>
          <w:lang w:eastAsia="zh-CN"/>
        </w:rPr>
        <w:t>压缩</w:t>
      </w:r>
      <w:r>
        <w:rPr>
          <w:rFonts w:hint="default" w:ascii="仿宋_GB2312" w:hAnsi="仿宋_GB2312" w:eastAsia="仿宋_GB2312" w:cs="仿宋_GB2312"/>
          <w:color w:val="auto"/>
          <w:spacing w:val="0"/>
          <w:kern w:val="21"/>
          <w:sz w:val="32"/>
          <w:szCs w:val="32"/>
          <w:highlight w:val="none"/>
          <w:shd w:val="clear" w:color="auto" w:fill="auto"/>
          <w:lang w:eastAsia="zh-CN"/>
        </w:rPr>
        <w:t>论坛、节庆、展会等活动</w:t>
      </w:r>
      <w:r>
        <w:rPr>
          <w:rFonts w:hint="eastAsia" w:ascii="仿宋_GB2312" w:hAnsi="仿宋_GB2312" w:cs="仿宋_GB2312"/>
          <w:color w:val="auto"/>
          <w:spacing w:val="0"/>
          <w:kern w:val="21"/>
          <w:sz w:val="32"/>
          <w:szCs w:val="32"/>
          <w:highlight w:val="none"/>
          <w:shd w:val="clear" w:color="auto" w:fill="auto"/>
          <w:lang w:eastAsia="zh-CN"/>
        </w:rPr>
        <w:t>，全年</w:t>
      </w:r>
      <w:r>
        <w:rPr>
          <w:rFonts w:hint="default" w:ascii="仿宋_GB2312" w:hAnsi="仿宋_GB2312" w:eastAsia="仿宋_GB2312" w:cs="仿宋_GB2312"/>
          <w:color w:val="auto"/>
          <w:spacing w:val="0"/>
          <w:kern w:val="21"/>
          <w:sz w:val="32"/>
          <w:szCs w:val="32"/>
          <w:highlight w:val="none"/>
          <w:shd w:val="clear" w:color="auto" w:fill="auto"/>
          <w:lang w:eastAsia="zh-CN"/>
        </w:rPr>
        <w:t>行政运行成本</w:t>
      </w:r>
      <w:r>
        <w:rPr>
          <w:rFonts w:hint="eastAsia" w:ascii="仿宋_GB2312" w:hAnsi="仿宋_GB2312" w:cs="仿宋_GB2312"/>
          <w:color w:val="auto"/>
          <w:spacing w:val="0"/>
          <w:kern w:val="21"/>
          <w:sz w:val="32"/>
          <w:szCs w:val="32"/>
          <w:highlight w:val="none"/>
          <w:shd w:val="clear" w:color="auto" w:fill="auto"/>
          <w:lang w:val="en-US" w:eastAsia="zh-CN"/>
        </w:rPr>
        <w:t>4.4亿元，同比</w:t>
      </w:r>
      <w:r>
        <w:rPr>
          <w:rFonts w:hint="eastAsia" w:ascii="仿宋_GB2312" w:hAnsi="仿宋_GB2312" w:eastAsia="仿宋_GB2312" w:cs="仿宋_GB2312"/>
          <w:b w:val="0"/>
          <w:bCs/>
          <w:color w:val="auto"/>
          <w:spacing w:val="0"/>
          <w:kern w:val="21"/>
          <w:sz w:val="32"/>
          <w:szCs w:val="32"/>
        </w:rPr>
        <w:t>下降</w:t>
      </w:r>
      <w:r>
        <w:rPr>
          <w:rFonts w:hint="eastAsia" w:ascii="仿宋_GB2312" w:hAnsi="仿宋_GB2312" w:eastAsia="仿宋_GB2312" w:cs="仿宋_GB2312"/>
          <w:b w:val="0"/>
          <w:bCs/>
          <w:color w:val="auto"/>
          <w:spacing w:val="0"/>
          <w:kern w:val="21"/>
          <w:sz w:val="32"/>
          <w:szCs w:val="32"/>
          <w:lang w:val="en-US" w:eastAsia="zh-CN"/>
        </w:rPr>
        <w:t>1</w:t>
      </w:r>
      <w:r>
        <w:rPr>
          <w:rFonts w:hint="eastAsia" w:ascii="仿宋_GB2312" w:hAnsi="仿宋_GB2312" w:cs="仿宋_GB2312"/>
          <w:b w:val="0"/>
          <w:bCs/>
          <w:color w:val="auto"/>
          <w:spacing w:val="0"/>
          <w:kern w:val="21"/>
          <w:sz w:val="32"/>
          <w:szCs w:val="32"/>
          <w:lang w:val="en-US" w:eastAsia="zh-CN"/>
        </w:rPr>
        <w:t>0.1</w:t>
      </w:r>
      <w:r>
        <w:rPr>
          <w:rFonts w:hint="eastAsia" w:ascii="仿宋_GB2312" w:hAnsi="仿宋_GB2312" w:eastAsia="仿宋_GB2312" w:cs="仿宋_GB2312"/>
          <w:b w:val="0"/>
          <w:bCs/>
          <w:color w:val="auto"/>
          <w:spacing w:val="0"/>
          <w:kern w:val="21"/>
          <w:sz w:val="32"/>
          <w:szCs w:val="32"/>
        </w:rPr>
        <w:t>%</w:t>
      </w:r>
      <w:r>
        <w:rPr>
          <w:rFonts w:hint="eastAsia" w:ascii="仿宋_GB2312" w:hAnsi="仿宋_GB2312" w:eastAsia="仿宋_GB2312" w:cs="仿宋_GB2312"/>
          <w:b w:val="0"/>
          <w:bCs/>
          <w:color w:val="auto"/>
          <w:spacing w:val="0"/>
          <w:kern w:val="21"/>
          <w:sz w:val="32"/>
          <w:szCs w:val="32"/>
          <w:lang w:eastAsia="zh-CN"/>
        </w:rPr>
        <w:t>。</w:t>
      </w:r>
      <w:r>
        <w:rPr>
          <w:rFonts w:hint="eastAsia" w:ascii="仿宋_GB2312" w:hAnsi="仿宋_GB2312" w:eastAsia="仿宋_GB2312" w:cs="Times New Roman"/>
          <w:color w:val="auto"/>
          <w:spacing w:val="0"/>
          <w:kern w:val="21"/>
          <w:sz w:val="32"/>
          <w:szCs w:val="32"/>
          <w:highlight w:val="none"/>
        </w:rPr>
        <w:t>党政机关、事业单位“三公”</w:t>
      </w:r>
      <w:r>
        <w:rPr>
          <w:rFonts w:hint="eastAsia" w:ascii="仿宋_GB2312" w:hAnsi="仿宋_GB2312" w:eastAsia="仿宋_GB2312" w:cs="仿宋_GB2312"/>
          <w:b w:val="0"/>
          <w:bCs/>
          <w:color w:val="auto"/>
          <w:spacing w:val="0"/>
          <w:kern w:val="21"/>
          <w:sz w:val="32"/>
          <w:szCs w:val="32"/>
          <w:highlight w:val="none"/>
          <w:lang w:eastAsia="zh-CN"/>
        </w:rPr>
        <w:t>经费支出</w:t>
      </w:r>
      <w:r>
        <w:rPr>
          <w:rFonts w:hint="eastAsia" w:ascii="仿宋_GB2312" w:hAnsi="仿宋_GB2312" w:cs="仿宋_GB2312"/>
          <w:b w:val="0"/>
          <w:bCs/>
          <w:color w:val="auto"/>
          <w:spacing w:val="0"/>
          <w:kern w:val="21"/>
          <w:sz w:val="32"/>
          <w:szCs w:val="32"/>
          <w:highlight w:val="none"/>
          <w:lang w:val="en-US" w:eastAsia="zh-CN"/>
        </w:rPr>
        <w:t>4357.8</w:t>
      </w:r>
      <w:r>
        <w:rPr>
          <w:rFonts w:hint="eastAsia" w:ascii="仿宋_GB2312" w:hAnsi="仿宋_GB2312" w:eastAsia="仿宋_GB2312" w:cs="仿宋_GB2312"/>
          <w:b w:val="0"/>
          <w:bCs/>
          <w:color w:val="auto"/>
          <w:spacing w:val="0"/>
          <w:kern w:val="21"/>
          <w:sz w:val="32"/>
          <w:szCs w:val="32"/>
          <w:highlight w:val="none"/>
          <w:lang w:val="en-US" w:eastAsia="zh-CN"/>
        </w:rPr>
        <w:t>万元，</w:t>
      </w:r>
      <w:r>
        <w:rPr>
          <w:rFonts w:hint="eastAsia" w:ascii="仿宋_GB2312" w:hAnsi="仿宋_GB2312" w:eastAsia="仿宋_GB2312" w:cs="仿宋_GB2312"/>
          <w:b w:val="0"/>
          <w:bCs/>
          <w:color w:val="auto"/>
          <w:spacing w:val="0"/>
          <w:kern w:val="21"/>
          <w:sz w:val="32"/>
          <w:szCs w:val="32"/>
          <w:highlight w:val="none"/>
          <w:lang w:eastAsia="zh-CN"/>
        </w:rPr>
        <w:t>较年初预算压减</w:t>
      </w:r>
      <w:r>
        <w:rPr>
          <w:rFonts w:hint="eastAsia" w:ascii="仿宋_GB2312" w:hAnsi="仿宋_GB2312" w:cs="仿宋_GB2312"/>
          <w:b w:val="0"/>
          <w:bCs/>
          <w:color w:val="auto"/>
          <w:spacing w:val="0"/>
          <w:kern w:val="21"/>
          <w:sz w:val="32"/>
          <w:szCs w:val="32"/>
          <w:highlight w:val="none"/>
          <w:lang w:val="en-US" w:eastAsia="zh-CN"/>
        </w:rPr>
        <w:t>43.4</w:t>
      </w:r>
      <w:r>
        <w:rPr>
          <w:rFonts w:hint="eastAsia" w:ascii="仿宋_GB2312" w:hAnsi="仿宋_GB2312" w:eastAsia="仿宋_GB2312" w:cs="仿宋_GB2312"/>
          <w:b w:val="0"/>
          <w:bCs/>
          <w:color w:val="auto"/>
          <w:spacing w:val="0"/>
          <w:kern w:val="21"/>
          <w:sz w:val="32"/>
          <w:szCs w:val="32"/>
          <w:highlight w:val="none"/>
          <w:lang w:val="en-US" w:eastAsia="zh-CN"/>
        </w:rPr>
        <w:t>%</w:t>
      </w:r>
      <w:r>
        <w:rPr>
          <w:rFonts w:hint="eastAsia" w:ascii="仿宋_GB2312" w:hAnsi="仿宋_GB2312" w:eastAsia="仿宋_GB2312" w:cs="仿宋_GB2312"/>
          <w:color w:val="auto"/>
          <w:spacing w:val="0"/>
          <w:kern w:val="21"/>
          <w:sz w:val="32"/>
          <w:szCs w:val="32"/>
          <w:highlight w:val="none"/>
          <w:shd w:val="clear" w:color="auto" w:fill="auto"/>
          <w:lang w:eastAsia="zh-CN"/>
        </w:rPr>
        <w:t>，将</w:t>
      </w:r>
      <w:r>
        <w:rPr>
          <w:rFonts w:hint="eastAsia" w:ascii="仿宋_GB2312" w:hAnsi="Calibri" w:eastAsia="仿宋_GB2312" w:cs="仿宋_GB2312"/>
          <w:b w:val="0"/>
          <w:bCs w:val="0"/>
          <w:color w:val="auto"/>
          <w:spacing w:val="0"/>
          <w:kern w:val="21"/>
          <w:sz w:val="32"/>
          <w:szCs w:val="32"/>
          <w:highlight w:val="none"/>
          <w:shd w:val="clear" w:color="auto" w:fill="auto"/>
          <w:lang w:val="en-US" w:eastAsia="zh-CN" w:bidi="ar"/>
        </w:rPr>
        <w:t>更多的财力、最大的增量投入民生事业</w:t>
      </w:r>
      <w:r>
        <w:rPr>
          <w:rFonts w:hint="eastAsia" w:ascii="仿宋_GB2312" w:hAnsi="仿宋_GB2312" w:eastAsia="仿宋_GB2312" w:cs="仿宋_GB2312"/>
          <w:b w:val="0"/>
          <w:bCs/>
          <w:color w:val="auto"/>
          <w:spacing w:val="0"/>
          <w:kern w:val="21"/>
          <w:sz w:val="32"/>
          <w:szCs w:val="32"/>
          <w:highlight w:val="none"/>
          <w:lang w:val="en-US" w:eastAsia="zh-CN"/>
        </w:rPr>
        <w:t>。</w:t>
      </w:r>
      <w:r>
        <w:rPr>
          <w:rFonts w:hint="eastAsia" w:ascii="仿宋_GB2312" w:hAnsi="仿宋_GB2312" w:cs="仿宋_GB2312"/>
          <w:b w:val="0"/>
          <w:bCs w:val="0"/>
          <w:color w:val="auto"/>
          <w:spacing w:val="0"/>
          <w:kern w:val="21"/>
          <w:sz w:val="32"/>
          <w:szCs w:val="32"/>
          <w:lang w:val="en-US" w:eastAsia="zh-CN"/>
        </w:rPr>
        <w:t>2024年，共安排民生支出</w:t>
      </w:r>
      <w:r>
        <w:rPr>
          <w:rFonts w:hint="eastAsia" w:ascii="仿宋_GB2312" w:hAnsi="仿宋_GB2312" w:cs="Times New Roman"/>
          <w:color w:val="auto"/>
          <w:spacing w:val="0"/>
          <w:kern w:val="21"/>
          <w:sz w:val="32"/>
          <w:szCs w:val="32"/>
          <w:lang w:val="en-US" w:eastAsia="zh-CN"/>
        </w:rPr>
        <w:t>243.5</w:t>
      </w:r>
      <w:r>
        <w:rPr>
          <w:rFonts w:hint="eastAsia" w:ascii="仿宋_GB2312" w:hAnsi="仿宋_GB2312" w:cs="Times New Roman"/>
          <w:color w:val="auto"/>
          <w:spacing w:val="0"/>
          <w:kern w:val="21"/>
          <w:sz w:val="32"/>
          <w:szCs w:val="32"/>
        </w:rPr>
        <w:t>亿元，占一般公共预</w:t>
      </w:r>
      <w:r>
        <w:rPr>
          <w:rFonts w:hint="eastAsia" w:ascii="仿宋_GB2312" w:hAnsi="仿宋_GB2312" w:cs="Times New Roman"/>
          <w:color w:val="auto"/>
          <w:spacing w:val="0"/>
          <w:kern w:val="21"/>
          <w:sz w:val="32"/>
          <w:szCs w:val="32"/>
          <w:highlight w:val="none"/>
        </w:rPr>
        <w:t>算支出的</w:t>
      </w:r>
      <w:r>
        <w:rPr>
          <w:rFonts w:hint="eastAsia" w:ascii="仿宋_GB2312" w:hAnsi="仿宋_GB2312" w:cs="Times New Roman"/>
          <w:color w:val="auto"/>
          <w:spacing w:val="0"/>
          <w:kern w:val="21"/>
          <w:sz w:val="32"/>
          <w:szCs w:val="32"/>
          <w:highlight w:val="none"/>
          <w:lang w:val="en-US" w:eastAsia="zh-CN"/>
        </w:rPr>
        <w:t>81.4%，有力保障</w:t>
      </w:r>
      <w:r>
        <w:rPr>
          <w:rFonts w:hint="eastAsia" w:ascii="仿宋_GB2312" w:hAnsi="仿宋_GB2312" w:eastAsia="仿宋_GB2312" w:cs="仿宋_GB2312"/>
          <w:b w:val="0"/>
          <w:bCs w:val="0"/>
          <w:color w:val="auto"/>
          <w:spacing w:val="0"/>
          <w:kern w:val="21"/>
          <w:sz w:val="32"/>
          <w:szCs w:val="32"/>
          <w:lang w:eastAsia="zh-CN"/>
        </w:rPr>
        <w:t>各项民生实事有序落实</w:t>
      </w:r>
      <w:r>
        <w:rPr>
          <w:rFonts w:hint="eastAsia" w:ascii="仿宋_GB2312" w:hAnsi="仿宋_GB2312" w:cs="仿宋_GB2312"/>
          <w:b w:val="0"/>
          <w:bCs w:val="0"/>
          <w:color w:val="auto"/>
          <w:spacing w:val="0"/>
          <w:kern w:val="21"/>
          <w:sz w:val="32"/>
          <w:szCs w:val="32"/>
          <w:lang w:eastAsia="zh-CN"/>
        </w:rPr>
        <w:t>，</w:t>
      </w:r>
      <w:r>
        <w:rPr>
          <w:rFonts w:hint="eastAsia" w:ascii="仿宋_GB2312" w:hAnsi="仿宋_GB2312" w:cs="Times New Roman"/>
          <w:color w:val="auto"/>
          <w:spacing w:val="0"/>
          <w:kern w:val="21"/>
          <w:sz w:val="32"/>
          <w:szCs w:val="32"/>
        </w:rPr>
        <w:t>教育、医疗卫生、社会保障等社会事业加快发展，生态环境、城乡社区、公共安全等城市治理体系日益完善，</w:t>
      </w:r>
      <w:r>
        <w:rPr>
          <w:rFonts w:hint="eastAsia" w:ascii="仿宋_GB2312" w:hAnsi="仿宋_GB2312" w:cs="Times New Roman"/>
          <w:color w:val="auto"/>
          <w:spacing w:val="0"/>
          <w:kern w:val="21"/>
          <w:sz w:val="32"/>
          <w:szCs w:val="32"/>
          <w:highlight w:val="none"/>
        </w:rPr>
        <w:t>人民群众获得感、幸福感、安全感进一步提高。</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3" w:firstLineChars="200"/>
        <w:jc w:val="both"/>
        <w:textAlignment w:val="auto"/>
        <w:rPr>
          <w:rFonts w:hint="eastAsia" w:ascii="仿宋_GB2312" w:hAnsi="Arial" w:eastAsia="仿宋_GB2312" w:cs="仿宋_GB2312"/>
          <w:i w:val="0"/>
          <w:caps w:val="0"/>
          <w:color w:val="auto"/>
          <w:spacing w:val="0"/>
          <w:kern w:val="21"/>
          <w:sz w:val="32"/>
          <w:szCs w:val="32"/>
          <w:shd w:val="clear" w:color="auto" w:fill="auto"/>
          <w:lang w:eastAsia="zh-CN"/>
        </w:rPr>
      </w:pPr>
      <w:r>
        <w:rPr>
          <w:rFonts w:hint="eastAsia" w:ascii="仿宋_GB2312" w:hAnsi="仿宋_GB2312" w:eastAsia="仿宋_GB2312" w:cs="仿宋_GB2312"/>
          <w:b/>
          <w:bCs/>
          <w:color w:val="auto"/>
          <w:spacing w:val="0"/>
          <w:kern w:val="21"/>
          <w:sz w:val="32"/>
          <w:szCs w:val="32"/>
          <w:lang w:val="en-US" w:eastAsia="zh-CN" w:bidi="ar-SA"/>
        </w:rPr>
        <w:t>加强财政资源和预算统筹。</w:t>
      </w:r>
      <w:r>
        <w:rPr>
          <w:rFonts w:hint="eastAsia" w:ascii="仿宋_GB2312" w:hAnsi="楷体_GB2312" w:eastAsia="仿宋_GB2312" w:cs="楷体_GB2312"/>
          <w:color w:val="auto"/>
          <w:spacing w:val="0"/>
          <w:kern w:val="21"/>
          <w:sz w:val="32"/>
          <w:szCs w:val="32"/>
        </w:rPr>
        <w:t>按照量入为出</w:t>
      </w:r>
      <w:r>
        <w:rPr>
          <w:rFonts w:hint="eastAsia" w:ascii="仿宋_GB2312" w:hAnsi="楷体_GB2312" w:eastAsia="仿宋_GB2312" w:cs="楷体_GB2312"/>
          <w:color w:val="auto"/>
          <w:spacing w:val="0"/>
          <w:kern w:val="21"/>
          <w:sz w:val="32"/>
          <w:szCs w:val="32"/>
          <w:lang w:eastAsia="zh-CN"/>
        </w:rPr>
        <w:t>、统筹兼顾</w:t>
      </w:r>
      <w:r>
        <w:rPr>
          <w:rFonts w:hint="eastAsia" w:ascii="仿宋_GB2312" w:hAnsi="楷体_GB2312" w:eastAsia="仿宋_GB2312" w:cs="楷体_GB2312"/>
          <w:color w:val="auto"/>
          <w:spacing w:val="0"/>
          <w:kern w:val="21"/>
          <w:sz w:val="32"/>
          <w:szCs w:val="32"/>
        </w:rPr>
        <w:t>原则，综合各类资金渠道确定全口径预算收支，将</w:t>
      </w:r>
      <w:r>
        <w:rPr>
          <w:rFonts w:hint="eastAsia" w:ascii="仿宋_GB2312" w:eastAsia="仿宋_GB2312"/>
          <w:color w:val="auto"/>
          <w:spacing w:val="0"/>
          <w:kern w:val="21"/>
          <w:sz w:val="32"/>
          <w:szCs w:val="32"/>
        </w:rPr>
        <w:t>依法依规取得的所有收入全部纳入预算管理</w:t>
      </w:r>
      <w:r>
        <w:rPr>
          <w:rFonts w:hint="eastAsia" w:ascii="仿宋_GB2312" w:hAnsi="仿宋_GB2312" w:eastAsia="仿宋_GB2312" w:cs="仿宋_GB2312"/>
          <w:b w:val="0"/>
          <w:bCs w:val="0"/>
          <w:color w:val="auto"/>
          <w:spacing w:val="0"/>
          <w:kern w:val="21"/>
          <w:sz w:val="32"/>
          <w:szCs w:val="32"/>
          <w:lang w:val="en-US" w:eastAsia="zh-CN" w:bidi="ar-SA"/>
        </w:rPr>
        <w:t>。加强“三本预算”统筹和有机衔接，</w:t>
      </w:r>
      <w:r>
        <w:rPr>
          <w:rFonts w:hint="eastAsia" w:ascii="仿宋_GB2312" w:hAnsi="仿宋" w:eastAsia="仿宋_GB2312" w:cs="Times New Roman"/>
          <w:color w:val="auto"/>
          <w:spacing w:val="0"/>
          <w:kern w:val="21"/>
          <w:sz w:val="32"/>
          <w:szCs w:val="32"/>
          <w:shd w:val="clear" w:color="auto" w:fill="auto"/>
          <w:lang w:eastAsia="zh-CN"/>
        </w:rPr>
        <w:t>动用</w:t>
      </w:r>
      <w:r>
        <w:rPr>
          <w:rFonts w:hint="eastAsia" w:ascii="仿宋_GB2312" w:hAnsi="仿宋_GB2312" w:eastAsia="仿宋_GB2312" w:cs="仿宋_GB2312"/>
          <w:color w:val="auto"/>
          <w:spacing w:val="0"/>
          <w:kern w:val="21"/>
          <w:sz w:val="32"/>
          <w:szCs w:val="32"/>
          <w:highlight w:val="none"/>
          <w:shd w:val="clear" w:color="auto" w:fill="auto"/>
          <w:lang w:val="en-US" w:eastAsia="zh-CN"/>
        </w:rPr>
        <w:t>12.4亿元预算稳定调节基金补充一般公共预算。</w:t>
      </w:r>
      <w:r>
        <w:rPr>
          <w:rFonts w:hint="default" w:ascii="仿宋_GB2312" w:hAnsi="仿宋_GB2312" w:eastAsia="仿宋_GB2312" w:cs="仿宋_GB2312"/>
          <w:color w:val="auto"/>
          <w:spacing w:val="0"/>
          <w:kern w:val="21"/>
          <w:sz w:val="32"/>
          <w:szCs w:val="32"/>
          <w:highlight w:val="none"/>
          <w:shd w:val="clear" w:color="auto" w:fill="auto"/>
          <w:lang w:val="en-US" w:eastAsia="zh-CN"/>
        </w:rPr>
        <w:t>大力盘活部门存量资金</w:t>
      </w:r>
      <w:r>
        <w:rPr>
          <w:rFonts w:hint="eastAsia" w:ascii="仿宋_GB2312" w:hAnsi="仿宋_GB2312" w:eastAsia="仿宋_GB2312" w:cs="仿宋_GB2312"/>
          <w:color w:val="auto"/>
          <w:spacing w:val="0"/>
          <w:kern w:val="21"/>
          <w:sz w:val="32"/>
          <w:szCs w:val="32"/>
          <w:highlight w:val="none"/>
          <w:shd w:val="clear" w:color="auto" w:fill="auto"/>
          <w:lang w:val="en-US" w:eastAsia="zh-CN"/>
        </w:rPr>
        <w:t>，</w:t>
      </w:r>
      <w:r>
        <w:rPr>
          <w:rFonts w:ascii="仿宋_GB2312" w:hAnsi="Arial" w:eastAsia="仿宋_GB2312" w:cs="仿宋_GB2312"/>
          <w:i w:val="0"/>
          <w:caps w:val="0"/>
          <w:color w:val="auto"/>
          <w:spacing w:val="0"/>
          <w:kern w:val="21"/>
          <w:sz w:val="32"/>
          <w:szCs w:val="32"/>
          <w:shd w:val="clear" w:color="auto" w:fill="auto"/>
        </w:rPr>
        <w:t>累计</w:t>
      </w:r>
      <w:r>
        <w:rPr>
          <w:rFonts w:hint="eastAsia" w:ascii="仿宋_GB2312" w:hAnsi="Arial" w:eastAsia="仿宋_GB2312" w:cs="仿宋_GB2312"/>
          <w:i w:val="0"/>
          <w:caps w:val="0"/>
          <w:color w:val="auto"/>
          <w:spacing w:val="0"/>
          <w:kern w:val="21"/>
          <w:sz w:val="32"/>
          <w:szCs w:val="32"/>
          <w:shd w:val="clear" w:color="auto" w:fill="auto"/>
          <w:lang w:eastAsia="zh-CN"/>
        </w:rPr>
        <w:t>收</w:t>
      </w:r>
      <w:r>
        <w:rPr>
          <w:rFonts w:ascii="仿宋_GB2312" w:hAnsi="Arial" w:eastAsia="仿宋_GB2312" w:cs="仿宋_GB2312"/>
          <w:i w:val="0"/>
          <w:caps w:val="0"/>
          <w:color w:val="auto"/>
          <w:spacing w:val="0"/>
          <w:kern w:val="21"/>
          <w:sz w:val="32"/>
          <w:szCs w:val="32"/>
          <w:shd w:val="clear" w:color="auto" w:fill="auto"/>
        </w:rPr>
        <w:t>回2023年及以前年度下达的财政性资金</w:t>
      </w:r>
      <w:r>
        <w:rPr>
          <w:rFonts w:hint="eastAsia" w:ascii="仿宋_GB2312" w:hAnsi="Arial" w:eastAsia="仿宋_GB2312" w:cs="仿宋_GB2312"/>
          <w:i w:val="0"/>
          <w:caps w:val="0"/>
          <w:color w:val="auto"/>
          <w:spacing w:val="0"/>
          <w:kern w:val="21"/>
          <w:sz w:val="32"/>
          <w:szCs w:val="32"/>
          <w:shd w:val="clear" w:color="auto" w:fill="auto"/>
        </w:rPr>
        <w:t>2.2亿元</w:t>
      </w:r>
      <w:r>
        <w:rPr>
          <w:rFonts w:hint="eastAsia" w:ascii="仿宋_GB2312" w:hAnsi="Arial" w:eastAsia="仿宋_GB2312" w:cs="仿宋_GB2312"/>
          <w:i w:val="0"/>
          <w:caps w:val="0"/>
          <w:color w:val="auto"/>
          <w:spacing w:val="0"/>
          <w:kern w:val="21"/>
          <w:sz w:val="32"/>
          <w:szCs w:val="32"/>
          <w:shd w:val="clear" w:color="auto" w:fill="auto"/>
          <w:lang w:eastAsia="zh-CN"/>
        </w:rPr>
        <w:t>，</w:t>
      </w:r>
      <w:r>
        <w:rPr>
          <w:rFonts w:hint="eastAsia" w:ascii="仿宋_GB2312" w:hAnsi="Arial" w:eastAsia="仿宋_GB2312" w:cs="仿宋_GB2312"/>
          <w:i w:val="0"/>
          <w:caps w:val="0"/>
          <w:color w:val="auto"/>
          <w:spacing w:val="0"/>
          <w:kern w:val="21"/>
          <w:sz w:val="32"/>
          <w:szCs w:val="32"/>
          <w:shd w:val="clear" w:color="auto" w:fill="auto"/>
        </w:rPr>
        <w:t>有效避免财政资金“二次沉淀”</w:t>
      </w:r>
      <w:r>
        <w:rPr>
          <w:rFonts w:hint="eastAsia" w:ascii="仿宋_GB2312" w:hAnsi="Arial" w:eastAsia="仿宋_GB2312" w:cs="仿宋_GB2312"/>
          <w:i w:val="0"/>
          <w:caps w:val="0"/>
          <w:color w:val="auto"/>
          <w:spacing w:val="0"/>
          <w:kern w:val="21"/>
          <w:sz w:val="32"/>
          <w:szCs w:val="32"/>
          <w:shd w:val="clear" w:color="auto" w:fill="auto"/>
          <w:lang w:eastAsia="zh-CN"/>
        </w:rPr>
        <w:t>。</w:t>
      </w:r>
      <w:r>
        <w:rPr>
          <w:rFonts w:hint="eastAsia" w:ascii="仿宋_GB2312" w:hAnsi="仿宋_GB2312" w:eastAsia="仿宋_GB2312" w:cs="仿宋_GB2312"/>
          <w:b w:val="0"/>
          <w:bCs w:val="0"/>
          <w:color w:val="auto"/>
          <w:spacing w:val="0"/>
          <w:kern w:val="21"/>
          <w:sz w:val="32"/>
          <w:szCs w:val="32"/>
          <w:highlight w:val="none"/>
          <w:shd w:val="clear" w:color="auto" w:fill="auto"/>
          <w:lang w:val="en-US" w:eastAsia="zh-CN"/>
        </w:rPr>
        <w:t>规范大额资金管理，</w:t>
      </w:r>
      <w:r>
        <w:rPr>
          <w:rFonts w:hint="eastAsia" w:ascii="仿宋_GB2312" w:hAnsi="仿宋_GB2312" w:eastAsia="仿宋_GB2312" w:cs="仿宋_GB2312"/>
          <w:b w:val="0"/>
          <w:bCs w:val="0"/>
          <w:color w:val="auto"/>
          <w:spacing w:val="0"/>
          <w:kern w:val="21"/>
          <w:sz w:val="32"/>
          <w:szCs w:val="32"/>
          <w:highlight w:val="none"/>
          <w:shd w:val="clear" w:color="auto" w:fill="auto"/>
          <w:lang w:val="en-US" w:eastAsia="zh-CN" w:bidi="ar-SA"/>
        </w:rPr>
        <w:t>制定“1+6”框架体系，明确大额资金参考标准及6类重点预算管理事项的决策机制，促进权力规范透明运行。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cs="Times New Roman"/>
          <w:color w:val="auto"/>
          <w:spacing w:val="0"/>
          <w:kern w:val="21"/>
          <w:sz w:val="32"/>
          <w:szCs w:val="32"/>
        </w:rPr>
      </w:pPr>
      <w:r>
        <w:rPr>
          <w:rFonts w:hint="eastAsia" w:ascii="仿宋_GB2312" w:hAnsi="仿宋_GB2312" w:cs="Times New Roman"/>
          <w:b/>
          <w:bCs/>
          <w:color w:val="auto"/>
          <w:spacing w:val="0"/>
          <w:kern w:val="21"/>
          <w:sz w:val="32"/>
          <w:szCs w:val="32"/>
          <w:lang w:eastAsia="zh-CN"/>
        </w:rPr>
        <w:t>各项改革措施</w:t>
      </w:r>
      <w:r>
        <w:rPr>
          <w:rFonts w:hint="eastAsia" w:ascii="仿宋_GB2312" w:hAnsi="仿宋_GB2312" w:eastAsia="仿宋_GB2312" w:cs="仿宋_GB2312"/>
          <w:b/>
          <w:bCs/>
          <w:color w:val="auto"/>
          <w:spacing w:val="0"/>
          <w:kern w:val="21"/>
          <w:sz w:val="32"/>
          <w:szCs w:val="32"/>
          <w:lang w:val="en-US" w:eastAsia="zh-CN"/>
        </w:rPr>
        <w:t>先试先行</w:t>
      </w:r>
      <w:r>
        <w:rPr>
          <w:rFonts w:hint="eastAsia" w:ascii="仿宋_GB2312" w:hAnsi="仿宋_GB2312" w:cs="仿宋_GB2312"/>
          <w:b/>
          <w:bCs/>
          <w:color w:val="auto"/>
          <w:spacing w:val="0"/>
          <w:kern w:val="21"/>
          <w:sz w:val="32"/>
          <w:szCs w:val="32"/>
          <w:lang w:val="en-US" w:eastAsia="zh-CN"/>
        </w:rPr>
        <w:t>。</w:t>
      </w:r>
      <w:r>
        <w:rPr>
          <w:rFonts w:hint="eastAsia" w:ascii="仿宋_GB2312" w:hAnsi="仿宋_GB2312" w:eastAsia="仿宋_GB2312" w:cs="仿宋_GB2312"/>
          <w:color w:val="auto"/>
          <w:spacing w:val="0"/>
          <w:kern w:val="21"/>
          <w:sz w:val="32"/>
          <w:szCs w:val="32"/>
          <w:highlight w:val="none"/>
          <w:lang w:val="en-US" w:eastAsia="zh-CN"/>
        </w:rPr>
        <w:t>绩效管理改革稳步推进，全面构建我区预算绩效管理“1+4+N”制度体系，发布人大代表、政协委员参与财政事前绩效评估规范，制度规范全方位覆盖各工作环节和参与主体，首次实现以街镇为主体开展成本绩效分析全覆盖。</w:t>
      </w:r>
      <w:r>
        <w:rPr>
          <w:rFonts w:hint="eastAsia" w:ascii="仿宋_GB2312" w:hAnsi="仿宋_GB2312" w:cs="仿宋_GB2312"/>
          <w:color w:val="auto"/>
          <w:spacing w:val="0"/>
          <w:kern w:val="21"/>
          <w:sz w:val="32"/>
          <w:szCs w:val="32"/>
          <w:lang w:val="en-US" w:eastAsia="zh-CN"/>
        </w:rPr>
        <w:t>完成医疗电子票据改革，稳妥有序替换纸质“黄票”，有效减少患者窗口排队，形成“互联网+政务服务”新模式。</w:t>
      </w:r>
      <w:r>
        <w:rPr>
          <w:rFonts w:hint="eastAsia" w:ascii="仿宋_GB2312" w:hAnsi="仿宋_GB2312" w:eastAsia="仿宋_GB2312" w:cs="仿宋_GB2312"/>
          <w:color w:val="auto"/>
          <w:spacing w:val="0"/>
          <w:kern w:val="21"/>
          <w:sz w:val="32"/>
          <w:szCs w:val="32"/>
          <w:lang w:val="en-US" w:eastAsia="zh-CN"/>
        </w:rPr>
        <w:t>加快推动数字人民币试点工作，在全市范围内首次实现财政统发工资数字人民币发放全覆盖</w:t>
      </w:r>
      <w:r>
        <w:rPr>
          <w:rFonts w:hint="eastAsia" w:ascii="仿宋_GB2312" w:hAnsi="仿宋_GB2312" w:cs="仿宋_GB2312"/>
          <w:color w:val="auto"/>
          <w:spacing w:val="0"/>
          <w:kern w:val="21"/>
          <w:sz w:val="32"/>
          <w:szCs w:val="32"/>
          <w:lang w:val="en-US" w:eastAsia="zh-CN"/>
        </w:rPr>
        <w:t>。</w:t>
      </w:r>
      <w:r>
        <w:rPr>
          <w:rFonts w:hint="eastAsia" w:ascii="仿宋_GB2312" w:hAnsi="仿宋_GB2312" w:eastAsia="仿宋_GB2312" w:cs="仿宋_GB2312"/>
          <w:color w:val="auto"/>
          <w:spacing w:val="0"/>
          <w:kern w:val="21"/>
          <w:sz w:val="32"/>
          <w:szCs w:val="32"/>
          <w:lang w:val="en-US" w:eastAsia="zh-CN"/>
        </w:rPr>
        <w:t>持续推进预决算公开，通过不断扩大公开范围、细化公开内容，让财政权力在阳光下运行，做到依法理财、科学理财、民主理财。</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仿宋_GB2312" w:hAnsi="仿宋_GB2312" w:cs="Times New Roman"/>
          <w:b w:val="0"/>
          <w:bCs w:val="0"/>
          <w:color w:val="auto"/>
          <w:spacing w:val="0"/>
          <w:kern w:val="21"/>
          <w:sz w:val="32"/>
          <w:szCs w:val="32"/>
          <w:highlight w:val="none"/>
        </w:rPr>
      </w:pPr>
      <w:r>
        <w:rPr>
          <w:rFonts w:hint="eastAsia" w:ascii="仿宋_GB2312" w:hAnsi="仿宋_GB2312" w:cs="Times New Roman"/>
          <w:b w:val="0"/>
          <w:bCs w:val="0"/>
          <w:color w:val="auto"/>
          <w:spacing w:val="0"/>
          <w:kern w:val="21"/>
          <w:sz w:val="32"/>
          <w:szCs w:val="32"/>
          <w:highlight w:val="none"/>
          <w:lang w:val="en-US" w:eastAsia="zh-CN"/>
        </w:rPr>
        <w:t>4</w:t>
      </w:r>
      <w:r>
        <w:rPr>
          <w:rFonts w:hint="eastAsia" w:ascii="仿宋_GB2312" w:hAnsi="仿宋_GB2312" w:cs="Times New Roman"/>
          <w:b w:val="0"/>
          <w:bCs w:val="0"/>
          <w:color w:val="auto"/>
          <w:spacing w:val="0"/>
          <w:kern w:val="21"/>
          <w:sz w:val="32"/>
          <w:szCs w:val="32"/>
          <w:highlight w:val="none"/>
        </w:rPr>
        <w:t>.</w:t>
      </w:r>
      <w:r>
        <w:rPr>
          <w:rFonts w:hint="eastAsia" w:ascii="仿宋_GB2312" w:hAnsi="仿宋_GB2312" w:cs="Times New Roman"/>
          <w:b w:val="0"/>
          <w:bCs w:val="0"/>
          <w:color w:val="auto"/>
          <w:spacing w:val="0"/>
          <w:kern w:val="21"/>
          <w:sz w:val="32"/>
          <w:szCs w:val="32"/>
          <w:highlight w:val="none"/>
          <w:lang w:eastAsia="zh-CN"/>
        </w:rPr>
        <w:t>防风险、兜底线，财政运行平稳有序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cs="Times New Roman"/>
          <w:color w:val="auto"/>
          <w:spacing w:val="0"/>
          <w:kern w:val="21"/>
          <w:sz w:val="32"/>
          <w:szCs w:val="32"/>
          <w:highlight w:val="none"/>
          <w:shd w:val="clear" w:color="auto" w:fill="FFFFFF"/>
        </w:rPr>
      </w:pPr>
      <w:r>
        <w:rPr>
          <w:rFonts w:hint="eastAsia" w:ascii="仿宋_GB2312" w:hAnsi="仿宋_GB2312" w:cs="Times New Roman"/>
          <w:b/>
          <w:bCs/>
          <w:color w:val="auto"/>
          <w:spacing w:val="0"/>
          <w:kern w:val="21"/>
          <w:sz w:val="32"/>
          <w:szCs w:val="32"/>
          <w:highlight w:val="none"/>
        </w:rPr>
        <w:t>严控债务风险。</w:t>
      </w:r>
      <w:r>
        <w:rPr>
          <w:rFonts w:hint="eastAsia" w:ascii="仿宋_GB2312" w:hAnsi="仿宋_GB2312" w:cs="Times New Roman"/>
          <w:b w:val="0"/>
          <w:bCs w:val="0"/>
          <w:color w:val="auto"/>
          <w:spacing w:val="0"/>
          <w:kern w:val="21"/>
          <w:sz w:val="32"/>
          <w:szCs w:val="32"/>
          <w:highlight w:val="none"/>
          <w:lang w:eastAsia="zh-CN"/>
        </w:rPr>
        <w:t>高位谋划</w:t>
      </w:r>
      <w:r>
        <w:rPr>
          <w:rFonts w:hint="eastAsia" w:ascii="仿宋_GB2312" w:hAnsi="仿宋_GB2312" w:cs="Times New Roman"/>
          <w:color w:val="auto"/>
          <w:spacing w:val="0"/>
          <w:kern w:val="21"/>
          <w:sz w:val="32"/>
          <w:szCs w:val="32"/>
          <w:highlight w:val="none"/>
          <w:lang w:eastAsia="zh-CN"/>
        </w:rPr>
        <w:t>债务风险化解工作，</w:t>
      </w:r>
      <w:r>
        <w:rPr>
          <w:rFonts w:hint="eastAsia" w:ascii="仿宋_GB2312" w:hAnsi="仿宋_GB2312" w:eastAsia="仿宋_GB2312" w:cs="仿宋_GB2312"/>
          <w:color w:val="auto"/>
          <w:spacing w:val="0"/>
          <w:kern w:val="21"/>
          <w:sz w:val="32"/>
          <w:szCs w:val="32"/>
          <w:shd w:val="clear" w:color="auto" w:fill="auto"/>
        </w:rPr>
        <w:t>编制政府债务化解工作方案，从降低债务规模、提升综合财力两个方面发力，切实降低债务风险</w:t>
      </w:r>
      <w:r>
        <w:rPr>
          <w:rFonts w:hint="eastAsia" w:ascii="仿宋_GB2312" w:hAnsi="仿宋_GB2312" w:cs="仿宋_GB2312"/>
          <w:color w:val="auto"/>
          <w:spacing w:val="0"/>
          <w:kern w:val="21"/>
          <w:sz w:val="32"/>
          <w:szCs w:val="32"/>
          <w:shd w:val="clear" w:color="auto" w:fill="auto"/>
          <w:lang w:eastAsia="zh-CN"/>
        </w:rPr>
        <w:t>。</w:t>
      </w:r>
      <w:r>
        <w:rPr>
          <w:rFonts w:hint="default" w:ascii="仿宋_GB2312" w:hAnsi="仿宋_GB2312" w:eastAsia="仿宋_GB2312" w:cs="仿宋_GB2312"/>
          <w:color w:val="auto"/>
          <w:spacing w:val="0"/>
          <w:kern w:val="21"/>
          <w:sz w:val="32"/>
          <w:szCs w:val="32"/>
          <w:lang w:val="en-US" w:eastAsia="zh-CN"/>
        </w:rPr>
        <w:t>建立涵盖“借、用、</w:t>
      </w:r>
      <w:r>
        <w:rPr>
          <w:rFonts w:hint="eastAsia" w:cs="仿宋_GB2312"/>
          <w:color w:val="auto"/>
          <w:spacing w:val="0"/>
          <w:kern w:val="21"/>
          <w:sz w:val="32"/>
          <w:szCs w:val="32"/>
          <w:lang w:val="en-US" w:eastAsia="zh-CN"/>
        </w:rPr>
        <w:t>管、</w:t>
      </w:r>
      <w:r>
        <w:rPr>
          <w:rFonts w:hint="default" w:ascii="仿宋_GB2312" w:hAnsi="仿宋_GB2312" w:eastAsia="仿宋_GB2312" w:cs="仿宋_GB2312"/>
          <w:color w:val="auto"/>
          <w:spacing w:val="0"/>
          <w:kern w:val="21"/>
          <w:sz w:val="32"/>
          <w:szCs w:val="32"/>
          <w:lang w:val="en-US" w:eastAsia="zh-CN"/>
        </w:rPr>
        <w:t>还”的政府债务全过程项目管理机制</w:t>
      </w:r>
      <w:r>
        <w:rPr>
          <w:rFonts w:hint="eastAsia" w:ascii="仿宋_GB2312" w:hAnsi="仿宋_GB2312" w:cs="仿宋_GB2312"/>
          <w:color w:val="auto"/>
          <w:spacing w:val="0"/>
          <w:kern w:val="21"/>
          <w:sz w:val="32"/>
          <w:szCs w:val="32"/>
          <w:lang w:val="en-US" w:eastAsia="zh-CN"/>
        </w:rPr>
        <w:t>，</w:t>
      </w:r>
      <w:r>
        <w:rPr>
          <w:rFonts w:hint="eastAsia" w:cs="仿宋_GB2312"/>
          <w:color w:val="auto"/>
          <w:spacing w:val="0"/>
          <w:kern w:val="21"/>
          <w:sz w:val="32"/>
          <w:szCs w:val="32"/>
          <w:lang w:val="en-US" w:eastAsia="zh-CN"/>
        </w:rPr>
        <w:t>积极</w:t>
      </w:r>
      <w:r>
        <w:rPr>
          <w:rFonts w:hint="default" w:ascii="仿宋_GB2312" w:hAnsi="仿宋_GB2312" w:eastAsia="仿宋_GB2312" w:cs="仿宋_GB2312"/>
          <w:color w:val="auto"/>
          <w:spacing w:val="0"/>
          <w:kern w:val="21"/>
          <w:sz w:val="32"/>
          <w:szCs w:val="32"/>
          <w:lang w:val="en-US" w:eastAsia="zh-CN"/>
        </w:rPr>
        <w:t>开展项目征集、资金平衡测算等前期准备工作，</w:t>
      </w:r>
      <w:r>
        <w:rPr>
          <w:rFonts w:hint="eastAsia" w:ascii="仿宋_GB2312" w:hAnsi="仿宋_GB2312" w:cs="仿宋_GB2312"/>
          <w:color w:val="auto"/>
          <w:spacing w:val="0"/>
          <w:kern w:val="21"/>
          <w:sz w:val="32"/>
          <w:szCs w:val="32"/>
          <w:lang w:val="en-US" w:eastAsia="zh-CN"/>
        </w:rPr>
        <w:t>做好新增专项债券资金管理</w:t>
      </w:r>
      <w:r>
        <w:rPr>
          <w:rFonts w:hint="default" w:ascii="仿宋_GB2312" w:hAnsi="仿宋_GB2312" w:eastAsia="仿宋_GB2312" w:cs="仿宋_GB2312"/>
          <w:color w:val="auto"/>
          <w:spacing w:val="0"/>
          <w:kern w:val="21"/>
          <w:sz w:val="32"/>
          <w:szCs w:val="32"/>
          <w:lang w:val="en-US" w:eastAsia="zh-CN"/>
        </w:rPr>
        <w:t>。</w:t>
      </w:r>
      <w:r>
        <w:rPr>
          <w:rFonts w:hint="eastAsia" w:cs="仿宋_GB2312"/>
          <w:color w:val="auto"/>
          <w:spacing w:val="0"/>
          <w:kern w:val="21"/>
          <w:sz w:val="32"/>
          <w:szCs w:val="32"/>
          <w:lang w:val="en-US" w:eastAsia="zh-CN"/>
        </w:rPr>
        <w:t>梳理</w:t>
      </w:r>
      <w:r>
        <w:rPr>
          <w:rFonts w:hint="default" w:ascii="仿宋_GB2312" w:hAnsi="仿宋_GB2312" w:eastAsia="仿宋_GB2312" w:cs="仿宋_GB2312"/>
          <w:color w:val="auto"/>
          <w:spacing w:val="0"/>
          <w:kern w:val="21"/>
          <w:sz w:val="32"/>
          <w:szCs w:val="32"/>
          <w:lang w:val="en-US" w:eastAsia="zh-CN"/>
        </w:rPr>
        <w:t>掌握未来</w:t>
      </w:r>
      <w:r>
        <w:rPr>
          <w:rFonts w:hint="eastAsia" w:cs="仿宋_GB2312"/>
          <w:color w:val="auto"/>
          <w:spacing w:val="0"/>
          <w:kern w:val="21"/>
          <w:sz w:val="32"/>
          <w:szCs w:val="32"/>
          <w:lang w:val="en-US" w:eastAsia="zh-CN"/>
        </w:rPr>
        <w:t>年度</w:t>
      </w:r>
      <w:r>
        <w:rPr>
          <w:rFonts w:hint="default" w:ascii="仿宋_GB2312" w:hAnsi="仿宋_GB2312" w:eastAsia="仿宋_GB2312" w:cs="仿宋_GB2312"/>
          <w:color w:val="auto"/>
          <w:spacing w:val="0"/>
          <w:kern w:val="21"/>
          <w:sz w:val="32"/>
          <w:szCs w:val="32"/>
          <w:lang w:val="en-US" w:eastAsia="zh-CN"/>
        </w:rPr>
        <w:t>债券还本付息情况，统筹安排年度预算优先保障存量政府债务还本付息，避免政府债务违约风险。</w:t>
      </w:r>
      <w:r>
        <w:rPr>
          <w:rFonts w:hint="eastAsia" w:ascii="仿宋_GB2312" w:hAnsi="仿宋_GB2312" w:eastAsia="仿宋_GB2312" w:cs="仿宋_GB2312"/>
          <w:color w:val="auto"/>
          <w:spacing w:val="0"/>
          <w:kern w:val="21"/>
          <w:sz w:val="32"/>
          <w:szCs w:val="32"/>
          <w:lang w:val="en-US" w:eastAsia="zh-CN" w:bidi="ar-SA"/>
        </w:rPr>
        <w:t>加强政府债务日常监督检查，依托财政部全口径债务监测平台，及时梳理排查债务风险隐患，做到早发现、早预警、早处置。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pacing w:val="0"/>
          <w:kern w:val="21"/>
          <w:sz w:val="32"/>
          <w:szCs w:val="32"/>
          <w:lang w:val="en-US" w:eastAsia="zh-CN" w:bidi="ar-SA"/>
        </w:rPr>
      </w:pPr>
      <w:r>
        <w:rPr>
          <w:rFonts w:hint="eastAsia" w:ascii="仿宋_GB2312" w:hAnsi="仿宋_GB2312" w:eastAsia="仿宋_GB2312" w:cs="仿宋_GB2312"/>
          <w:b/>
          <w:bCs/>
          <w:color w:val="auto"/>
          <w:spacing w:val="0"/>
          <w:kern w:val="21"/>
          <w:sz w:val="32"/>
          <w:szCs w:val="32"/>
          <w:lang w:val="en-US" w:eastAsia="zh-CN" w:bidi="ar-SA"/>
        </w:rPr>
        <w:t>兜牢“三保”底线。</w:t>
      </w:r>
      <w:r>
        <w:rPr>
          <w:rFonts w:hint="eastAsia" w:ascii="仿宋_GB2312" w:hAnsi="仿宋_GB2312" w:eastAsia="仿宋_GB2312" w:cs="仿宋_GB2312"/>
          <w:color w:val="auto"/>
          <w:spacing w:val="0"/>
          <w:kern w:val="21"/>
          <w:sz w:val="32"/>
          <w:szCs w:val="32"/>
          <w:lang w:val="en-US" w:eastAsia="zh-CN" w:bidi="ar-SA"/>
        </w:rPr>
        <w:t>坚持“三保”预算优先编制，切实做到编实编细“三保”项目、做足做实“三保”预算，确保不留</w:t>
      </w:r>
      <w:r>
        <w:rPr>
          <w:rFonts w:hint="eastAsia" w:ascii="仿宋_GB2312" w:hAnsi="仿宋_GB2312" w:cs="仿宋_GB2312"/>
          <w:color w:val="auto"/>
          <w:spacing w:val="0"/>
          <w:kern w:val="21"/>
          <w:sz w:val="32"/>
          <w:szCs w:val="32"/>
          <w:lang w:val="en-US" w:eastAsia="zh-CN" w:bidi="ar-SA"/>
        </w:rPr>
        <w:t>硬</w:t>
      </w:r>
      <w:r>
        <w:rPr>
          <w:rFonts w:hint="eastAsia" w:ascii="仿宋_GB2312" w:hAnsi="仿宋_GB2312" w:eastAsia="仿宋_GB2312" w:cs="仿宋_GB2312"/>
          <w:color w:val="auto"/>
          <w:spacing w:val="0"/>
          <w:kern w:val="21"/>
          <w:sz w:val="32"/>
          <w:szCs w:val="32"/>
          <w:lang w:val="en-US" w:eastAsia="zh-CN" w:bidi="ar-SA"/>
        </w:rPr>
        <w:t>缺口。坚持“三保”资金优先下达，一切支出严格按照先“三保”后其他的顺序进行保障，</w:t>
      </w:r>
      <w:r>
        <w:rPr>
          <w:rFonts w:hint="eastAsia" w:ascii="仿宋_GB2312" w:hAnsi="仿宋_GB2312" w:cs="仿宋_GB2312"/>
          <w:color w:val="auto"/>
          <w:spacing w:val="0"/>
          <w:kern w:val="21"/>
          <w:sz w:val="32"/>
          <w:szCs w:val="32"/>
          <w:lang w:val="en-US" w:eastAsia="zh-CN" w:bidi="ar-SA"/>
        </w:rPr>
        <w:t>确保</w:t>
      </w:r>
      <w:r>
        <w:rPr>
          <w:rFonts w:hint="eastAsia" w:ascii="仿宋_GB2312" w:hAnsi="仿宋_GB2312" w:eastAsia="仿宋_GB2312" w:cs="仿宋_GB2312"/>
          <w:color w:val="auto"/>
          <w:spacing w:val="0"/>
          <w:kern w:val="21"/>
          <w:sz w:val="32"/>
          <w:szCs w:val="32"/>
          <w:lang w:val="en-US" w:eastAsia="zh-CN" w:bidi="ar-SA"/>
        </w:rPr>
        <w:t>资金</w:t>
      </w:r>
      <w:r>
        <w:rPr>
          <w:rFonts w:hint="eastAsia" w:ascii="仿宋_GB2312" w:hAnsi="仿宋_GB2312" w:cs="仿宋_GB2312"/>
          <w:color w:val="auto"/>
          <w:spacing w:val="0"/>
          <w:kern w:val="21"/>
          <w:sz w:val="32"/>
          <w:szCs w:val="32"/>
          <w:lang w:val="en-US" w:eastAsia="zh-CN" w:bidi="ar-SA"/>
        </w:rPr>
        <w:t>尽</w:t>
      </w:r>
      <w:r>
        <w:rPr>
          <w:rFonts w:hint="eastAsia" w:ascii="仿宋_GB2312" w:hAnsi="仿宋_GB2312" w:eastAsia="仿宋_GB2312" w:cs="仿宋_GB2312"/>
          <w:color w:val="auto"/>
          <w:spacing w:val="0"/>
          <w:kern w:val="21"/>
          <w:sz w:val="32"/>
          <w:szCs w:val="32"/>
          <w:lang w:val="en-US" w:eastAsia="zh-CN" w:bidi="ar-SA"/>
        </w:rPr>
        <w:t>快发挥效益。2024年，安排“三保”资金1</w:t>
      </w:r>
      <w:r>
        <w:rPr>
          <w:rFonts w:hint="eastAsia" w:ascii="仿宋_GB2312" w:hAnsi="仿宋_GB2312" w:cs="仿宋_GB2312"/>
          <w:color w:val="auto"/>
          <w:spacing w:val="0"/>
          <w:kern w:val="21"/>
          <w:sz w:val="32"/>
          <w:szCs w:val="32"/>
          <w:lang w:val="en-US" w:eastAsia="zh-CN" w:bidi="ar-SA"/>
        </w:rPr>
        <w:t>87.0</w:t>
      </w:r>
      <w:r>
        <w:rPr>
          <w:rFonts w:hint="eastAsia" w:ascii="仿宋_GB2312" w:hAnsi="仿宋_GB2312" w:eastAsia="仿宋_GB2312" w:cs="仿宋_GB2312"/>
          <w:color w:val="auto"/>
          <w:spacing w:val="0"/>
          <w:kern w:val="21"/>
          <w:sz w:val="32"/>
          <w:szCs w:val="32"/>
          <w:lang w:val="en-US" w:eastAsia="zh-CN" w:bidi="ar-SA"/>
        </w:rPr>
        <w:t>亿元，</w:t>
      </w:r>
      <w:r>
        <w:rPr>
          <w:rFonts w:hint="eastAsia" w:ascii="仿宋_GB2312" w:hAnsi="仿宋_GB2312" w:cs="仿宋_GB2312"/>
          <w:color w:val="auto"/>
          <w:spacing w:val="0"/>
          <w:kern w:val="21"/>
          <w:sz w:val="32"/>
          <w:szCs w:val="32"/>
          <w:lang w:val="en-US" w:eastAsia="zh-CN" w:bidi="ar-SA"/>
        </w:rPr>
        <w:t>有力发挥“三保”的“压舱石”作用</w:t>
      </w:r>
      <w:r>
        <w:rPr>
          <w:rFonts w:hint="eastAsia" w:ascii="仿宋_GB2312" w:hAnsi="仿宋_GB2312" w:eastAsia="仿宋_GB2312" w:cs="仿宋_GB2312"/>
          <w:color w:val="auto"/>
          <w:spacing w:val="0"/>
          <w:kern w:val="21"/>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cs="Times New Roman"/>
          <w:color w:val="auto"/>
          <w:spacing w:val="0"/>
          <w:kern w:val="21"/>
          <w:sz w:val="32"/>
          <w:szCs w:val="32"/>
          <w:highlight w:val="none"/>
        </w:rPr>
      </w:pPr>
      <w:r>
        <w:rPr>
          <w:rFonts w:hint="eastAsia" w:ascii="仿宋_GB2312" w:hAnsi="仿宋_GB2312" w:cs="Times New Roman"/>
          <w:b/>
          <w:bCs/>
          <w:color w:val="auto"/>
          <w:spacing w:val="0"/>
          <w:kern w:val="21"/>
          <w:sz w:val="32"/>
          <w:szCs w:val="32"/>
          <w:highlight w:val="none"/>
          <w:lang w:eastAsia="zh-CN"/>
        </w:rPr>
        <w:t>强化财经纪律约束。</w:t>
      </w:r>
      <w:r>
        <w:rPr>
          <w:rFonts w:hint="eastAsia" w:ascii="仿宋_GB2312" w:hAnsi="仿宋_GB2312" w:cs="Times New Roman"/>
          <w:color w:val="auto"/>
          <w:spacing w:val="0"/>
          <w:kern w:val="21"/>
          <w:sz w:val="32"/>
          <w:szCs w:val="32"/>
          <w:highlight w:val="none"/>
          <w:lang w:val="en-US" w:eastAsia="zh-CN"/>
        </w:rPr>
        <w:t>全面贯彻落实中办、国办关于财会监督工作的意见，一方面聚焦重点中心工作，严肃查处财经领域存在的突出问题；另一方面，按照“小切口大牵引”要求，从财会财务管理中的薄弱环节入手，开展社区卫生服务中心财务收支、廉租房物业费、管理费使用等专项检查。落实“加强财会监督主体横向协同”要求，建立与区纪委监委、区审计局贯通协同、成果共享机制，切实形成监督合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kern w:val="21"/>
          <w:sz w:val="32"/>
          <w:szCs w:val="32"/>
          <w:shd w:val="clear" w:color="auto" w:fill="auto"/>
        </w:rPr>
      </w:pPr>
      <w:r>
        <w:rPr>
          <w:rFonts w:hint="eastAsia" w:ascii="仿宋_GB2312" w:hAnsi="仿宋_GB2312" w:cs="Times New Roman"/>
          <w:color w:val="auto"/>
          <w:spacing w:val="0"/>
          <w:kern w:val="21"/>
          <w:sz w:val="32"/>
          <w:szCs w:val="32"/>
          <w:highlight w:val="none"/>
          <w:lang w:eastAsia="zh-CN"/>
        </w:rPr>
        <w:t>总的看，过去一年全区财政工作取得较好成效，这是区委正确领导的结果，是区人大依法监督的结果，也是全区各单位、各部门齐心协力的结果。但与此同时，我们</w:t>
      </w:r>
      <w:r>
        <w:rPr>
          <w:rFonts w:hint="eastAsia" w:ascii="仿宋_GB2312" w:hAnsi="仿宋_GB2312" w:cs="Times New Roman"/>
          <w:color w:val="auto"/>
          <w:spacing w:val="0"/>
          <w:kern w:val="21"/>
          <w:sz w:val="32"/>
          <w:szCs w:val="32"/>
          <w:highlight w:val="none"/>
        </w:rPr>
        <w:t>清醒地认识到，当前财政工作还面临一些问题和挑战：一是收入增长基础不牢固，</w:t>
      </w:r>
      <w:r>
        <w:rPr>
          <w:rFonts w:hint="eastAsia" w:ascii="仿宋_GB2312" w:hAnsi="仿宋_GB2312" w:cs="Times New Roman"/>
          <w:color w:val="auto"/>
          <w:spacing w:val="0"/>
          <w:kern w:val="21"/>
          <w:sz w:val="32"/>
          <w:szCs w:val="32"/>
          <w:highlight w:val="none"/>
          <w:lang w:eastAsia="zh-CN"/>
        </w:rPr>
        <w:t>土地出让收入及房地产相关税收回升力度不足，新质生产力仍在发展培育阶段，区级财力增长缺乏有力支撑</w:t>
      </w:r>
      <w:r>
        <w:rPr>
          <w:rFonts w:hint="eastAsia" w:ascii="仿宋_GB2312" w:hAnsi="仿宋_GB2312" w:cs="Times New Roman"/>
          <w:color w:val="auto"/>
          <w:spacing w:val="0"/>
          <w:kern w:val="21"/>
          <w:sz w:val="32"/>
          <w:szCs w:val="32"/>
          <w:highlight w:val="none"/>
        </w:rPr>
        <w:t>。二是支出需求刚性增长，</w:t>
      </w:r>
      <w:r>
        <w:rPr>
          <w:rFonts w:hint="eastAsia" w:ascii="仿宋_GB2312" w:hAnsi="仿宋_GB2312" w:cs="Times New Roman"/>
          <w:color w:val="auto"/>
          <w:spacing w:val="0"/>
          <w:kern w:val="21"/>
          <w:sz w:val="32"/>
          <w:szCs w:val="32"/>
          <w:highlight w:val="none"/>
          <w:lang w:eastAsia="zh-CN"/>
        </w:rPr>
        <w:t>统筹保障各类民生支出、加快推进高质量城市化进程都需要财政加大投入</w:t>
      </w:r>
      <w:r>
        <w:rPr>
          <w:rFonts w:hint="eastAsia" w:ascii="仿宋_GB2312" w:hAnsi="仿宋_GB2312" w:cs="Times New Roman"/>
          <w:color w:val="auto"/>
          <w:spacing w:val="0"/>
          <w:kern w:val="21"/>
          <w:sz w:val="32"/>
          <w:szCs w:val="32"/>
          <w:highlight w:val="none"/>
        </w:rPr>
        <w:t>。三是</w:t>
      </w:r>
      <w:r>
        <w:rPr>
          <w:rFonts w:hint="eastAsia" w:ascii="仿宋_GB2312" w:hAnsi="仿宋_GB2312" w:cs="Times New Roman"/>
          <w:color w:val="auto"/>
          <w:spacing w:val="0"/>
          <w:kern w:val="21"/>
          <w:sz w:val="32"/>
          <w:szCs w:val="32"/>
          <w:highlight w:val="none"/>
          <w:lang w:eastAsia="zh-CN"/>
        </w:rPr>
        <w:t>预算编制不够细化，一些绩效目标设定不够科学、精细化管理不到位，部分资金使用效益有待提升</w:t>
      </w:r>
      <w:r>
        <w:rPr>
          <w:rFonts w:hint="eastAsia" w:ascii="仿宋_GB2312" w:hAnsi="仿宋_GB2312" w:cs="Times New Roman"/>
          <w:color w:val="auto"/>
          <w:spacing w:val="0"/>
          <w:kern w:val="21"/>
          <w:sz w:val="32"/>
          <w:szCs w:val="32"/>
          <w:highlight w:val="none"/>
        </w:rPr>
        <w:t>。我们将高</w:t>
      </w:r>
      <w:r>
        <w:rPr>
          <w:rFonts w:hint="eastAsia" w:ascii="仿宋_GB2312" w:hAnsi="仿宋_GB2312" w:eastAsia="仿宋_GB2312" w:cs="仿宋_GB2312"/>
          <w:color w:val="auto"/>
          <w:spacing w:val="0"/>
          <w:kern w:val="21"/>
          <w:sz w:val="32"/>
          <w:szCs w:val="32"/>
          <w:shd w:val="clear" w:color="auto" w:fill="auto"/>
        </w:rPr>
        <w:t>度重视这些问题，积极采取措施，认真加以解决。</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黑体" w:hAnsi="黑体" w:eastAsia="黑体" w:cs="黑体"/>
          <w:color w:val="auto"/>
          <w:spacing w:val="0"/>
          <w:kern w:val="21"/>
          <w:sz w:val="32"/>
          <w:szCs w:val="32"/>
        </w:rPr>
      </w:pPr>
      <w:r>
        <w:rPr>
          <w:rFonts w:hint="eastAsia" w:ascii="黑体" w:hAnsi="黑体" w:eastAsia="黑体" w:cs="黑体"/>
          <w:color w:val="auto"/>
          <w:spacing w:val="0"/>
          <w:kern w:val="21"/>
          <w:sz w:val="32"/>
          <w:szCs w:val="32"/>
        </w:rPr>
        <w:t>二、202</w:t>
      </w:r>
      <w:r>
        <w:rPr>
          <w:rFonts w:hint="eastAsia" w:ascii="黑体" w:hAnsi="黑体" w:eastAsia="黑体" w:cs="黑体"/>
          <w:color w:val="auto"/>
          <w:spacing w:val="0"/>
          <w:kern w:val="21"/>
          <w:sz w:val="32"/>
          <w:szCs w:val="32"/>
          <w:lang w:val="en-US" w:eastAsia="zh-CN"/>
        </w:rPr>
        <w:t>5</w:t>
      </w:r>
      <w:r>
        <w:rPr>
          <w:rFonts w:hint="eastAsia" w:ascii="黑体" w:hAnsi="黑体" w:eastAsia="黑体" w:cs="黑体"/>
          <w:color w:val="auto"/>
          <w:spacing w:val="0"/>
          <w:kern w:val="21"/>
          <w:sz w:val="32"/>
          <w:szCs w:val="32"/>
        </w:rPr>
        <w:t>年预算草案</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eastAsia="仿宋_GB2312" w:cs="Times New Roman"/>
          <w:color w:val="auto"/>
          <w:spacing w:val="0"/>
          <w:kern w:val="21"/>
          <w:sz w:val="32"/>
          <w:szCs w:val="32"/>
          <w:lang w:eastAsia="zh-CN"/>
        </w:rPr>
      </w:pPr>
      <w:r>
        <w:rPr>
          <w:rFonts w:hint="eastAsia" w:ascii="仿宋_GB2312" w:hAnsi="仿宋_GB2312" w:cs="Times New Roman"/>
          <w:color w:val="auto"/>
          <w:spacing w:val="0"/>
          <w:kern w:val="21"/>
          <w:sz w:val="32"/>
          <w:szCs w:val="32"/>
          <w:lang w:val="en-US" w:eastAsia="zh-CN"/>
        </w:rPr>
        <w:t>2025年是“十四五”规划的收官之年，做好财政工作意义重大。我们将按照区委决策部署，在区人大的指导监督下，精准聚焦全年发展目标任务，积极发挥财政职能</w:t>
      </w:r>
      <w:r>
        <w:rPr>
          <w:rFonts w:hint="eastAsia" w:ascii="仿宋_GB2312" w:hAnsi="仿宋_GB2312" w:cs="Times New Roman"/>
          <w:color w:val="auto"/>
          <w:spacing w:val="0"/>
          <w:kern w:val="21"/>
          <w:sz w:val="32"/>
          <w:szCs w:val="32"/>
        </w:rPr>
        <w:t>，</w:t>
      </w:r>
      <w:r>
        <w:rPr>
          <w:rFonts w:hint="eastAsia" w:ascii="仿宋_GB2312" w:hAnsi="仿宋_GB2312" w:eastAsia="仿宋_GB2312" w:cs="Times New Roman"/>
          <w:b w:val="0"/>
          <w:bCs w:val="0"/>
          <w:color w:val="auto"/>
          <w:spacing w:val="0"/>
          <w:kern w:val="21"/>
          <w:sz w:val="32"/>
          <w:szCs w:val="32"/>
          <w:lang w:val="en-US" w:eastAsia="zh-CN" w:bidi="ar-SA"/>
        </w:rPr>
        <w:t>勇于拼搏，</w:t>
      </w:r>
      <w:r>
        <w:rPr>
          <w:rFonts w:hint="eastAsia" w:ascii="仿宋_GB2312" w:hAnsi="仿宋_GB2312" w:cs="Times New Roman"/>
          <w:color w:val="auto"/>
          <w:spacing w:val="0"/>
          <w:kern w:val="21"/>
          <w:sz w:val="32"/>
          <w:szCs w:val="32"/>
        </w:rPr>
        <w:t>担当作为，</w:t>
      </w:r>
      <w:r>
        <w:rPr>
          <w:rFonts w:hint="eastAsia" w:ascii="仿宋_GB2312" w:hAnsi="仿宋_GB2312" w:cs="Times New Roman"/>
          <w:color w:val="auto"/>
          <w:spacing w:val="0"/>
          <w:kern w:val="21"/>
          <w:sz w:val="32"/>
          <w:szCs w:val="32"/>
          <w:lang w:eastAsia="zh-CN"/>
        </w:rPr>
        <w:t>为经济社会发展提供坚实财力保障。</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楷体_GB2312" w:hAnsi="楷体_GB2312" w:eastAsia="楷体_GB2312" w:cs="楷体_GB2312"/>
          <w:color w:val="auto"/>
          <w:spacing w:val="0"/>
          <w:kern w:val="21"/>
          <w:sz w:val="32"/>
          <w:szCs w:val="32"/>
        </w:rPr>
      </w:pPr>
      <w:r>
        <w:rPr>
          <w:rFonts w:hint="eastAsia" w:ascii="楷体_GB2312" w:hAnsi="楷体_GB2312" w:eastAsia="楷体_GB2312" w:cs="楷体_GB2312"/>
          <w:color w:val="auto"/>
          <w:spacing w:val="0"/>
          <w:kern w:val="21"/>
          <w:sz w:val="32"/>
          <w:szCs w:val="32"/>
        </w:rPr>
        <w:t>（一）财政收支形势</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仿宋_GB2312"/>
          <w:color w:val="auto"/>
          <w:spacing w:val="0"/>
          <w:kern w:val="21"/>
          <w:sz w:val="32"/>
          <w:szCs w:val="32"/>
          <w:lang w:val="en-US" w:eastAsia="zh-CN"/>
        </w:rPr>
      </w:pPr>
      <w:r>
        <w:rPr>
          <w:rFonts w:hint="eastAsia" w:ascii="仿宋_GB2312" w:hAnsi="仿宋_GB2312" w:cs="Times New Roman"/>
          <w:color w:val="auto"/>
          <w:spacing w:val="0"/>
          <w:kern w:val="21"/>
          <w:sz w:val="32"/>
          <w:szCs w:val="32"/>
          <w:lang w:eastAsia="zh-CN"/>
        </w:rPr>
        <w:t>当前，全区上下正在聚力实施倍增计划，经济运行在固本培元中</w:t>
      </w:r>
      <w:r>
        <w:rPr>
          <w:rFonts w:hint="eastAsia" w:ascii="仿宋_GB2312" w:hAnsi="仿宋_GB2312" w:cs="仿宋_GB2312"/>
          <w:color w:val="auto"/>
          <w:spacing w:val="0"/>
          <w:kern w:val="21"/>
          <w:sz w:val="32"/>
          <w:szCs w:val="32"/>
          <w:lang w:val="en-US" w:eastAsia="zh-CN"/>
        </w:rPr>
        <w:t>延续回升向好态势，高质量发展扎实推进，新质生产力加速成长壮大。但受各方面减收增支因素影响，</w:t>
      </w:r>
      <w:r>
        <w:rPr>
          <w:rFonts w:hint="eastAsia" w:ascii="仿宋_GB2312" w:hAnsi="仿宋_GB2312" w:cs="Times New Roman"/>
          <w:color w:val="auto"/>
          <w:spacing w:val="0"/>
          <w:kern w:val="21"/>
          <w:sz w:val="32"/>
          <w:szCs w:val="32"/>
        </w:rPr>
        <w:t>综合判断，202</w:t>
      </w:r>
      <w:r>
        <w:rPr>
          <w:rFonts w:hint="eastAsia" w:ascii="仿宋_GB2312" w:hAnsi="仿宋_GB2312" w:cs="Times New Roman"/>
          <w:color w:val="auto"/>
          <w:spacing w:val="0"/>
          <w:kern w:val="21"/>
          <w:sz w:val="32"/>
          <w:szCs w:val="32"/>
          <w:lang w:val="en-US" w:eastAsia="zh-CN"/>
        </w:rPr>
        <w:t>5</w:t>
      </w:r>
      <w:r>
        <w:rPr>
          <w:rFonts w:hint="eastAsia" w:ascii="仿宋_GB2312" w:hAnsi="仿宋_GB2312" w:cs="Times New Roman"/>
          <w:color w:val="auto"/>
          <w:spacing w:val="0"/>
          <w:kern w:val="21"/>
          <w:sz w:val="32"/>
          <w:szCs w:val="32"/>
        </w:rPr>
        <w:t>年财政收支紧平衡</w:t>
      </w:r>
      <w:r>
        <w:rPr>
          <w:rFonts w:hint="eastAsia" w:ascii="仿宋_GB2312" w:hAnsi="仿宋_GB2312" w:cs="Times New Roman"/>
          <w:color w:val="auto"/>
          <w:spacing w:val="0"/>
          <w:kern w:val="21"/>
          <w:sz w:val="32"/>
          <w:szCs w:val="32"/>
          <w:lang w:eastAsia="zh-CN"/>
        </w:rPr>
        <w:t>态势仍将延续。</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仿宋_GB2312"/>
          <w:color w:val="auto"/>
          <w:spacing w:val="0"/>
          <w:kern w:val="21"/>
          <w:sz w:val="32"/>
          <w:szCs w:val="32"/>
          <w:lang w:val="en-US" w:eastAsia="zh-CN"/>
        </w:rPr>
      </w:pPr>
      <w:r>
        <w:rPr>
          <w:rFonts w:hint="eastAsia" w:ascii="仿宋_GB2312" w:hAnsi="仿宋_GB2312" w:cs="仿宋_GB2312"/>
          <w:color w:val="auto"/>
          <w:spacing w:val="0"/>
          <w:kern w:val="21"/>
          <w:sz w:val="32"/>
          <w:szCs w:val="32"/>
          <w:lang w:val="en-US" w:eastAsia="zh-CN"/>
        </w:rPr>
        <w:t>从收入端看，受外部环境更趋严峻复杂，内部有效需求不足、社会预期偏弱等不利因素影响，新旧动能转换存在阵痛，房地产、制造业、建筑业等</w:t>
      </w:r>
      <w:r>
        <w:rPr>
          <w:rFonts w:hint="eastAsia" w:ascii="仿宋_GB2312" w:hAnsi="仿宋_GB2312" w:eastAsia="仿宋_GB2312" w:cs="Times New Roman"/>
          <w:b w:val="0"/>
          <w:bCs w:val="0"/>
          <w:color w:val="auto"/>
          <w:spacing w:val="0"/>
          <w:kern w:val="21"/>
          <w:sz w:val="32"/>
          <w:szCs w:val="32"/>
          <w:lang w:val="en-US" w:eastAsia="zh-CN" w:bidi="ar-SA"/>
        </w:rPr>
        <w:t>重点行业领域</w:t>
      </w:r>
      <w:r>
        <w:rPr>
          <w:rFonts w:hint="eastAsia" w:ascii="仿宋_GB2312" w:hAnsi="仿宋_GB2312" w:cs="Times New Roman"/>
          <w:b w:val="0"/>
          <w:bCs w:val="0"/>
          <w:color w:val="auto"/>
          <w:spacing w:val="0"/>
          <w:kern w:val="21"/>
          <w:sz w:val="32"/>
          <w:szCs w:val="32"/>
          <w:lang w:val="en-US" w:eastAsia="zh-CN" w:bidi="ar-SA"/>
        </w:rPr>
        <w:t>发展下行，</w:t>
      </w:r>
      <w:r>
        <w:rPr>
          <w:rFonts w:hint="eastAsia" w:ascii="仿宋_GB2312" w:hAnsi="仿宋_GB2312" w:cs="仿宋_GB2312"/>
          <w:color w:val="auto"/>
          <w:spacing w:val="0"/>
          <w:kern w:val="21"/>
          <w:sz w:val="32"/>
          <w:szCs w:val="32"/>
          <w:lang w:val="en-US" w:eastAsia="zh-CN"/>
        </w:rPr>
        <w:t>部分企业生产经营面临困难，</w:t>
      </w:r>
      <w:r>
        <w:rPr>
          <w:rFonts w:hint="eastAsia" w:ascii="仿宋_GB2312" w:hAnsi="仿宋" w:eastAsia="仿宋_GB2312"/>
          <w:bCs/>
          <w:color w:val="auto"/>
          <w:spacing w:val="0"/>
          <w:kern w:val="21"/>
          <w:sz w:val="32"/>
          <w:szCs w:val="32"/>
        </w:rPr>
        <w:t>税费退减缓政策</w:t>
      </w:r>
      <w:r>
        <w:rPr>
          <w:rFonts w:hint="eastAsia" w:ascii="仿宋_GB2312" w:hAnsi="仿宋"/>
          <w:bCs/>
          <w:color w:val="auto"/>
          <w:spacing w:val="0"/>
          <w:kern w:val="21"/>
          <w:sz w:val="32"/>
          <w:szCs w:val="32"/>
          <w:lang w:eastAsia="zh-CN"/>
        </w:rPr>
        <w:t>形成的</w:t>
      </w:r>
      <w:r>
        <w:rPr>
          <w:rFonts w:hint="eastAsia" w:ascii="仿宋_GB2312" w:hAnsi="仿宋" w:eastAsia="仿宋_GB2312"/>
          <w:bCs/>
          <w:color w:val="auto"/>
          <w:spacing w:val="0"/>
          <w:kern w:val="21"/>
          <w:sz w:val="32"/>
          <w:szCs w:val="32"/>
        </w:rPr>
        <w:t>减收压力</w:t>
      </w:r>
      <w:r>
        <w:rPr>
          <w:rFonts w:hint="eastAsia" w:ascii="仿宋_GB2312" w:hAnsi="仿宋"/>
          <w:bCs/>
          <w:color w:val="auto"/>
          <w:spacing w:val="0"/>
          <w:kern w:val="21"/>
          <w:sz w:val="32"/>
          <w:szCs w:val="32"/>
          <w:lang w:eastAsia="zh-CN"/>
        </w:rPr>
        <w:t>仍将延续，</w:t>
      </w:r>
      <w:r>
        <w:rPr>
          <w:rFonts w:hint="eastAsia" w:ascii="仿宋_GB2312" w:hAnsi="仿宋_GB2312" w:eastAsia="仿宋_GB2312" w:cs="仿宋_GB2312"/>
          <w:color w:val="auto"/>
          <w:spacing w:val="0"/>
          <w:kern w:val="21"/>
          <w:sz w:val="32"/>
          <w:szCs w:val="32"/>
          <w:highlight w:val="none"/>
          <w:lang w:val="en-US" w:eastAsia="zh-CN"/>
        </w:rPr>
        <w:t>2025年增收“工具箱”的可选项相对有限，对财政持续增长形成一定制约。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Times New Roman"/>
          <w:color w:val="auto"/>
          <w:spacing w:val="0"/>
          <w:kern w:val="21"/>
          <w:sz w:val="32"/>
          <w:szCs w:val="32"/>
        </w:rPr>
      </w:pPr>
      <w:r>
        <w:rPr>
          <w:rFonts w:hint="eastAsia" w:ascii="仿宋_GB2312" w:hAnsi="仿宋_GB2312" w:cs="仿宋_GB2312"/>
          <w:color w:val="auto"/>
          <w:spacing w:val="0"/>
          <w:kern w:val="21"/>
          <w:sz w:val="32"/>
          <w:szCs w:val="32"/>
          <w:lang w:val="en-US" w:eastAsia="zh-CN"/>
        </w:rPr>
        <w:t>从支出端看，基层“三保”、基本民生等刚性</w:t>
      </w:r>
      <w:r>
        <w:rPr>
          <w:rFonts w:hint="eastAsia" w:ascii="仿宋_GB2312" w:hAnsi="仿宋_GB2312" w:eastAsia="仿宋_GB2312" w:cs="仿宋_GB2312"/>
          <w:color w:val="auto"/>
          <w:spacing w:val="0"/>
          <w:kern w:val="21"/>
          <w:sz w:val="32"/>
          <w:szCs w:val="32"/>
          <w:lang w:val="en-US" w:eastAsia="zh-CN"/>
        </w:rPr>
        <w:t>支出</w:t>
      </w:r>
      <w:r>
        <w:rPr>
          <w:rFonts w:hint="eastAsia" w:ascii="仿宋_GB2312" w:hAnsi="仿宋_GB2312" w:cs="仿宋_GB2312"/>
          <w:color w:val="auto"/>
          <w:spacing w:val="0"/>
          <w:kern w:val="21"/>
          <w:sz w:val="32"/>
          <w:szCs w:val="32"/>
          <w:lang w:val="en-US" w:eastAsia="zh-CN"/>
        </w:rPr>
        <w:t>有增无减，教育、养老、公共卫生等领域需要重点保障，支持城市更新、产业焕新、区域均衡发展等方面也需要财政支出保持必要力度。同时，债务还本付息正处于历史高峰期，债务化解需要大额财力支撑。在收入增长有限的情况下，</w:t>
      </w:r>
      <w:r>
        <w:rPr>
          <w:rFonts w:hint="eastAsia" w:ascii="仿宋_GB2312" w:hAnsi="仿宋_GB2312" w:cs="Times New Roman"/>
          <w:color w:val="auto"/>
          <w:spacing w:val="0"/>
          <w:kern w:val="21"/>
          <w:sz w:val="32"/>
          <w:szCs w:val="32"/>
          <w:lang w:eastAsia="zh-CN"/>
        </w:rPr>
        <w:t>对财政综合统筹能力提出更大挑战</w:t>
      </w:r>
      <w:r>
        <w:rPr>
          <w:rFonts w:hint="eastAsia" w:ascii="仿宋_GB2312" w:hAnsi="仿宋_GB2312" w:cs="Times New Roman"/>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default" w:ascii="仿宋_GB2312" w:hAnsi="仿宋_GB2312" w:eastAsia="仿宋_GB2312" w:cs="Times New Roman"/>
          <w:color w:val="auto"/>
          <w:spacing w:val="0"/>
          <w:kern w:val="21"/>
          <w:sz w:val="32"/>
          <w:szCs w:val="32"/>
          <w:lang w:val="en-US" w:eastAsia="zh-CN"/>
        </w:rPr>
      </w:pPr>
      <w:r>
        <w:rPr>
          <w:rFonts w:hint="eastAsia" w:ascii="仿宋_GB2312" w:hAnsi="仿宋_GB2312" w:cs="Times New Roman"/>
          <w:color w:val="auto"/>
          <w:spacing w:val="0"/>
          <w:kern w:val="21"/>
          <w:sz w:val="32"/>
          <w:szCs w:val="32"/>
          <w:lang w:eastAsia="zh-CN"/>
        </w:rPr>
        <w:t>在严峻的收支形势下，</w:t>
      </w:r>
      <w:r>
        <w:rPr>
          <w:rFonts w:hint="eastAsia" w:ascii="仿宋_GB2312" w:hAnsi="仿宋_GB2312" w:cs="Times New Roman"/>
          <w:color w:val="auto"/>
          <w:spacing w:val="0"/>
          <w:kern w:val="21"/>
          <w:sz w:val="32"/>
          <w:szCs w:val="32"/>
        </w:rPr>
        <w:t>我们</w:t>
      </w:r>
      <w:r>
        <w:rPr>
          <w:rFonts w:hint="eastAsia" w:ascii="仿宋_GB2312" w:hAnsi="仿宋_GB2312" w:cs="Times New Roman"/>
          <w:color w:val="auto"/>
          <w:spacing w:val="0"/>
          <w:kern w:val="21"/>
          <w:sz w:val="32"/>
          <w:szCs w:val="32"/>
          <w:lang w:eastAsia="zh-CN"/>
        </w:rPr>
        <w:t>也要看到</w:t>
      </w:r>
      <w:r>
        <w:rPr>
          <w:rFonts w:hint="eastAsia" w:ascii="仿宋_GB2312" w:hAnsi="仿宋_GB2312" w:eastAsia="仿宋_GB2312" w:cs="Times New Roman"/>
          <w:b w:val="0"/>
          <w:bCs w:val="0"/>
          <w:color w:val="auto"/>
          <w:spacing w:val="0"/>
          <w:kern w:val="21"/>
          <w:sz w:val="32"/>
          <w:szCs w:val="32"/>
          <w:lang w:val="en-US" w:eastAsia="zh-CN" w:bidi="ar-SA"/>
        </w:rPr>
        <w:t>丰台区经济韧性强、潜力大，长期向好的基本面没有改变，经济发展仍具有良好支撑。</w:t>
      </w:r>
      <w:r>
        <w:rPr>
          <w:rFonts w:hint="eastAsia" w:ascii="仿宋_GB2312" w:hAnsi="仿宋_GB2312" w:cs="Times New Roman"/>
          <w:b w:val="0"/>
          <w:bCs w:val="0"/>
          <w:color w:val="auto"/>
          <w:spacing w:val="0"/>
          <w:kern w:val="21"/>
          <w:sz w:val="32"/>
          <w:szCs w:val="32"/>
          <w:lang w:val="en-US" w:eastAsia="zh-CN" w:bidi="ar-SA"/>
        </w:rPr>
        <w:t>我们</w:t>
      </w:r>
      <w:r>
        <w:rPr>
          <w:rFonts w:hint="eastAsia" w:ascii="仿宋_GB2312" w:hAnsi="仿宋_GB2312" w:cs="Times New Roman"/>
          <w:color w:val="auto"/>
          <w:spacing w:val="0"/>
          <w:kern w:val="21"/>
          <w:sz w:val="32"/>
          <w:szCs w:val="32"/>
        </w:rPr>
        <w:t>要</w:t>
      </w:r>
      <w:r>
        <w:rPr>
          <w:rFonts w:hint="eastAsia" w:ascii="仿宋_GB2312" w:hAnsi="仿宋_GB2312" w:eastAsia="仿宋_GB2312" w:cs="Times New Roman"/>
          <w:b w:val="0"/>
          <w:bCs w:val="0"/>
          <w:color w:val="auto"/>
          <w:spacing w:val="0"/>
          <w:kern w:val="21"/>
          <w:sz w:val="32"/>
          <w:szCs w:val="32"/>
          <w:lang w:val="en-US" w:eastAsia="zh-CN" w:bidi="ar-SA"/>
        </w:rPr>
        <w:t>坚定信心、振奋精神</w:t>
      </w:r>
      <w:r>
        <w:rPr>
          <w:rFonts w:hint="eastAsia" w:ascii="仿宋_GB2312" w:hAnsi="仿宋_GB2312" w:cs="Times New Roman"/>
          <w:color w:val="auto"/>
          <w:spacing w:val="0"/>
          <w:kern w:val="21"/>
          <w:sz w:val="32"/>
          <w:szCs w:val="32"/>
          <w:lang w:eastAsia="zh-CN"/>
        </w:rPr>
        <w:t>，积极应对收支平衡压力，</w:t>
      </w:r>
      <w:r>
        <w:rPr>
          <w:rFonts w:hint="eastAsia" w:ascii="仿宋_GB2312" w:hAnsi="仿宋_GB2312" w:eastAsia="仿宋_GB2312" w:cs="Times New Roman"/>
          <w:b w:val="0"/>
          <w:bCs w:val="0"/>
          <w:color w:val="auto"/>
          <w:spacing w:val="0"/>
          <w:kern w:val="21"/>
          <w:sz w:val="32"/>
          <w:szCs w:val="32"/>
          <w:lang w:val="en-US" w:eastAsia="zh-CN" w:bidi="ar-SA"/>
        </w:rPr>
        <w:t>紧抓国家、市级政策利好契机，采取更有力措施深化改革、推进创新，</w:t>
      </w:r>
      <w:r>
        <w:rPr>
          <w:rFonts w:hint="eastAsia" w:ascii="仿宋_GB2312" w:hAnsi="仿宋_GB2312" w:cs="Times New Roman"/>
          <w:color w:val="auto"/>
          <w:spacing w:val="0"/>
          <w:kern w:val="21"/>
          <w:sz w:val="32"/>
          <w:szCs w:val="32"/>
          <w:lang w:eastAsia="zh-CN"/>
        </w:rPr>
        <w:t>以改革为动力推动</w:t>
      </w:r>
      <w:r>
        <w:rPr>
          <w:rFonts w:hint="eastAsia" w:ascii="仿宋_GB2312" w:hAnsi="仿宋_GB2312" w:cs="Times New Roman"/>
          <w:color w:val="auto"/>
          <w:spacing w:val="0"/>
          <w:kern w:val="21"/>
          <w:sz w:val="32"/>
          <w:szCs w:val="32"/>
          <w:lang w:val="en-US" w:eastAsia="zh-CN"/>
        </w:rPr>
        <w:t>财政资金效益和政策效能稳步提升，切实保障区委各项重大决策部署落实。</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color w:val="auto"/>
          <w:spacing w:val="0"/>
          <w:kern w:val="21"/>
          <w:sz w:val="32"/>
          <w:szCs w:val="32"/>
        </w:rPr>
      </w:pPr>
      <w:r>
        <w:rPr>
          <w:rFonts w:hint="eastAsia" w:ascii="楷体_GB2312" w:hAnsi="楷体_GB2312" w:eastAsia="楷体_GB2312" w:cs="楷体_GB2312"/>
          <w:color w:val="auto"/>
          <w:spacing w:val="0"/>
          <w:kern w:val="21"/>
          <w:sz w:val="32"/>
          <w:szCs w:val="32"/>
        </w:rPr>
        <w:t>（二）预算编制和财政工作指导思想</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Times New Roman"/>
          <w:color w:val="auto"/>
          <w:spacing w:val="0"/>
          <w:kern w:val="21"/>
          <w:sz w:val="32"/>
          <w:szCs w:val="32"/>
        </w:rPr>
      </w:pPr>
      <w:r>
        <w:rPr>
          <w:rFonts w:hint="eastAsia" w:ascii="仿宋_GB2312" w:hAnsi="仿宋"/>
          <w:bCs/>
          <w:color w:val="auto"/>
          <w:spacing w:val="0"/>
          <w:kern w:val="21"/>
          <w:sz w:val="32"/>
          <w:szCs w:val="32"/>
          <w:lang w:eastAsia="zh-CN"/>
        </w:rPr>
        <w:t>做好</w:t>
      </w:r>
      <w:r>
        <w:rPr>
          <w:rFonts w:hint="eastAsia" w:ascii="仿宋_GB2312" w:hAnsi="仿宋" w:eastAsia="仿宋_GB2312"/>
          <w:bCs/>
          <w:color w:val="auto"/>
          <w:spacing w:val="0"/>
          <w:kern w:val="21"/>
          <w:sz w:val="32"/>
          <w:szCs w:val="32"/>
        </w:rPr>
        <w:t>202</w:t>
      </w:r>
      <w:r>
        <w:rPr>
          <w:rFonts w:hint="eastAsia" w:ascii="仿宋_GB2312" w:hAnsi="仿宋"/>
          <w:bCs/>
          <w:color w:val="auto"/>
          <w:spacing w:val="0"/>
          <w:kern w:val="21"/>
          <w:sz w:val="32"/>
          <w:szCs w:val="32"/>
          <w:lang w:val="en-US" w:eastAsia="zh-CN"/>
        </w:rPr>
        <w:t>5</w:t>
      </w:r>
      <w:r>
        <w:rPr>
          <w:rFonts w:hint="eastAsia" w:ascii="仿宋_GB2312" w:hAnsi="仿宋" w:eastAsia="仿宋_GB2312"/>
          <w:bCs/>
          <w:color w:val="auto"/>
          <w:spacing w:val="0"/>
          <w:kern w:val="21"/>
          <w:sz w:val="32"/>
          <w:szCs w:val="32"/>
        </w:rPr>
        <w:t>年预算编制和财政工作</w:t>
      </w:r>
      <w:r>
        <w:rPr>
          <w:rFonts w:hint="eastAsia" w:ascii="仿宋_GB2312" w:hAnsi="仿宋"/>
          <w:bCs/>
          <w:color w:val="auto"/>
          <w:spacing w:val="0"/>
          <w:kern w:val="21"/>
          <w:sz w:val="32"/>
          <w:szCs w:val="32"/>
          <w:lang w:eastAsia="zh-CN"/>
        </w:rPr>
        <w:t>，要</w:t>
      </w:r>
      <w:r>
        <w:rPr>
          <w:rFonts w:hint="eastAsia" w:ascii="仿宋_GB2312" w:hAnsi="仿宋" w:eastAsia="仿宋_GB2312"/>
          <w:color w:val="auto"/>
          <w:spacing w:val="0"/>
          <w:kern w:val="21"/>
          <w:sz w:val="32"/>
          <w:szCs w:val="32"/>
        </w:rPr>
        <w:t>以习近平新时代中国特色社会主义思想为指导，全面贯彻落实党的二十大和二十届二中、三中全会精神，</w:t>
      </w:r>
      <w:r>
        <w:rPr>
          <w:rFonts w:hint="eastAsia" w:ascii="仿宋_GB2312" w:hAnsi="仿宋"/>
          <w:color w:val="auto"/>
          <w:spacing w:val="0"/>
          <w:kern w:val="21"/>
          <w:sz w:val="32"/>
          <w:szCs w:val="32"/>
          <w:lang w:eastAsia="zh-CN"/>
        </w:rPr>
        <w:t>深入学习贯彻习近平总书记对北京重要讲话及关于全面深化改革的一系列新思想、新观点、新论断，</w:t>
      </w:r>
      <w:r>
        <w:rPr>
          <w:rFonts w:hint="eastAsia" w:ascii="仿宋_GB2312" w:hAnsi="仿宋" w:eastAsia="仿宋_GB2312"/>
          <w:color w:val="auto"/>
          <w:spacing w:val="0"/>
          <w:kern w:val="21"/>
          <w:sz w:val="32"/>
          <w:szCs w:val="32"/>
        </w:rPr>
        <w:t>完整、准确、全面贯彻新发展理念，</w:t>
      </w:r>
      <w:r>
        <w:rPr>
          <w:rFonts w:hint="eastAsia" w:ascii="仿宋_GB2312" w:hAnsi="仿宋"/>
          <w:color w:val="auto"/>
          <w:spacing w:val="0"/>
          <w:kern w:val="21"/>
          <w:sz w:val="32"/>
          <w:szCs w:val="32"/>
          <w:lang w:eastAsia="zh-CN"/>
        </w:rPr>
        <w:t>积极融入和服务</w:t>
      </w:r>
      <w:r>
        <w:rPr>
          <w:rFonts w:hint="eastAsia" w:ascii="仿宋_GB2312" w:hAnsi="仿宋" w:eastAsia="仿宋_GB2312"/>
          <w:color w:val="auto"/>
          <w:spacing w:val="0"/>
          <w:kern w:val="21"/>
          <w:sz w:val="32"/>
          <w:szCs w:val="32"/>
        </w:rPr>
        <w:t>构建新发展格局，</w:t>
      </w:r>
      <w:r>
        <w:rPr>
          <w:rFonts w:hint="eastAsia" w:ascii="仿宋_GB2312" w:hAnsi="仿宋"/>
          <w:color w:val="auto"/>
          <w:spacing w:val="0"/>
          <w:kern w:val="21"/>
          <w:sz w:val="32"/>
          <w:szCs w:val="32"/>
          <w:lang w:eastAsia="zh-CN"/>
        </w:rPr>
        <w:t>以进一步全面深化改革为根本动力，以增进人民福祉为出发点和落脚点，</w:t>
      </w:r>
      <w:r>
        <w:rPr>
          <w:rFonts w:hint="eastAsia" w:ascii="仿宋_GB2312" w:hAnsi="仿宋_GB2312" w:cs="Times New Roman"/>
          <w:color w:val="auto"/>
          <w:spacing w:val="0"/>
          <w:kern w:val="21"/>
          <w:sz w:val="32"/>
          <w:szCs w:val="32"/>
        </w:rPr>
        <w:t>更好统筹发展和安全，更好统筹当前和长远，</w:t>
      </w:r>
      <w:r>
        <w:rPr>
          <w:rFonts w:hint="eastAsia" w:ascii="仿宋_GB2312" w:hAnsi="仿宋_GB2312" w:cs="Times New Roman"/>
          <w:color w:val="auto"/>
          <w:spacing w:val="0"/>
          <w:kern w:val="21"/>
          <w:sz w:val="32"/>
          <w:szCs w:val="32"/>
          <w:lang w:eastAsia="zh-CN"/>
        </w:rPr>
        <w:t>围绕适度加力、提质增效实施积极的财政政策，组合使用多种政策工具，大力优化支出结构，强化财政管理监督，提高资金效益和政策效果，持续激发内生动能，改善社会预期，</w:t>
      </w:r>
      <w:r>
        <w:rPr>
          <w:rFonts w:hint="eastAsia" w:ascii="仿宋_GB2312" w:hAnsi="仿宋_GB2312" w:cs="Times New Roman"/>
          <w:color w:val="auto"/>
          <w:spacing w:val="0"/>
          <w:kern w:val="21"/>
          <w:sz w:val="32"/>
          <w:szCs w:val="32"/>
        </w:rPr>
        <w:t>推动经济实现质的有效提升和量的合理增长，</w:t>
      </w:r>
      <w:r>
        <w:rPr>
          <w:rFonts w:hint="eastAsia" w:ascii="仿宋_GB2312" w:hAnsi="仿宋_GB2312" w:cs="Times New Roman"/>
          <w:color w:val="auto"/>
          <w:spacing w:val="0"/>
          <w:kern w:val="21"/>
          <w:sz w:val="32"/>
          <w:szCs w:val="32"/>
          <w:lang w:eastAsia="zh-CN"/>
        </w:rPr>
        <w:t>为加速推进中国式现代化丰台生动实践</w:t>
      </w:r>
      <w:r>
        <w:rPr>
          <w:rFonts w:hint="eastAsia" w:ascii="仿宋_GB2312" w:hAnsi="仿宋" w:eastAsia="仿宋_GB2312"/>
          <w:bCs/>
          <w:color w:val="auto"/>
          <w:spacing w:val="0"/>
          <w:kern w:val="21"/>
          <w:sz w:val="32"/>
          <w:szCs w:val="32"/>
        </w:rPr>
        <w:t>提供坚实财政支撑。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auto"/>
          <w:spacing w:val="0"/>
          <w:kern w:val="21"/>
          <w:sz w:val="32"/>
          <w:szCs w:val="32"/>
        </w:rPr>
      </w:pPr>
      <w:r>
        <w:rPr>
          <w:rFonts w:hint="eastAsia" w:ascii="仿宋_GB2312" w:hAnsi="仿宋"/>
          <w:color w:val="auto"/>
          <w:spacing w:val="0"/>
          <w:kern w:val="21"/>
          <w:sz w:val="32"/>
          <w:szCs w:val="32"/>
          <w:lang w:eastAsia="zh-CN"/>
        </w:rPr>
        <w:t>根据上述总体要求，在</w:t>
      </w:r>
      <w:r>
        <w:rPr>
          <w:rFonts w:hint="eastAsia" w:ascii="仿宋_GB2312" w:hAnsi="仿宋"/>
          <w:color w:val="auto"/>
          <w:spacing w:val="0"/>
          <w:kern w:val="21"/>
          <w:sz w:val="32"/>
          <w:szCs w:val="32"/>
          <w:lang w:val="en-US" w:eastAsia="zh-CN"/>
        </w:rPr>
        <w:t>2025年预算编制和财政工作中，我们将继续坚持</w:t>
      </w:r>
      <w:r>
        <w:rPr>
          <w:rFonts w:hint="eastAsia" w:ascii="仿宋_GB2312" w:hAnsi="仿宋_GB2312" w:cs="Times New Roman"/>
          <w:color w:val="auto"/>
          <w:spacing w:val="0"/>
          <w:kern w:val="21"/>
          <w:sz w:val="32"/>
          <w:szCs w:val="32"/>
        </w:rPr>
        <w:t>稳中求进</w:t>
      </w:r>
      <w:r>
        <w:rPr>
          <w:rFonts w:hint="eastAsia" w:ascii="仿宋_GB2312" w:hAnsi="仿宋_GB2312" w:cs="Times New Roman"/>
          <w:color w:val="auto"/>
          <w:spacing w:val="0"/>
          <w:kern w:val="21"/>
          <w:sz w:val="32"/>
          <w:szCs w:val="32"/>
          <w:lang w:eastAsia="zh-CN"/>
        </w:rPr>
        <w:t>的工作总基调，</w:t>
      </w:r>
      <w:r>
        <w:rPr>
          <w:rFonts w:hint="eastAsia" w:ascii="仿宋_GB2312" w:hAnsi="仿宋_GB2312" w:cs="Times New Roman"/>
          <w:color w:val="auto"/>
          <w:spacing w:val="0"/>
          <w:kern w:val="21"/>
          <w:sz w:val="32"/>
          <w:szCs w:val="32"/>
        </w:rPr>
        <w:t>进一步提高预算编制和财政工作的科学性、针对性和有效性，更好服务全区改革发展大局。</w:t>
      </w:r>
      <w:r>
        <w:rPr>
          <w:rFonts w:hint="eastAsia" w:ascii="仿宋_GB2312" w:hAnsi="仿宋" w:eastAsia="仿宋_GB2312"/>
          <w:color w:val="auto"/>
          <w:spacing w:val="0"/>
          <w:kern w:val="21"/>
          <w:sz w:val="32"/>
          <w:szCs w:val="32"/>
        </w:rPr>
        <w:t>按照区委决策部署，坚持</w:t>
      </w:r>
      <w:r>
        <w:rPr>
          <w:rFonts w:hint="eastAsia" w:ascii="仿宋_GB2312" w:hAnsi="仿宋" w:eastAsia="仿宋_GB2312"/>
          <w:color w:val="auto"/>
          <w:spacing w:val="0"/>
          <w:kern w:val="21"/>
          <w:sz w:val="32"/>
          <w:szCs w:val="32"/>
          <w:lang w:eastAsia="zh-CN"/>
        </w:rPr>
        <w:t>党政机关</w:t>
      </w:r>
      <w:r>
        <w:rPr>
          <w:rFonts w:hint="eastAsia" w:ascii="仿宋_GB2312" w:hAnsi="仿宋" w:eastAsia="仿宋_GB2312"/>
          <w:color w:val="auto"/>
          <w:spacing w:val="0"/>
          <w:kern w:val="21"/>
          <w:sz w:val="32"/>
          <w:szCs w:val="32"/>
        </w:rPr>
        <w:t>习惯过</w:t>
      </w:r>
      <w:r>
        <w:rPr>
          <w:rFonts w:hint="eastAsia" w:ascii="仿宋_GB2312" w:hAnsi="仿宋"/>
          <w:color w:val="auto"/>
          <w:spacing w:val="0"/>
          <w:kern w:val="21"/>
          <w:sz w:val="32"/>
          <w:szCs w:val="32"/>
          <w:lang w:eastAsia="zh-CN"/>
        </w:rPr>
        <w:t>“</w:t>
      </w:r>
      <w:r>
        <w:rPr>
          <w:rFonts w:hint="eastAsia" w:ascii="仿宋_GB2312" w:hAnsi="仿宋" w:eastAsia="仿宋_GB2312"/>
          <w:color w:val="auto"/>
          <w:spacing w:val="0"/>
          <w:kern w:val="21"/>
          <w:sz w:val="32"/>
          <w:szCs w:val="32"/>
        </w:rPr>
        <w:t>紧日子</w:t>
      </w:r>
      <w:r>
        <w:rPr>
          <w:rFonts w:hint="eastAsia" w:ascii="仿宋_GB2312" w:hAnsi="仿宋"/>
          <w:color w:val="auto"/>
          <w:spacing w:val="0"/>
          <w:kern w:val="21"/>
          <w:sz w:val="32"/>
          <w:szCs w:val="32"/>
          <w:lang w:eastAsia="zh-CN"/>
        </w:rPr>
        <w:t>”</w:t>
      </w:r>
      <w:r>
        <w:rPr>
          <w:rFonts w:hint="eastAsia" w:ascii="仿宋_GB2312" w:hAnsi="仿宋" w:eastAsia="仿宋_GB2312"/>
          <w:color w:val="auto"/>
          <w:spacing w:val="0"/>
          <w:kern w:val="21"/>
          <w:sz w:val="32"/>
          <w:szCs w:val="32"/>
        </w:rPr>
        <w:t>，继续严控一般性支出，从紧安排“三公”经</w:t>
      </w:r>
      <w:r>
        <w:rPr>
          <w:rFonts w:hint="eastAsia" w:ascii="仿宋_GB2312" w:hAnsi="仿宋" w:eastAsia="仿宋_GB2312"/>
          <w:color w:val="auto"/>
          <w:spacing w:val="0"/>
          <w:kern w:val="21"/>
          <w:sz w:val="32"/>
          <w:szCs w:val="32"/>
          <w:highlight w:val="none"/>
        </w:rPr>
        <w:t>费不放松；强化重点决策部署财力保障，集中财力办大事，运用零基预算理念引导财政科学管理，</w:t>
      </w:r>
      <w:r>
        <w:rPr>
          <w:rFonts w:hint="eastAsia" w:ascii="仿宋_GB2312" w:hAnsi="仿宋" w:eastAsia="仿宋_GB2312"/>
          <w:color w:val="auto"/>
          <w:spacing w:val="0"/>
          <w:kern w:val="21"/>
          <w:sz w:val="32"/>
          <w:szCs w:val="32"/>
        </w:rPr>
        <w:t>强化资源统筹和合理分配，持续优化财政支出结构；把好项目入库关，强化绩效管理和预算评审；进一步完善项目库管理，加快支出标准建设和应用；做好预算管理基础工作，努力提升财政管理科学化、规范化、精细化水平；加强资金统筹，增强部门预算编制的精准性和严肃性，持续推动部门预算管理规范透明、约束有力、讲求绩效，</w:t>
      </w:r>
      <w:r>
        <w:rPr>
          <w:rFonts w:hint="eastAsia" w:ascii="仿宋_GB2312" w:hAnsi="仿宋"/>
          <w:color w:val="auto"/>
          <w:spacing w:val="0"/>
          <w:kern w:val="21"/>
          <w:sz w:val="32"/>
          <w:szCs w:val="32"/>
          <w:lang w:eastAsia="zh-CN"/>
        </w:rPr>
        <w:t>切实提高资金使用效益</w:t>
      </w:r>
      <w:r>
        <w:rPr>
          <w:rFonts w:hint="eastAsia" w:ascii="仿宋_GB2312" w:hAnsi="仿宋" w:eastAsia="仿宋_GB2312"/>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楷体_GB2312" w:hAnsi="楷体_GB2312" w:eastAsia="楷体_GB2312" w:cs="楷体_GB2312"/>
          <w:color w:val="auto"/>
          <w:spacing w:val="0"/>
          <w:kern w:val="21"/>
          <w:sz w:val="32"/>
          <w:szCs w:val="32"/>
          <w:highlight w:val="none"/>
        </w:rPr>
      </w:pPr>
      <w:r>
        <w:rPr>
          <w:rFonts w:hint="eastAsia" w:ascii="楷体_GB2312" w:hAnsi="楷体_GB2312" w:eastAsia="楷体_GB2312" w:cs="楷体_GB2312"/>
          <w:color w:val="auto"/>
          <w:spacing w:val="0"/>
          <w:kern w:val="21"/>
          <w:sz w:val="32"/>
          <w:szCs w:val="32"/>
          <w:highlight w:val="none"/>
        </w:rPr>
        <w:t>（三）一般公共预算总体安排情况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ascii="仿宋_GB2312" w:hAnsi="仿宋_GB2312" w:cs="Times New Roman"/>
          <w:color w:val="auto"/>
          <w:spacing w:val="0"/>
          <w:kern w:val="21"/>
          <w:sz w:val="32"/>
          <w:szCs w:val="32"/>
          <w:highlight w:val="none"/>
        </w:rPr>
      </w:pPr>
      <w:r>
        <w:rPr>
          <w:rFonts w:hint="eastAsia" w:ascii="仿宋_GB2312" w:hAnsi="仿宋_GB2312" w:cs="Times New Roman"/>
          <w:color w:val="auto"/>
          <w:spacing w:val="0"/>
          <w:kern w:val="21"/>
          <w:sz w:val="32"/>
          <w:szCs w:val="32"/>
          <w:highlight w:val="none"/>
        </w:rPr>
        <w:t>1.一般公共预算安排情况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_GB2312" w:cs="Times New Roman"/>
          <w:color w:val="auto"/>
          <w:spacing w:val="0"/>
          <w:kern w:val="21"/>
          <w:sz w:val="32"/>
          <w:szCs w:val="32"/>
          <w:highlight w:val="none"/>
        </w:rPr>
        <w:t>202</w:t>
      </w:r>
      <w:r>
        <w:rPr>
          <w:rFonts w:hint="eastAsia" w:ascii="仿宋_GB2312" w:hAnsi="仿宋_GB2312" w:cs="Times New Roman"/>
          <w:color w:val="auto"/>
          <w:spacing w:val="0"/>
          <w:kern w:val="21"/>
          <w:sz w:val="32"/>
          <w:szCs w:val="32"/>
          <w:highlight w:val="none"/>
          <w:lang w:val="en-US" w:eastAsia="zh-CN"/>
        </w:rPr>
        <w:t>5</w:t>
      </w:r>
      <w:r>
        <w:rPr>
          <w:rFonts w:hint="eastAsia" w:ascii="仿宋_GB2312" w:hAnsi="仿宋_GB2312" w:cs="Times New Roman"/>
          <w:color w:val="auto"/>
          <w:spacing w:val="0"/>
          <w:kern w:val="21"/>
          <w:sz w:val="32"/>
          <w:szCs w:val="32"/>
          <w:highlight w:val="none"/>
        </w:rPr>
        <w:t>年，区级一般公共预算收入预期</w:t>
      </w:r>
      <w:r>
        <w:rPr>
          <w:rFonts w:hint="eastAsia" w:ascii="仿宋_GB2312" w:hAnsi="仿宋_GB2312" w:cs="Times New Roman"/>
          <w:color w:val="auto"/>
          <w:spacing w:val="0"/>
          <w:kern w:val="21"/>
          <w:sz w:val="32"/>
          <w:szCs w:val="32"/>
          <w:highlight w:val="none"/>
          <w:lang w:val="en-US" w:eastAsia="zh-CN"/>
        </w:rPr>
        <w:t>170.0</w:t>
      </w:r>
      <w:r>
        <w:rPr>
          <w:rFonts w:hint="eastAsia" w:ascii="仿宋_GB2312" w:hAnsi="仿宋_GB2312" w:cs="Times New Roman"/>
          <w:color w:val="auto"/>
          <w:spacing w:val="0"/>
          <w:kern w:val="21"/>
          <w:sz w:val="32"/>
          <w:szCs w:val="32"/>
          <w:highlight w:val="none"/>
        </w:rPr>
        <w:t>亿元，</w:t>
      </w:r>
      <w:r>
        <w:rPr>
          <w:rFonts w:hint="eastAsia" w:ascii="仿宋_GB2312" w:hAnsi="仿宋_GB2312" w:cs="Times New Roman"/>
          <w:color w:val="auto"/>
          <w:spacing w:val="0"/>
          <w:kern w:val="21"/>
          <w:sz w:val="32"/>
          <w:szCs w:val="32"/>
          <w:highlight w:val="none"/>
          <w:lang w:eastAsia="zh-CN"/>
        </w:rPr>
        <w:t>较上</w:t>
      </w:r>
      <w:r>
        <w:rPr>
          <w:rFonts w:hint="eastAsia" w:ascii="仿宋_GB2312" w:hAnsi="仿宋_GB2312" w:cs="Times New Roman"/>
          <w:color w:val="auto"/>
          <w:spacing w:val="0"/>
          <w:kern w:val="21"/>
          <w:sz w:val="32"/>
          <w:szCs w:val="32"/>
          <w:highlight w:val="none"/>
          <w:lang w:val="en-US" w:eastAsia="zh-CN"/>
        </w:rPr>
        <w:t>年增长4%；加</w:t>
      </w:r>
      <w:r>
        <w:rPr>
          <w:rFonts w:hint="eastAsia" w:ascii="仿宋_GB2312" w:hAnsi="仿宋" w:eastAsia="仿宋_GB2312" w:cs="Times New Roman"/>
          <w:bCs/>
          <w:color w:val="auto"/>
          <w:spacing w:val="0"/>
          <w:kern w:val="21"/>
          <w:sz w:val="32"/>
          <w:szCs w:val="32"/>
          <w:shd w:val="clear" w:color="auto" w:fill="auto"/>
          <w:lang w:val="en-US" w:eastAsia="zh-CN"/>
        </w:rPr>
        <w:t>上级转移支付收入</w:t>
      </w:r>
      <w:r>
        <w:rPr>
          <w:rFonts w:hint="eastAsia" w:ascii="仿宋_GB2312" w:hAnsi="仿宋" w:cs="Times New Roman"/>
          <w:bCs/>
          <w:color w:val="auto"/>
          <w:spacing w:val="0"/>
          <w:kern w:val="21"/>
          <w:sz w:val="32"/>
          <w:szCs w:val="32"/>
          <w:shd w:val="clear" w:color="auto" w:fill="auto"/>
          <w:lang w:val="en-US" w:eastAsia="zh-CN"/>
        </w:rPr>
        <w:t>118.3</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_GB2312" w:cs="Times New Roman"/>
          <w:color w:val="auto"/>
          <w:spacing w:val="0"/>
          <w:kern w:val="21"/>
          <w:sz w:val="32"/>
          <w:szCs w:val="32"/>
          <w:highlight w:val="none"/>
          <w:lang w:val="en-US" w:eastAsia="zh-CN"/>
        </w:rPr>
        <w:t>、</w:t>
      </w:r>
      <w:r>
        <w:rPr>
          <w:rFonts w:hint="eastAsia" w:ascii="仿宋_GB2312" w:hAnsi="仿宋" w:eastAsia="仿宋_GB2312" w:cs="Times New Roman"/>
          <w:bCs/>
          <w:color w:val="auto"/>
          <w:spacing w:val="0"/>
          <w:kern w:val="21"/>
          <w:sz w:val="32"/>
          <w:szCs w:val="32"/>
          <w:shd w:val="clear" w:color="auto" w:fill="auto"/>
          <w:lang w:val="en-US" w:eastAsia="zh-CN"/>
        </w:rPr>
        <w:t>调入资金</w:t>
      </w:r>
      <w:r>
        <w:rPr>
          <w:rFonts w:hint="eastAsia" w:ascii="仿宋_GB2312" w:hAnsi="仿宋" w:cs="Times New Roman"/>
          <w:bCs/>
          <w:color w:val="auto"/>
          <w:spacing w:val="0"/>
          <w:kern w:val="21"/>
          <w:sz w:val="32"/>
          <w:szCs w:val="32"/>
          <w:shd w:val="clear" w:color="auto" w:fill="auto"/>
          <w:lang w:val="en-US" w:eastAsia="zh-CN"/>
        </w:rPr>
        <w:t>0.1</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cs="Times New Roman"/>
          <w:bCs/>
          <w:color w:val="auto"/>
          <w:spacing w:val="0"/>
          <w:kern w:val="21"/>
          <w:sz w:val="32"/>
          <w:szCs w:val="32"/>
          <w:shd w:val="clear" w:color="auto" w:fill="auto"/>
          <w:lang w:val="en-US" w:eastAsia="zh-CN"/>
        </w:rPr>
        <w:t>、动用预算稳定调节基金10.4亿元、</w:t>
      </w:r>
      <w:r>
        <w:rPr>
          <w:rFonts w:hint="eastAsia" w:ascii="仿宋_GB2312" w:hAnsi="仿宋" w:eastAsia="仿宋_GB2312" w:cs="Times New Roman"/>
          <w:bCs/>
          <w:color w:val="auto"/>
          <w:spacing w:val="0"/>
          <w:kern w:val="21"/>
          <w:sz w:val="32"/>
          <w:szCs w:val="32"/>
          <w:shd w:val="clear" w:color="auto" w:fill="auto"/>
          <w:lang w:val="en-US" w:eastAsia="zh-CN"/>
        </w:rPr>
        <w:t>上年结余2</w:t>
      </w:r>
      <w:r>
        <w:rPr>
          <w:rFonts w:hint="eastAsia" w:ascii="仿宋_GB2312" w:hAnsi="仿宋" w:cs="Times New Roman"/>
          <w:bCs/>
          <w:color w:val="auto"/>
          <w:spacing w:val="0"/>
          <w:kern w:val="21"/>
          <w:sz w:val="32"/>
          <w:szCs w:val="32"/>
          <w:shd w:val="clear" w:color="auto" w:fill="auto"/>
          <w:lang w:val="en-US" w:eastAsia="zh-CN"/>
        </w:rPr>
        <w:t>6.3</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rPr>
        <w:t>，收入</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eastAsia="仿宋_GB2312" w:cs="Times New Roman"/>
          <w:bCs/>
          <w:color w:val="auto"/>
          <w:spacing w:val="0"/>
          <w:kern w:val="21"/>
          <w:sz w:val="32"/>
          <w:szCs w:val="32"/>
          <w:shd w:val="clear" w:color="auto" w:fill="auto"/>
          <w:lang w:val="en-US" w:eastAsia="zh-CN"/>
        </w:rPr>
        <w:t>3</w:t>
      </w:r>
      <w:r>
        <w:rPr>
          <w:rFonts w:hint="eastAsia" w:ascii="仿宋_GB2312" w:hAnsi="仿宋" w:cs="Times New Roman"/>
          <w:bCs/>
          <w:color w:val="auto"/>
          <w:spacing w:val="0"/>
          <w:kern w:val="21"/>
          <w:sz w:val="32"/>
          <w:szCs w:val="32"/>
          <w:shd w:val="clear" w:color="auto" w:fill="auto"/>
          <w:lang w:val="en-US" w:eastAsia="zh-CN"/>
        </w:rPr>
        <w:t>25.1</w:t>
      </w:r>
      <w:r>
        <w:rPr>
          <w:rFonts w:hint="eastAsia" w:ascii="仿宋_GB2312" w:hAnsi="仿宋" w:eastAsia="仿宋_GB2312" w:cs="Times New Roman"/>
          <w:bCs/>
          <w:color w:val="auto"/>
          <w:spacing w:val="0"/>
          <w:kern w:val="21"/>
          <w:sz w:val="32"/>
          <w:szCs w:val="32"/>
          <w:shd w:val="clear" w:color="auto" w:fill="auto"/>
        </w:rPr>
        <w:t>亿元。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rPr>
        <w:t>区级一般公共预算</w:t>
      </w:r>
      <w:r>
        <w:rPr>
          <w:rFonts w:hint="eastAsia" w:ascii="仿宋_GB2312" w:hAnsi="仿宋" w:eastAsia="仿宋_GB2312" w:cs="Times New Roman"/>
          <w:bCs/>
          <w:color w:val="auto"/>
          <w:spacing w:val="0"/>
          <w:kern w:val="21"/>
          <w:sz w:val="32"/>
          <w:szCs w:val="32"/>
          <w:shd w:val="clear" w:color="auto" w:fill="auto"/>
          <w:lang w:eastAsia="zh-CN"/>
        </w:rPr>
        <w:t>支出</w:t>
      </w:r>
      <w:r>
        <w:rPr>
          <w:rFonts w:hint="eastAsia" w:ascii="仿宋_GB2312" w:hAnsi="仿宋_GB2312" w:cs="Times New Roman"/>
          <w:color w:val="auto"/>
          <w:spacing w:val="0"/>
          <w:kern w:val="21"/>
          <w:sz w:val="32"/>
          <w:szCs w:val="32"/>
          <w:highlight w:val="none"/>
        </w:rPr>
        <w:t>预期</w:t>
      </w:r>
      <w:r>
        <w:rPr>
          <w:rFonts w:hint="eastAsia" w:ascii="仿宋_GB2312" w:hAnsi="仿宋" w:eastAsia="仿宋_GB2312" w:cs="Times New Roman"/>
          <w:bCs/>
          <w:color w:val="auto"/>
          <w:spacing w:val="0"/>
          <w:kern w:val="21"/>
          <w:sz w:val="32"/>
          <w:szCs w:val="32"/>
          <w:shd w:val="clear" w:color="auto" w:fill="auto"/>
          <w:lang w:val="en-US" w:eastAsia="zh-CN"/>
        </w:rPr>
        <w:t>2</w:t>
      </w:r>
      <w:r>
        <w:rPr>
          <w:rFonts w:hint="eastAsia" w:ascii="仿宋_GB2312" w:hAnsi="仿宋" w:cs="Times New Roman"/>
          <w:bCs/>
          <w:color w:val="auto"/>
          <w:spacing w:val="0"/>
          <w:kern w:val="21"/>
          <w:sz w:val="32"/>
          <w:szCs w:val="32"/>
          <w:shd w:val="clear" w:color="auto" w:fill="auto"/>
          <w:lang w:val="en-US" w:eastAsia="zh-CN"/>
        </w:rPr>
        <w:t>96.2</w:t>
      </w:r>
      <w:r>
        <w:rPr>
          <w:rFonts w:hint="eastAsia" w:ascii="仿宋_GB2312" w:hAnsi="仿宋" w:eastAsia="仿宋_GB2312" w:cs="Times New Roman"/>
          <w:bCs/>
          <w:color w:val="auto"/>
          <w:spacing w:val="0"/>
          <w:kern w:val="21"/>
          <w:sz w:val="32"/>
          <w:szCs w:val="32"/>
          <w:shd w:val="clear" w:color="auto" w:fill="auto"/>
        </w:rPr>
        <w:t>亿元</w:t>
      </w:r>
      <w:r>
        <w:rPr>
          <w:rFonts w:hint="eastAsia" w:ascii="仿宋_GB2312" w:hAnsi="仿宋" w:eastAsia="仿宋_GB2312" w:cs="Times New Roman"/>
          <w:bCs/>
          <w:color w:val="auto"/>
          <w:spacing w:val="0"/>
          <w:kern w:val="21"/>
          <w:sz w:val="32"/>
          <w:szCs w:val="32"/>
          <w:shd w:val="clear" w:color="auto" w:fill="auto"/>
          <w:lang w:eastAsia="zh-CN"/>
        </w:rPr>
        <w:t>；加专项转移支付支出</w:t>
      </w:r>
      <w:r>
        <w:rPr>
          <w:rFonts w:hint="eastAsia" w:ascii="仿宋_GB2312" w:hAnsi="仿宋" w:cs="Times New Roman"/>
          <w:bCs/>
          <w:color w:val="auto"/>
          <w:spacing w:val="0"/>
          <w:kern w:val="21"/>
          <w:sz w:val="32"/>
          <w:szCs w:val="32"/>
          <w:shd w:val="clear" w:color="auto" w:fill="auto"/>
          <w:lang w:val="en-US" w:eastAsia="zh-CN"/>
        </w:rPr>
        <w:t>20.2</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rPr>
        <w:t>上解支出</w:t>
      </w:r>
      <w:r>
        <w:rPr>
          <w:rFonts w:hint="eastAsia" w:ascii="仿宋_GB2312" w:hAnsi="仿宋" w:cs="Times New Roman"/>
          <w:bCs/>
          <w:color w:val="auto"/>
          <w:spacing w:val="0"/>
          <w:kern w:val="21"/>
          <w:sz w:val="32"/>
          <w:szCs w:val="32"/>
          <w:shd w:val="clear" w:color="auto" w:fill="auto"/>
          <w:lang w:val="en-US" w:eastAsia="zh-CN"/>
        </w:rPr>
        <w:t>8.7</w:t>
      </w:r>
      <w:r>
        <w:rPr>
          <w:rFonts w:hint="eastAsia" w:ascii="仿宋_GB2312" w:hAnsi="仿宋" w:eastAsia="仿宋_GB2312" w:cs="Times New Roman"/>
          <w:bCs/>
          <w:color w:val="auto"/>
          <w:spacing w:val="0"/>
          <w:kern w:val="21"/>
          <w:sz w:val="32"/>
          <w:szCs w:val="32"/>
          <w:shd w:val="clear" w:color="auto" w:fill="auto"/>
        </w:rPr>
        <w:t>亿元，支出</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eastAsia="仿宋_GB2312" w:cs="Times New Roman"/>
          <w:bCs/>
          <w:color w:val="auto"/>
          <w:spacing w:val="0"/>
          <w:kern w:val="21"/>
          <w:sz w:val="32"/>
          <w:szCs w:val="32"/>
          <w:shd w:val="clear" w:color="auto" w:fill="auto"/>
          <w:lang w:val="en-US" w:eastAsia="zh-CN"/>
        </w:rPr>
        <w:t>3</w:t>
      </w:r>
      <w:r>
        <w:rPr>
          <w:rFonts w:hint="eastAsia" w:ascii="仿宋_GB2312" w:hAnsi="仿宋" w:cs="Times New Roman"/>
          <w:bCs/>
          <w:color w:val="auto"/>
          <w:spacing w:val="0"/>
          <w:kern w:val="21"/>
          <w:sz w:val="32"/>
          <w:szCs w:val="32"/>
          <w:shd w:val="clear" w:color="auto" w:fill="auto"/>
          <w:lang w:val="en-US" w:eastAsia="zh-CN"/>
        </w:rPr>
        <w:t>25.1</w:t>
      </w:r>
      <w:r>
        <w:rPr>
          <w:rFonts w:hint="eastAsia" w:ascii="仿宋_GB2312" w:hAnsi="仿宋" w:eastAsia="仿宋_GB2312" w:cs="Times New Roman"/>
          <w:bCs/>
          <w:color w:val="auto"/>
          <w:spacing w:val="0"/>
          <w:kern w:val="21"/>
          <w:sz w:val="32"/>
          <w:szCs w:val="32"/>
          <w:shd w:val="clear" w:color="auto" w:fill="auto"/>
        </w:rPr>
        <w:t>亿元。一般公共预算收支平衡。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lang w:val="en-US" w:eastAsia="zh-CN"/>
        </w:rPr>
      </w:pPr>
      <w:r>
        <w:rPr>
          <w:rFonts w:hint="eastAsia" w:ascii="仿宋_GB2312" w:hAnsi="仿宋" w:eastAsia="仿宋_GB2312" w:cs="Times New Roman"/>
          <w:bCs/>
          <w:color w:val="auto"/>
          <w:spacing w:val="0"/>
          <w:kern w:val="21"/>
          <w:sz w:val="32"/>
          <w:szCs w:val="32"/>
          <w:shd w:val="clear" w:color="auto" w:fill="auto"/>
        </w:rPr>
        <w:t>预备费</w:t>
      </w:r>
      <w:r>
        <w:rPr>
          <w:rFonts w:hint="eastAsia" w:ascii="仿宋_GB2312" w:hAnsi="仿宋" w:cs="Times New Roman"/>
          <w:bCs/>
          <w:color w:val="auto"/>
          <w:spacing w:val="0"/>
          <w:kern w:val="21"/>
          <w:sz w:val="32"/>
          <w:szCs w:val="32"/>
          <w:shd w:val="clear" w:color="auto" w:fill="auto"/>
          <w:lang w:val="en-US" w:eastAsia="zh-CN"/>
        </w:rPr>
        <w:t>5</w:t>
      </w:r>
      <w:r>
        <w:rPr>
          <w:rFonts w:hint="eastAsia" w:ascii="仿宋_GB2312" w:hAnsi="仿宋" w:eastAsia="仿宋_GB2312" w:cs="Times New Roman"/>
          <w:bCs/>
          <w:color w:val="auto"/>
          <w:spacing w:val="0"/>
          <w:kern w:val="21"/>
          <w:sz w:val="32"/>
          <w:szCs w:val="32"/>
          <w:shd w:val="clear" w:color="auto" w:fill="auto"/>
        </w:rPr>
        <w:t>.0亿元，占一般公共预算支出的</w:t>
      </w:r>
      <w:r>
        <w:rPr>
          <w:rFonts w:hint="eastAsia" w:ascii="仿宋_GB2312" w:hAnsi="仿宋" w:eastAsia="仿宋_GB2312" w:cs="Times New Roman"/>
          <w:bCs/>
          <w:color w:val="auto"/>
          <w:spacing w:val="0"/>
          <w:kern w:val="21"/>
          <w:sz w:val="32"/>
          <w:szCs w:val="32"/>
          <w:shd w:val="clear" w:color="auto" w:fill="auto"/>
          <w:lang w:val="en-US" w:eastAsia="zh-CN"/>
        </w:rPr>
        <w:t>1.</w:t>
      </w:r>
      <w:r>
        <w:rPr>
          <w:rFonts w:hint="eastAsia" w:ascii="仿宋_GB2312" w:hAnsi="仿宋" w:cs="Times New Roman"/>
          <w:bCs/>
          <w:color w:val="auto"/>
          <w:spacing w:val="0"/>
          <w:kern w:val="21"/>
          <w:sz w:val="32"/>
          <w:szCs w:val="32"/>
          <w:shd w:val="clear" w:color="auto" w:fill="auto"/>
          <w:lang w:val="en-US" w:eastAsia="zh-CN"/>
        </w:rPr>
        <w:t>6</w:t>
      </w:r>
      <w:r>
        <w:rPr>
          <w:rFonts w:hint="eastAsia" w:ascii="仿宋_GB2312" w:hAnsi="仿宋" w:eastAsia="仿宋_GB2312" w:cs="Times New Roman"/>
          <w:bCs/>
          <w:color w:val="auto"/>
          <w:spacing w:val="0"/>
          <w:kern w:val="21"/>
          <w:sz w:val="32"/>
          <w:szCs w:val="32"/>
          <w:shd w:val="clear" w:color="auto" w:fill="auto"/>
        </w:rPr>
        <w:t>%，比例符合预算法规定。</w:t>
      </w:r>
      <w:r>
        <w:rPr>
          <w:rFonts w:hint="eastAsia" w:ascii="仿宋_GB2312" w:hAnsi="仿宋" w:eastAsia="仿宋_GB2312" w:cs="Times New Roman"/>
          <w:bCs/>
          <w:color w:val="auto"/>
          <w:spacing w:val="0"/>
          <w:kern w:val="21"/>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rPr>
        <w:t>202</w:t>
      </w:r>
      <w:r>
        <w:rPr>
          <w:rFonts w:hint="eastAsia" w:ascii="仿宋_GB2312" w:hAnsi="仿宋" w:eastAsia="仿宋_GB2312" w:cs="Times New Roman"/>
          <w:bCs/>
          <w:color w:val="auto"/>
          <w:spacing w:val="0"/>
          <w:kern w:val="21"/>
          <w:sz w:val="32"/>
          <w:szCs w:val="32"/>
          <w:shd w:val="clear" w:color="auto" w:fill="auto"/>
          <w:lang w:val="en-US" w:eastAsia="zh-CN"/>
        </w:rPr>
        <w:t>5</w:t>
      </w:r>
      <w:r>
        <w:rPr>
          <w:rFonts w:hint="eastAsia" w:ascii="仿宋_GB2312" w:hAnsi="仿宋" w:eastAsia="仿宋_GB2312" w:cs="Times New Roman"/>
          <w:bCs/>
          <w:color w:val="auto"/>
          <w:spacing w:val="0"/>
          <w:kern w:val="21"/>
          <w:sz w:val="32"/>
          <w:szCs w:val="32"/>
          <w:shd w:val="clear" w:color="auto" w:fill="auto"/>
        </w:rPr>
        <w:t>年，党政机关、事业单位的“三公”经费财政拨款支出预算安排7698万元。其中，因公出国（境）经费623万元，公务接待费199万元，公务用车购置和运行维护费6876万元（包括购置费1022万元、运行维护费5854万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cs="Times New Roman"/>
          <w:bCs/>
          <w:color w:val="auto"/>
          <w:spacing w:val="0"/>
          <w:kern w:val="21"/>
          <w:sz w:val="32"/>
          <w:szCs w:val="32"/>
          <w:highlight w:val="none"/>
        </w:rPr>
      </w:pPr>
      <w:r>
        <w:rPr>
          <w:rFonts w:hint="eastAsia" w:ascii="仿宋_GB2312" w:hAnsi="仿宋" w:cs="Times New Roman"/>
          <w:bCs/>
          <w:color w:val="auto"/>
          <w:spacing w:val="0"/>
          <w:kern w:val="21"/>
          <w:sz w:val="32"/>
          <w:szCs w:val="32"/>
          <w:highlight w:val="none"/>
        </w:rPr>
        <w:t>2.支出政策及保障重点</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hAnsi="仿宋_GB2312" w:eastAsia="仿宋_GB2312" w:cs="Times New Roman"/>
          <w:b w:val="0"/>
          <w:bCs w:val="0"/>
          <w:color w:val="auto"/>
          <w:spacing w:val="0"/>
          <w:kern w:val="21"/>
          <w:sz w:val="32"/>
          <w:szCs w:val="32"/>
          <w:highlight w:val="none"/>
          <w:lang w:val="en-US" w:eastAsia="zh-CN" w:bidi="ar-SA"/>
        </w:rPr>
      </w:pPr>
      <w:r>
        <w:rPr>
          <w:rFonts w:hint="eastAsia" w:ascii="仿宋_GB2312" w:hAnsi="仿宋_GB2312" w:eastAsia="仿宋_GB2312" w:cs="Times New Roman"/>
          <w:b w:val="0"/>
          <w:bCs w:val="0"/>
          <w:color w:val="auto"/>
          <w:spacing w:val="0"/>
          <w:kern w:val="21"/>
          <w:sz w:val="32"/>
          <w:szCs w:val="32"/>
          <w:highlight w:val="none"/>
          <w:lang w:val="en-US" w:eastAsia="zh-CN" w:bidi="ar-SA"/>
        </w:rPr>
        <w:t>区级一般公共预算支出中：</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 w:eastAsia="仿宋_GB2312" w:cs="Times New Roman"/>
          <w:bCs/>
          <w:color w:val="auto"/>
          <w:spacing w:val="0"/>
          <w:kern w:val="21"/>
          <w:sz w:val="32"/>
          <w:szCs w:val="32"/>
          <w:lang w:eastAsia="zh-CN"/>
        </w:rPr>
      </w:pPr>
      <w:r>
        <w:rPr>
          <w:rFonts w:hint="eastAsia" w:ascii="仿宋_GB2312" w:hAnsi="仿宋" w:cs="Times New Roman"/>
          <w:b/>
          <w:bCs w:val="0"/>
          <w:color w:val="auto"/>
          <w:spacing w:val="0"/>
          <w:kern w:val="21"/>
          <w:sz w:val="32"/>
          <w:szCs w:val="32"/>
        </w:rPr>
        <w:t>教育</w:t>
      </w:r>
      <w:r>
        <w:rPr>
          <w:rFonts w:hint="eastAsia" w:ascii="仿宋_GB2312" w:hAnsi="仿宋" w:cs="Times New Roman"/>
          <w:b/>
          <w:bCs w:val="0"/>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lang w:val="en-US" w:eastAsia="zh-CN"/>
        </w:rPr>
        <w:t>51.9</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主要用于推进基础教育“强基工程”</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主要是着力打造高质量教育体系，落实学前生均定额补助、义务教育免费教科书补助等基础教育项目资金，</w:t>
      </w:r>
      <w:r>
        <w:rPr>
          <w:rFonts w:hint="eastAsia" w:ascii="仿宋_GB2312" w:hAnsi="仿宋" w:cs="Times New Roman"/>
          <w:bCs/>
          <w:color w:val="auto"/>
          <w:spacing w:val="0"/>
          <w:kern w:val="21"/>
          <w:sz w:val="32"/>
          <w:szCs w:val="32"/>
          <w:lang w:eastAsia="zh-CN"/>
        </w:rPr>
        <w:t>补齐基础教育软硬件短板，持续深化“双减”工作成效，提升骨干教师能力水平，支持职业教育提质做优。</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pacing w:val="0"/>
          <w:kern w:val="21"/>
          <w:sz w:val="32"/>
          <w:szCs w:val="32"/>
          <w:lang w:val="en-US" w:eastAsia="zh-CN" w:bidi="ar-SA"/>
        </w:rPr>
      </w:pPr>
      <w:r>
        <w:rPr>
          <w:rFonts w:hint="eastAsia" w:ascii="仿宋_GB2312" w:hAnsi="仿宋" w:cs="Times New Roman"/>
          <w:b/>
          <w:bCs w:val="0"/>
          <w:color w:val="auto"/>
          <w:spacing w:val="0"/>
          <w:kern w:val="21"/>
          <w:sz w:val="32"/>
          <w:szCs w:val="32"/>
        </w:rPr>
        <w:t>科学技术</w:t>
      </w:r>
      <w:r>
        <w:rPr>
          <w:rFonts w:hint="eastAsia" w:ascii="仿宋_GB2312" w:hAnsi="仿宋" w:cs="Times New Roman"/>
          <w:b/>
          <w:bCs w:val="0"/>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lang w:val="en-US" w:eastAsia="zh-CN"/>
        </w:rPr>
        <w:t>4.6</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主要用于加速释放</w:t>
      </w:r>
      <w:r>
        <w:rPr>
          <w:rFonts w:hint="eastAsia" w:ascii="仿宋_GB2312" w:hAnsi="仿宋" w:cs="Times New Roman"/>
          <w:bCs/>
          <w:color w:val="auto"/>
          <w:spacing w:val="0"/>
          <w:kern w:val="21"/>
          <w:sz w:val="32"/>
          <w:szCs w:val="32"/>
          <w:lang w:eastAsia="zh-CN"/>
        </w:rPr>
        <w:t>科技园区</w:t>
      </w:r>
      <w:r>
        <w:rPr>
          <w:rFonts w:hint="eastAsia" w:ascii="仿宋_GB2312" w:hAnsi="仿宋" w:cs="Times New Roman"/>
          <w:bCs/>
          <w:color w:val="auto"/>
          <w:spacing w:val="0"/>
          <w:kern w:val="21"/>
          <w:sz w:val="32"/>
          <w:szCs w:val="32"/>
        </w:rPr>
        <w:t>创新活力，</w:t>
      </w:r>
      <w:r>
        <w:rPr>
          <w:rFonts w:hint="eastAsia" w:ascii="仿宋_GB2312" w:hAnsi="仿宋" w:cs="Times New Roman"/>
          <w:bCs/>
          <w:color w:val="auto"/>
          <w:spacing w:val="0"/>
          <w:kern w:val="21"/>
          <w:sz w:val="32"/>
          <w:szCs w:val="32"/>
          <w:lang w:eastAsia="zh-CN"/>
        </w:rPr>
        <w:t>支持营造良好产业生态，围绕中国星网</w:t>
      </w:r>
      <w:r>
        <w:rPr>
          <w:rFonts w:hint="eastAsia" w:ascii="仿宋_GB2312" w:hAnsi="仿宋_GB2312" w:cs="仿宋_GB2312"/>
          <w:color w:val="auto"/>
          <w:spacing w:val="0"/>
          <w:kern w:val="21"/>
          <w:sz w:val="32"/>
          <w:szCs w:val="32"/>
          <w:lang w:val="en-US" w:eastAsia="zh-CN" w:bidi="ar-SA"/>
        </w:rPr>
        <w:t>支持</w:t>
      </w:r>
      <w:r>
        <w:rPr>
          <w:rFonts w:hint="eastAsia" w:ascii="仿宋_GB2312" w:hAnsi="仿宋_GB2312" w:eastAsia="仿宋_GB2312" w:cs="仿宋_GB2312"/>
          <w:color w:val="auto"/>
          <w:spacing w:val="0"/>
          <w:kern w:val="21"/>
          <w:sz w:val="32"/>
          <w:szCs w:val="32"/>
          <w:lang w:val="en-US" w:eastAsia="zh-CN" w:bidi="ar-SA"/>
        </w:rPr>
        <w:t>打造卫星互联网特色产业园</w:t>
      </w:r>
      <w:r>
        <w:rPr>
          <w:rFonts w:hint="eastAsia" w:ascii="仿宋_GB2312" w:hAnsi="仿宋_GB2312" w:cs="仿宋_GB2312"/>
          <w:color w:val="auto"/>
          <w:spacing w:val="0"/>
          <w:kern w:val="21"/>
          <w:sz w:val="32"/>
          <w:szCs w:val="32"/>
          <w:lang w:val="en-US" w:eastAsia="zh-CN" w:bidi="ar-SA"/>
        </w:rPr>
        <w:t>，推进丰台创新中心项目智慧园区载体建设项目工程，加快科技</w:t>
      </w:r>
      <w:r>
        <w:rPr>
          <w:rFonts w:hint="eastAsia" w:ascii="仿宋_GB2312" w:hAnsi="仿宋_GB2312" w:eastAsia="仿宋_GB2312" w:cs="仿宋_GB2312"/>
          <w:color w:val="auto"/>
          <w:spacing w:val="0"/>
          <w:kern w:val="21"/>
          <w:sz w:val="32"/>
          <w:szCs w:val="32"/>
          <w:lang w:val="en-US" w:eastAsia="zh-CN" w:bidi="ar-SA"/>
        </w:rPr>
        <w:t>成果转化，完善创新链、产业链、供应链、生态链。</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 w:cs="Times New Roman"/>
          <w:bCs/>
          <w:color w:val="auto"/>
          <w:spacing w:val="0"/>
          <w:kern w:val="21"/>
          <w:sz w:val="32"/>
          <w:szCs w:val="32"/>
        </w:rPr>
      </w:pPr>
      <w:r>
        <w:rPr>
          <w:rFonts w:hint="eastAsia" w:ascii="仿宋_GB2312" w:hAnsi="仿宋" w:cs="Times New Roman"/>
          <w:b/>
          <w:bCs w:val="0"/>
          <w:color w:val="auto"/>
          <w:spacing w:val="0"/>
          <w:kern w:val="21"/>
          <w:sz w:val="32"/>
          <w:szCs w:val="32"/>
        </w:rPr>
        <w:t>文化旅游体育与传媒</w:t>
      </w:r>
      <w:r>
        <w:rPr>
          <w:rFonts w:hint="eastAsia" w:ascii="仿宋_GB2312" w:hAnsi="仿宋" w:cs="Times New Roman"/>
          <w:b/>
          <w:bCs w:val="0"/>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lang w:val="en-US" w:eastAsia="zh-CN"/>
        </w:rPr>
        <w:t>3.7</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主要用于支持</w:t>
      </w:r>
      <w:r>
        <w:rPr>
          <w:rFonts w:hint="eastAsia" w:ascii="仿宋_GB2312" w:hAnsi="仿宋" w:cs="Times New Roman"/>
          <w:bCs/>
          <w:color w:val="auto"/>
          <w:spacing w:val="0"/>
          <w:kern w:val="21"/>
          <w:sz w:val="32"/>
          <w:szCs w:val="32"/>
          <w:lang w:eastAsia="zh-CN"/>
        </w:rPr>
        <w:t>区域文化功能提升，持续举办“戏曲文化周”等文化惠民活动，</w:t>
      </w:r>
      <w:r>
        <w:rPr>
          <w:rFonts w:hint="eastAsia" w:ascii="仿宋_GB2312" w:hAnsi="仿宋_GB2312" w:eastAsia="仿宋_GB2312" w:cs="仿宋_GB2312"/>
          <w:b w:val="0"/>
          <w:bCs w:val="0"/>
          <w:color w:val="auto"/>
          <w:spacing w:val="0"/>
          <w:kern w:val="21"/>
          <w:sz w:val="32"/>
          <w:szCs w:val="32"/>
        </w:rPr>
        <w:t>积极推进街道综合文化中心建设</w:t>
      </w:r>
      <w:r>
        <w:rPr>
          <w:rFonts w:hint="eastAsia" w:ascii="仿宋_GB2312" w:hAnsi="仿宋_GB2312" w:cs="仿宋_GB2312"/>
          <w:b w:val="0"/>
          <w:bCs w:val="0"/>
          <w:color w:val="auto"/>
          <w:spacing w:val="0"/>
          <w:kern w:val="21"/>
          <w:sz w:val="32"/>
          <w:szCs w:val="32"/>
          <w:lang w:eastAsia="zh-CN"/>
        </w:rPr>
        <w:t>，提升基层公共文化服务。</w:t>
      </w:r>
      <w:r>
        <w:rPr>
          <w:rFonts w:hint="eastAsia" w:ascii="仿宋_GB2312" w:hAnsi="仿宋" w:cs="Times New Roman"/>
          <w:bCs/>
          <w:color w:val="auto"/>
          <w:spacing w:val="0"/>
          <w:kern w:val="21"/>
          <w:sz w:val="32"/>
          <w:szCs w:val="32"/>
          <w:lang w:eastAsia="zh-CN"/>
        </w:rPr>
        <w:t>加大文物保护力度，做好卢沟桥、宛平城、金中都城遗迹文物保护和修缮，挖掘文旅资源。支持</w:t>
      </w:r>
      <w:r>
        <w:rPr>
          <w:rFonts w:hint="eastAsia" w:ascii="仿宋_GB2312" w:hAnsi="宋体" w:eastAsia="仿宋_GB2312" w:cs="宋体"/>
          <w:color w:val="auto"/>
          <w:spacing w:val="0"/>
          <w:kern w:val="21"/>
          <w:sz w:val="32"/>
          <w:szCs w:val="32"/>
        </w:rPr>
        <w:t>全民健身场地建设和更新</w:t>
      </w:r>
      <w:r>
        <w:rPr>
          <w:rFonts w:hint="eastAsia" w:ascii="仿宋_GB2312" w:hAnsi="宋体" w:cs="宋体"/>
          <w:color w:val="auto"/>
          <w:spacing w:val="0"/>
          <w:kern w:val="21"/>
          <w:sz w:val="32"/>
          <w:szCs w:val="32"/>
          <w:lang w:eastAsia="zh-CN"/>
        </w:rPr>
        <w:t>，举办</w:t>
      </w:r>
      <w:r>
        <w:rPr>
          <w:rFonts w:hint="eastAsia" w:ascii="仿宋_GB2312" w:hAnsi="仿宋" w:cs="Times New Roman"/>
          <w:bCs/>
          <w:color w:val="auto"/>
          <w:spacing w:val="0"/>
          <w:kern w:val="21"/>
          <w:sz w:val="32"/>
          <w:szCs w:val="32"/>
          <w:highlight w:val="none"/>
        </w:rPr>
        <w:t>全民健身运动会</w:t>
      </w:r>
      <w:r>
        <w:rPr>
          <w:rFonts w:hint="eastAsia" w:ascii="仿宋_GB2312" w:hAnsi="仿宋" w:eastAsia="仿宋_GB2312"/>
          <w:bCs/>
          <w:color w:val="auto"/>
          <w:spacing w:val="0"/>
          <w:kern w:val="21"/>
          <w:sz w:val="32"/>
          <w:szCs w:val="32"/>
        </w:rPr>
        <w:t>等活动</w:t>
      </w:r>
      <w:r>
        <w:rPr>
          <w:rFonts w:hint="eastAsia" w:ascii="仿宋_GB2312" w:hAnsi="仿宋"/>
          <w:bCs/>
          <w:color w:val="auto"/>
          <w:spacing w:val="0"/>
          <w:kern w:val="21"/>
          <w:sz w:val="32"/>
          <w:szCs w:val="32"/>
          <w:lang w:eastAsia="zh-CN"/>
        </w:rPr>
        <w:t>，打造丰台品牌文体活动</w:t>
      </w:r>
      <w:r>
        <w:rPr>
          <w:rFonts w:hint="eastAsia" w:ascii="仿宋_GB2312" w:hAnsi="仿宋" w:cs="Times New Roman"/>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 w:cs="Times New Roman"/>
          <w:bCs/>
          <w:color w:val="auto"/>
          <w:spacing w:val="0"/>
          <w:kern w:val="21"/>
          <w:sz w:val="32"/>
          <w:szCs w:val="32"/>
          <w:lang w:eastAsia="zh-CN"/>
        </w:rPr>
      </w:pPr>
      <w:r>
        <w:rPr>
          <w:rFonts w:hint="eastAsia" w:ascii="仿宋_GB2312" w:hAnsi="仿宋" w:cs="Times New Roman"/>
          <w:b/>
          <w:bCs/>
          <w:color w:val="auto"/>
          <w:spacing w:val="0"/>
          <w:kern w:val="21"/>
          <w:sz w:val="32"/>
          <w:szCs w:val="32"/>
        </w:rPr>
        <w:t>社会保障和就业</w:t>
      </w:r>
      <w:r>
        <w:rPr>
          <w:rFonts w:hint="eastAsia" w:ascii="仿宋_GB2312" w:hAnsi="仿宋" w:cs="Times New Roman"/>
          <w:b/>
          <w:bCs/>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highlight w:val="none"/>
          <w:lang w:val="en-US" w:eastAsia="zh-CN"/>
        </w:rPr>
        <w:t>93.6</w:t>
      </w:r>
      <w:r>
        <w:rPr>
          <w:rFonts w:hint="eastAsia" w:ascii="仿宋_GB2312" w:hAnsi="仿宋" w:cs="Times New Roman"/>
          <w:bCs/>
          <w:color w:val="auto"/>
          <w:spacing w:val="0"/>
          <w:kern w:val="21"/>
          <w:sz w:val="32"/>
          <w:szCs w:val="32"/>
          <w:highlight w:val="none"/>
        </w:rPr>
        <w:t>亿元</w:t>
      </w:r>
      <w:r>
        <w:rPr>
          <w:rFonts w:hint="eastAsia" w:ascii="仿宋_GB2312" w:hAnsi="仿宋" w:cs="Times New Roman"/>
          <w:bCs/>
          <w:color w:val="auto"/>
          <w:spacing w:val="0"/>
          <w:kern w:val="21"/>
          <w:sz w:val="32"/>
          <w:szCs w:val="32"/>
          <w:highlight w:val="none"/>
          <w:lang w:eastAsia="zh-CN"/>
        </w:rPr>
        <w:t>。</w:t>
      </w:r>
      <w:r>
        <w:rPr>
          <w:rFonts w:hint="eastAsia" w:ascii="仿宋_GB2312" w:hAnsi="仿宋" w:cs="Times New Roman"/>
          <w:bCs/>
          <w:color w:val="auto"/>
          <w:spacing w:val="0"/>
          <w:kern w:val="21"/>
          <w:sz w:val="32"/>
          <w:szCs w:val="32"/>
        </w:rPr>
        <w:t>主要用于</w:t>
      </w:r>
      <w:r>
        <w:rPr>
          <w:rFonts w:hint="eastAsia" w:ascii="仿宋_GB2312" w:hAnsi="仿宋" w:cs="Times New Roman"/>
          <w:bCs/>
          <w:color w:val="auto"/>
          <w:spacing w:val="0"/>
          <w:kern w:val="21"/>
          <w:sz w:val="32"/>
          <w:szCs w:val="32"/>
          <w:lang w:eastAsia="zh-CN"/>
        </w:rPr>
        <w:t>完善社会保障体系，支持稳就业工作，落实</w:t>
      </w:r>
      <w:r>
        <w:rPr>
          <w:rFonts w:hint="eastAsia" w:ascii="仿宋_GB2312" w:hAnsi="仿宋_GB2312" w:eastAsia="仿宋_GB2312" w:cs="仿宋_GB2312"/>
          <w:color w:val="auto"/>
          <w:spacing w:val="0"/>
          <w:kern w:val="21"/>
          <w:sz w:val="32"/>
          <w:szCs w:val="32"/>
          <w:lang w:val="en-US" w:eastAsia="zh-CN"/>
        </w:rPr>
        <w:t>就业创业服务、社会保险补贴、就业培训、公益性岗位补贴</w:t>
      </w:r>
      <w:r>
        <w:rPr>
          <w:rFonts w:hint="eastAsia" w:ascii="仿宋_GB2312" w:hAnsi="仿宋_GB2312" w:cs="仿宋_GB2312"/>
          <w:color w:val="auto"/>
          <w:spacing w:val="0"/>
          <w:kern w:val="21"/>
          <w:sz w:val="32"/>
          <w:szCs w:val="32"/>
          <w:lang w:val="en-US" w:eastAsia="zh-CN"/>
        </w:rPr>
        <w:t>资金</w:t>
      </w:r>
      <w:r>
        <w:rPr>
          <w:rFonts w:hint="eastAsia" w:ascii="仿宋_GB2312" w:hAnsi="仿宋" w:cs="Times New Roman"/>
          <w:bCs/>
          <w:color w:val="auto"/>
          <w:spacing w:val="0"/>
          <w:kern w:val="21"/>
          <w:sz w:val="32"/>
          <w:szCs w:val="32"/>
          <w:lang w:eastAsia="zh-CN"/>
        </w:rPr>
        <w:t>。关心关爱困难群众，落实特困人员救助、最低生活保障资金，发放困难群众一次性生活补助。提高养老服务供给水平，建设社区养老服务驿站，提供养老家庭照护床位服务。重点保障优抚对象抚恤待遇，完善退役军人保障服务。建设残疾人职业康复中心，保障残疾人温馨家园建设运营。</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 w:cs="Times New Roman"/>
          <w:color w:val="auto"/>
          <w:spacing w:val="0"/>
          <w:kern w:val="21"/>
          <w:sz w:val="32"/>
          <w:szCs w:val="32"/>
          <w:lang w:eastAsia="zh-CN"/>
        </w:rPr>
      </w:pPr>
      <w:r>
        <w:rPr>
          <w:rFonts w:hint="eastAsia" w:ascii="仿宋_GB2312" w:hAnsi="仿宋" w:cs="Times New Roman"/>
          <w:b/>
          <w:bCs/>
          <w:color w:val="auto"/>
          <w:spacing w:val="0"/>
          <w:kern w:val="21"/>
          <w:sz w:val="32"/>
          <w:szCs w:val="32"/>
        </w:rPr>
        <w:t>卫生健康</w:t>
      </w:r>
      <w:r>
        <w:rPr>
          <w:rFonts w:hint="eastAsia" w:ascii="仿宋_GB2312" w:hAnsi="仿宋" w:cs="Times New Roman"/>
          <w:b/>
          <w:bCs/>
          <w:color w:val="auto"/>
          <w:spacing w:val="0"/>
          <w:kern w:val="21"/>
          <w:sz w:val="32"/>
          <w:szCs w:val="32"/>
          <w:lang w:eastAsia="zh-CN"/>
        </w:rPr>
        <w:t>支出</w:t>
      </w:r>
      <w:r>
        <w:rPr>
          <w:rFonts w:hint="eastAsia" w:ascii="仿宋_GB2312" w:hAnsi="仿宋" w:cs="Times New Roman"/>
          <w:color w:val="auto"/>
          <w:spacing w:val="0"/>
          <w:kern w:val="21"/>
          <w:sz w:val="32"/>
          <w:szCs w:val="32"/>
        </w:rPr>
        <w:t>安排</w:t>
      </w:r>
      <w:r>
        <w:rPr>
          <w:rFonts w:hint="eastAsia" w:ascii="仿宋_GB2312" w:hAnsi="仿宋" w:cs="Times New Roman"/>
          <w:color w:val="auto"/>
          <w:spacing w:val="0"/>
          <w:kern w:val="21"/>
          <w:sz w:val="32"/>
          <w:szCs w:val="32"/>
          <w:highlight w:val="none"/>
          <w:lang w:val="en-US" w:eastAsia="zh-CN"/>
        </w:rPr>
        <w:t>21.5</w:t>
      </w:r>
      <w:r>
        <w:rPr>
          <w:rFonts w:hint="eastAsia" w:ascii="仿宋_GB2312" w:hAnsi="仿宋" w:cs="Times New Roman"/>
          <w:color w:val="auto"/>
          <w:spacing w:val="0"/>
          <w:kern w:val="21"/>
          <w:sz w:val="32"/>
          <w:szCs w:val="32"/>
          <w:highlight w:val="none"/>
        </w:rPr>
        <w:t>亿元</w:t>
      </w:r>
      <w:r>
        <w:rPr>
          <w:rFonts w:hint="eastAsia" w:ascii="仿宋_GB2312" w:hAnsi="仿宋" w:cs="Times New Roman"/>
          <w:color w:val="auto"/>
          <w:spacing w:val="0"/>
          <w:kern w:val="21"/>
          <w:sz w:val="32"/>
          <w:szCs w:val="32"/>
          <w:highlight w:val="none"/>
          <w:lang w:eastAsia="zh-CN"/>
        </w:rPr>
        <w:t>。</w:t>
      </w:r>
      <w:r>
        <w:rPr>
          <w:rFonts w:hint="eastAsia" w:ascii="仿宋_GB2312" w:hAnsi="仿宋" w:cs="Times New Roman"/>
          <w:color w:val="auto"/>
          <w:spacing w:val="0"/>
          <w:kern w:val="21"/>
          <w:sz w:val="32"/>
          <w:szCs w:val="32"/>
          <w:highlight w:val="none"/>
        </w:rPr>
        <w:t>主</w:t>
      </w:r>
      <w:r>
        <w:rPr>
          <w:rFonts w:hint="eastAsia" w:ascii="仿宋_GB2312" w:hAnsi="仿宋" w:cs="Times New Roman"/>
          <w:color w:val="auto"/>
          <w:spacing w:val="0"/>
          <w:kern w:val="21"/>
          <w:sz w:val="32"/>
          <w:szCs w:val="32"/>
        </w:rPr>
        <w:t>要用于</w:t>
      </w:r>
      <w:r>
        <w:rPr>
          <w:rFonts w:hint="eastAsia" w:ascii="仿宋_GB2312" w:hAnsi="仿宋" w:cs="Times New Roman"/>
          <w:color w:val="auto"/>
          <w:spacing w:val="0"/>
          <w:kern w:val="21"/>
          <w:sz w:val="32"/>
          <w:szCs w:val="32"/>
          <w:lang w:eastAsia="zh-CN"/>
        </w:rPr>
        <w:t>健康丰台建设，优化公共医疗卫生资源布局，支持丰台医院、中西医结合医院、丰台康复医院等扩大优质医疗资源供给。完善分级诊疗</w:t>
      </w:r>
      <w:r>
        <w:rPr>
          <w:rFonts w:hint="eastAsia" w:ascii="仿宋_GB2312" w:hAnsi="仿宋" w:cs="Times New Roman"/>
          <w:bCs/>
          <w:color w:val="auto"/>
          <w:spacing w:val="0"/>
          <w:kern w:val="21"/>
          <w:sz w:val="32"/>
          <w:szCs w:val="32"/>
        </w:rPr>
        <w:t>体系</w:t>
      </w:r>
      <w:r>
        <w:rPr>
          <w:rFonts w:hint="eastAsia" w:ascii="仿宋_GB2312" w:hAnsi="仿宋" w:cs="Times New Roman"/>
          <w:bCs/>
          <w:color w:val="auto"/>
          <w:spacing w:val="0"/>
          <w:kern w:val="21"/>
          <w:sz w:val="32"/>
          <w:szCs w:val="32"/>
          <w:lang w:eastAsia="zh-CN"/>
        </w:rPr>
        <w:t>，强化</w:t>
      </w:r>
      <w:r>
        <w:rPr>
          <w:rFonts w:hint="eastAsia" w:ascii="仿宋_GB2312" w:hAnsi="仿宋" w:cs="Times New Roman"/>
          <w:bCs/>
          <w:color w:val="auto"/>
          <w:spacing w:val="0"/>
          <w:kern w:val="21"/>
          <w:sz w:val="32"/>
          <w:szCs w:val="32"/>
        </w:rPr>
        <w:t>社区卫生服务</w:t>
      </w:r>
      <w:r>
        <w:rPr>
          <w:rFonts w:hint="eastAsia" w:ascii="仿宋_GB2312" w:hAnsi="仿宋" w:cs="Times New Roman"/>
          <w:bCs/>
          <w:color w:val="auto"/>
          <w:spacing w:val="0"/>
          <w:kern w:val="21"/>
          <w:sz w:val="32"/>
          <w:szCs w:val="32"/>
          <w:lang w:eastAsia="zh-CN"/>
        </w:rPr>
        <w:t>中心</w:t>
      </w:r>
      <w:r>
        <w:rPr>
          <w:rFonts w:hint="eastAsia" w:ascii="仿宋_GB2312" w:hAnsi="仿宋" w:cs="Times New Roman"/>
          <w:bCs/>
          <w:color w:val="auto"/>
          <w:spacing w:val="0"/>
          <w:kern w:val="21"/>
          <w:sz w:val="32"/>
          <w:szCs w:val="32"/>
        </w:rPr>
        <w:t>设施配备</w:t>
      </w:r>
      <w:r>
        <w:rPr>
          <w:rFonts w:hint="eastAsia" w:ascii="仿宋_GB2312" w:hAnsi="仿宋" w:cs="Times New Roman"/>
          <w:bCs/>
          <w:color w:val="auto"/>
          <w:spacing w:val="0"/>
          <w:kern w:val="21"/>
          <w:sz w:val="32"/>
          <w:szCs w:val="32"/>
          <w:lang w:eastAsia="zh-CN"/>
        </w:rPr>
        <w:t>，鼓励家庭医生签约服务，优化基层就医条件</w:t>
      </w:r>
      <w:r>
        <w:rPr>
          <w:rFonts w:hint="eastAsia" w:ascii="仿宋_GB2312" w:hAnsi="仿宋" w:cs="Times New Roman"/>
          <w:bCs/>
          <w:color w:val="auto"/>
          <w:spacing w:val="0"/>
          <w:kern w:val="21"/>
          <w:sz w:val="32"/>
          <w:szCs w:val="32"/>
        </w:rPr>
        <w:t>。</w:t>
      </w:r>
      <w:r>
        <w:rPr>
          <w:rFonts w:hint="eastAsia" w:ascii="仿宋_GB2312" w:hAnsi="仿宋" w:cs="Times New Roman"/>
          <w:color w:val="auto"/>
          <w:spacing w:val="0"/>
          <w:kern w:val="21"/>
          <w:sz w:val="32"/>
          <w:szCs w:val="32"/>
        </w:rPr>
        <w:t>支持开展</w:t>
      </w:r>
      <w:r>
        <w:rPr>
          <w:rFonts w:ascii="仿宋_GB2312" w:hAnsi="仿宋" w:cs="Times New Roman"/>
          <w:color w:val="auto"/>
          <w:spacing w:val="0"/>
          <w:kern w:val="21"/>
          <w:sz w:val="32"/>
          <w:szCs w:val="32"/>
        </w:rPr>
        <w:t>重点人群健康管理、预防接种服务等</w:t>
      </w:r>
      <w:r>
        <w:rPr>
          <w:rFonts w:hint="eastAsia" w:ascii="仿宋_GB2312" w:hAnsi="仿宋" w:cs="Times New Roman"/>
          <w:color w:val="auto"/>
          <w:spacing w:val="0"/>
          <w:kern w:val="21"/>
          <w:sz w:val="32"/>
          <w:szCs w:val="32"/>
        </w:rPr>
        <w:t>，提高基本公共卫生服务均等化水平。促进基层中医药传承创新发展</w:t>
      </w:r>
      <w:r>
        <w:rPr>
          <w:rFonts w:hint="eastAsia" w:ascii="仿宋_GB2312" w:hAnsi="仿宋" w:cs="Times New Roman"/>
          <w:color w:val="auto"/>
          <w:spacing w:val="0"/>
          <w:kern w:val="21"/>
          <w:sz w:val="32"/>
          <w:szCs w:val="32"/>
          <w:lang w:eastAsia="zh-CN"/>
        </w:rPr>
        <w:t>，加强中医优势专科建设。</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 w:eastAsia="仿宋_GB2312" w:cs="Times New Roman"/>
          <w:bCs/>
          <w:color w:val="auto"/>
          <w:spacing w:val="0"/>
          <w:kern w:val="21"/>
          <w:sz w:val="32"/>
          <w:szCs w:val="32"/>
          <w:lang w:eastAsia="zh-CN"/>
        </w:rPr>
      </w:pPr>
      <w:r>
        <w:rPr>
          <w:rFonts w:hint="eastAsia" w:ascii="仿宋_GB2312" w:hAnsi="仿宋_GB2312" w:cs="仿宋_GB2312"/>
          <w:b/>
          <w:bCs/>
          <w:color w:val="auto"/>
          <w:spacing w:val="0"/>
          <w:kern w:val="21"/>
          <w:sz w:val="32"/>
          <w:szCs w:val="32"/>
        </w:rPr>
        <w:t>节能环保</w:t>
      </w:r>
      <w:r>
        <w:rPr>
          <w:rFonts w:hint="eastAsia" w:ascii="仿宋_GB2312" w:hAnsi="仿宋_GB2312" w:cs="仿宋_GB2312"/>
          <w:b/>
          <w:bCs/>
          <w:color w:val="auto"/>
          <w:spacing w:val="0"/>
          <w:kern w:val="21"/>
          <w:sz w:val="32"/>
          <w:szCs w:val="32"/>
          <w:lang w:eastAsia="zh-CN"/>
        </w:rPr>
        <w:t>支出</w:t>
      </w:r>
      <w:r>
        <w:rPr>
          <w:rFonts w:hint="eastAsia" w:ascii="仿宋_GB2312" w:hAnsi="仿宋_GB2312" w:cs="仿宋_GB2312"/>
          <w:color w:val="auto"/>
          <w:spacing w:val="0"/>
          <w:kern w:val="21"/>
          <w:sz w:val="32"/>
          <w:szCs w:val="32"/>
        </w:rPr>
        <w:t>安排</w:t>
      </w:r>
      <w:r>
        <w:rPr>
          <w:rFonts w:hint="eastAsia" w:ascii="仿宋_GB2312" w:hAnsi="仿宋_GB2312" w:cs="仿宋_GB2312"/>
          <w:color w:val="auto"/>
          <w:spacing w:val="0"/>
          <w:kern w:val="21"/>
          <w:sz w:val="32"/>
          <w:szCs w:val="32"/>
          <w:lang w:val="en-US" w:eastAsia="zh-CN"/>
        </w:rPr>
        <w:t>0.8</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w:t>
      </w:r>
      <w:r>
        <w:rPr>
          <w:rFonts w:hint="eastAsia" w:ascii="仿宋_GB2312" w:hAnsi="仿宋" w:cs="Times New Roman"/>
          <w:bCs/>
          <w:color w:val="auto"/>
          <w:spacing w:val="0"/>
          <w:kern w:val="21"/>
          <w:sz w:val="32"/>
          <w:szCs w:val="32"/>
        </w:rPr>
        <w:t>主要用于支持</w:t>
      </w:r>
      <w:r>
        <w:rPr>
          <w:rFonts w:hint="eastAsia" w:ascii="仿宋_GB2312" w:hAnsi="仿宋" w:cs="Times New Roman"/>
          <w:bCs/>
          <w:color w:val="auto"/>
          <w:spacing w:val="0"/>
          <w:kern w:val="21"/>
          <w:sz w:val="32"/>
          <w:szCs w:val="32"/>
          <w:lang w:eastAsia="zh-CN"/>
        </w:rPr>
        <w:t>打好蓝天、碧水、净土保卫战</w:t>
      </w:r>
      <w:r>
        <w:rPr>
          <w:rFonts w:hint="eastAsia" w:ascii="仿宋_GB2312" w:hAnsi="仿宋" w:cs="Times New Roman"/>
          <w:bCs/>
          <w:color w:val="auto"/>
          <w:spacing w:val="0"/>
          <w:kern w:val="21"/>
          <w:sz w:val="32"/>
          <w:szCs w:val="32"/>
        </w:rPr>
        <w:t>，</w:t>
      </w:r>
      <w:r>
        <w:rPr>
          <w:rFonts w:hint="eastAsia" w:ascii="仿宋_GB2312" w:hAnsi="仿宋" w:cs="Times New Roman"/>
          <w:bCs/>
          <w:color w:val="auto"/>
          <w:spacing w:val="0"/>
          <w:kern w:val="21"/>
          <w:sz w:val="32"/>
          <w:szCs w:val="32"/>
          <w:lang w:eastAsia="zh-CN"/>
        </w:rPr>
        <w:t>促进生态环境质量持续改善。</w:t>
      </w:r>
      <w:r>
        <w:rPr>
          <w:rFonts w:hint="eastAsia" w:ascii="仿宋_GB2312" w:hAnsi="仿宋" w:cs="Times New Roman"/>
          <w:bCs/>
          <w:color w:val="auto"/>
          <w:spacing w:val="0"/>
          <w:kern w:val="21"/>
          <w:sz w:val="32"/>
          <w:szCs w:val="32"/>
        </w:rPr>
        <w:t>持续开展“一微克”行动，</w:t>
      </w:r>
      <w:r>
        <w:rPr>
          <w:rFonts w:hint="eastAsia" w:ascii="仿宋_GB2312" w:hAnsi="仿宋" w:cs="Times New Roman"/>
          <w:bCs/>
          <w:color w:val="auto"/>
          <w:spacing w:val="0"/>
          <w:kern w:val="21"/>
          <w:sz w:val="32"/>
          <w:szCs w:val="32"/>
          <w:lang w:eastAsia="zh-CN"/>
        </w:rPr>
        <w:t>支持低碳能源转型，持续开展大气环境精细化管理。统筹“三水”共治，加大永定河丰台段污染生态防治力度</w:t>
      </w:r>
      <w:r>
        <w:rPr>
          <w:rFonts w:hint="eastAsia" w:ascii="仿宋_GB2312" w:hAnsi="仿宋_GB2312" w:eastAsia="仿宋_GB2312" w:cs="仿宋_GB2312"/>
          <w:b w:val="0"/>
          <w:bCs w:val="0"/>
          <w:color w:val="auto"/>
          <w:spacing w:val="0"/>
          <w:kern w:val="21"/>
          <w:sz w:val="32"/>
          <w:szCs w:val="32"/>
          <w:highlight w:val="none"/>
          <w:lang w:val="en-US" w:eastAsia="zh-CN"/>
        </w:rPr>
        <w:t>，</w:t>
      </w:r>
      <w:r>
        <w:rPr>
          <w:rFonts w:hint="eastAsia" w:ascii="仿宋_GB2312" w:hAnsi="仿宋_GB2312" w:cs="仿宋_GB2312"/>
          <w:b w:val="0"/>
          <w:bCs w:val="0"/>
          <w:color w:val="auto"/>
          <w:spacing w:val="0"/>
          <w:kern w:val="21"/>
          <w:sz w:val="32"/>
          <w:szCs w:val="32"/>
          <w:highlight w:val="none"/>
          <w:lang w:val="en-US" w:eastAsia="zh-CN"/>
        </w:rPr>
        <w:t>实施马草河</w:t>
      </w:r>
      <w:r>
        <w:rPr>
          <w:rFonts w:hint="eastAsia" w:ascii="仿宋_GB2312" w:hAnsi="仿宋_GB2312" w:eastAsia="仿宋_GB2312" w:cs="仿宋_GB2312"/>
          <w:b w:val="0"/>
          <w:bCs w:val="0"/>
          <w:color w:val="auto"/>
          <w:spacing w:val="0"/>
          <w:kern w:val="21"/>
          <w:sz w:val="32"/>
          <w:szCs w:val="32"/>
          <w:highlight w:val="none"/>
          <w:lang w:val="en-US" w:eastAsia="zh-CN"/>
        </w:rPr>
        <w:t>美丽河湖治理</w:t>
      </w:r>
      <w:r>
        <w:rPr>
          <w:rFonts w:hint="eastAsia" w:ascii="仿宋_GB2312" w:hAnsi="仿宋_GB2312" w:cs="仿宋_GB2312"/>
          <w:b w:val="0"/>
          <w:bCs w:val="0"/>
          <w:color w:val="auto"/>
          <w:spacing w:val="0"/>
          <w:kern w:val="21"/>
          <w:sz w:val="32"/>
          <w:szCs w:val="32"/>
          <w:highlight w:val="none"/>
          <w:lang w:val="en-US" w:eastAsia="zh-CN"/>
        </w:rPr>
        <w:t>项目。持续做好</w:t>
      </w:r>
      <w:r>
        <w:rPr>
          <w:rFonts w:hint="eastAsia" w:ascii="仿宋_GB2312" w:hAnsi="仿宋_GB2312" w:eastAsia="仿宋_GB2312" w:cs="仿宋_GB2312"/>
          <w:b w:val="0"/>
          <w:bCs w:val="0"/>
          <w:color w:val="auto"/>
          <w:spacing w:val="0"/>
          <w:kern w:val="21"/>
          <w:sz w:val="32"/>
          <w:szCs w:val="32"/>
          <w:highlight w:val="none"/>
          <w:lang w:val="en-US" w:eastAsia="zh-CN"/>
        </w:rPr>
        <w:t>废弃矿山生态环境修复</w:t>
      </w:r>
      <w:r>
        <w:rPr>
          <w:rFonts w:hint="eastAsia" w:ascii="仿宋_GB2312" w:hAnsi="仿宋_GB2312" w:cs="仿宋_GB2312"/>
          <w:b w:val="0"/>
          <w:bCs w:val="0"/>
          <w:color w:val="auto"/>
          <w:spacing w:val="0"/>
          <w:kern w:val="21"/>
          <w:sz w:val="32"/>
          <w:szCs w:val="32"/>
          <w:highlight w:val="none"/>
          <w:lang w:val="en-US" w:eastAsia="zh-CN"/>
        </w:rPr>
        <w:t>，开展野生植物保护</w:t>
      </w:r>
      <w:r>
        <w:rPr>
          <w:rFonts w:hint="eastAsia" w:ascii="仿宋_GB2312" w:hAnsi="仿宋" w:cs="Times New Roman"/>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_GB2312" w:cs="Times New Roman"/>
          <w:color w:val="auto"/>
          <w:spacing w:val="0"/>
          <w:kern w:val="21"/>
          <w:sz w:val="32"/>
          <w:szCs w:val="32"/>
        </w:rPr>
      </w:pPr>
      <w:r>
        <w:rPr>
          <w:rFonts w:hint="eastAsia" w:ascii="仿宋_GB2312" w:hAnsi="仿宋" w:cs="Times New Roman"/>
          <w:b/>
          <w:bCs w:val="0"/>
          <w:color w:val="auto"/>
          <w:spacing w:val="0"/>
          <w:kern w:val="21"/>
          <w:sz w:val="32"/>
          <w:szCs w:val="32"/>
        </w:rPr>
        <w:t>城乡社区</w:t>
      </w:r>
      <w:r>
        <w:rPr>
          <w:rFonts w:hint="eastAsia" w:ascii="仿宋_GB2312" w:hAnsi="仿宋" w:cs="Times New Roman"/>
          <w:b/>
          <w:bCs w:val="0"/>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lang w:val="en-US" w:eastAsia="zh-CN"/>
        </w:rPr>
        <w:t>28.5</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主要用于打造宜居城市，开展环境综合治理行动，开展“两园一河”、中央芭蕾舞团等重点区域周边环境整治。提升交通治理能力，保障道路大修养护任务，做好交通疏堵和综合治理，打造安全、平整、畅通的城市道路路网体系。关注垃圾分类终端处理，保障环境卫生服务中心及循环园有序运营，确保城市垃圾无害化处理和资源化利用。</w:t>
      </w:r>
      <w:r>
        <w:rPr>
          <w:rFonts w:hint="eastAsia" w:ascii="仿宋_GB2312" w:hAnsi="仿宋" w:eastAsia="仿宋_GB2312"/>
          <w:color w:val="auto"/>
          <w:spacing w:val="0"/>
          <w:kern w:val="21"/>
          <w:sz w:val="32"/>
          <w:szCs w:val="32"/>
        </w:rPr>
        <w:t>足额落实供热补贴，持续提升城市“温暖度”。</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eastAsia" w:ascii="仿宋_GB2312" w:hAnsi="仿宋_GB2312" w:cs="仿宋_GB2312"/>
          <w:color w:val="auto"/>
          <w:spacing w:val="0"/>
          <w:kern w:val="21"/>
          <w:sz w:val="32"/>
          <w:szCs w:val="32"/>
        </w:rPr>
      </w:pPr>
      <w:r>
        <w:rPr>
          <w:rFonts w:hint="eastAsia" w:ascii="仿宋_GB2312" w:hAnsi="仿宋" w:cs="Times New Roman"/>
          <w:b/>
          <w:bCs w:val="0"/>
          <w:color w:val="auto"/>
          <w:spacing w:val="0"/>
          <w:kern w:val="21"/>
          <w:sz w:val="32"/>
          <w:szCs w:val="32"/>
        </w:rPr>
        <w:t>农林水</w:t>
      </w:r>
      <w:r>
        <w:rPr>
          <w:rFonts w:hint="eastAsia" w:ascii="仿宋_GB2312" w:hAnsi="仿宋" w:cs="Times New Roman"/>
          <w:b/>
          <w:bCs w:val="0"/>
          <w:color w:val="auto"/>
          <w:spacing w:val="0"/>
          <w:kern w:val="21"/>
          <w:sz w:val="32"/>
          <w:szCs w:val="32"/>
          <w:lang w:eastAsia="zh-CN"/>
        </w:rPr>
        <w:t>支出</w:t>
      </w:r>
      <w:r>
        <w:rPr>
          <w:rFonts w:hint="eastAsia" w:ascii="仿宋_GB2312" w:hAnsi="仿宋" w:cs="Times New Roman"/>
          <w:bCs/>
          <w:color w:val="auto"/>
          <w:spacing w:val="0"/>
          <w:kern w:val="21"/>
          <w:sz w:val="32"/>
          <w:szCs w:val="32"/>
        </w:rPr>
        <w:t>安排</w:t>
      </w:r>
      <w:r>
        <w:rPr>
          <w:rFonts w:hint="eastAsia" w:ascii="仿宋_GB2312" w:hAnsi="仿宋" w:cs="Times New Roman"/>
          <w:bCs/>
          <w:color w:val="auto"/>
          <w:spacing w:val="0"/>
          <w:kern w:val="21"/>
          <w:sz w:val="32"/>
          <w:szCs w:val="32"/>
          <w:lang w:val="en-US" w:eastAsia="zh-CN"/>
        </w:rPr>
        <w:t>7.6</w:t>
      </w:r>
      <w:r>
        <w:rPr>
          <w:rFonts w:hint="eastAsia" w:ascii="仿宋_GB2312" w:hAnsi="仿宋" w:cs="Times New Roman"/>
          <w:bCs/>
          <w:color w:val="auto"/>
          <w:spacing w:val="0"/>
          <w:kern w:val="21"/>
          <w:sz w:val="32"/>
          <w:szCs w:val="32"/>
        </w:rPr>
        <w:t>亿元</w:t>
      </w:r>
      <w:r>
        <w:rPr>
          <w:rFonts w:hint="eastAsia" w:ascii="仿宋_GB2312" w:hAnsi="仿宋" w:cs="Times New Roman"/>
          <w:bCs/>
          <w:color w:val="auto"/>
          <w:spacing w:val="0"/>
          <w:kern w:val="21"/>
          <w:sz w:val="32"/>
          <w:szCs w:val="32"/>
          <w:lang w:eastAsia="zh-CN"/>
        </w:rPr>
        <w:t>。主要用于实施乡村振兴战略，落实各项惠农政策，打造宜居宜业美丽乡村。深入推进水环境综合治理，统筹实施河道补水、污染控制、生态修复、景观提升，实现“活水畅流”。持续开展留白增绿、平原造林、小微绿地建设工程，提升城市生态空间品质。</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3" w:firstLineChars="200"/>
        <w:textAlignment w:val="auto"/>
        <w:rPr>
          <w:rFonts w:hint="default" w:ascii="仿宋_GB2312" w:hAnsi="仿宋_GB2312" w:eastAsia="仿宋_GB2312" w:cs="仿宋_GB2312"/>
          <w:bCs/>
          <w:color w:val="auto"/>
          <w:spacing w:val="0"/>
          <w:kern w:val="21"/>
          <w:sz w:val="32"/>
          <w:szCs w:val="32"/>
          <w:lang w:val="en-US" w:eastAsia="zh-CN"/>
        </w:rPr>
      </w:pPr>
      <w:r>
        <w:rPr>
          <w:rFonts w:hint="eastAsia" w:ascii="仿宋_GB2312" w:hAnsi="仿宋_GB2312" w:cs="仿宋_GB2312"/>
          <w:b/>
          <w:bCs w:val="0"/>
          <w:color w:val="auto"/>
          <w:spacing w:val="0"/>
          <w:kern w:val="21"/>
          <w:sz w:val="32"/>
          <w:szCs w:val="32"/>
        </w:rPr>
        <w:t>住房保障</w:t>
      </w:r>
      <w:r>
        <w:rPr>
          <w:rFonts w:hint="eastAsia" w:ascii="仿宋_GB2312" w:hAnsi="仿宋_GB2312" w:cs="仿宋_GB2312"/>
          <w:b/>
          <w:bCs w:val="0"/>
          <w:color w:val="auto"/>
          <w:spacing w:val="0"/>
          <w:kern w:val="21"/>
          <w:sz w:val="32"/>
          <w:szCs w:val="32"/>
          <w:lang w:eastAsia="zh-CN"/>
        </w:rPr>
        <w:t>支出</w:t>
      </w:r>
      <w:r>
        <w:rPr>
          <w:rFonts w:hint="eastAsia" w:ascii="仿宋_GB2312" w:hAnsi="仿宋_GB2312" w:cs="仿宋_GB2312"/>
          <w:bCs/>
          <w:color w:val="auto"/>
          <w:spacing w:val="0"/>
          <w:kern w:val="21"/>
          <w:sz w:val="32"/>
          <w:szCs w:val="32"/>
        </w:rPr>
        <w:t>安排</w:t>
      </w:r>
      <w:r>
        <w:rPr>
          <w:rFonts w:hint="eastAsia" w:ascii="仿宋_GB2312" w:hAnsi="仿宋_GB2312" w:cs="仿宋_GB2312"/>
          <w:bCs/>
          <w:color w:val="auto"/>
          <w:spacing w:val="0"/>
          <w:kern w:val="21"/>
          <w:sz w:val="32"/>
          <w:szCs w:val="32"/>
          <w:lang w:val="en-US" w:eastAsia="zh-CN"/>
        </w:rPr>
        <w:t>26.0</w:t>
      </w:r>
      <w:r>
        <w:rPr>
          <w:rFonts w:hint="eastAsia" w:ascii="仿宋_GB2312" w:hAnsi="仿宋_GB2312" w:cs="仿宋_GB2312"/>
          <w:bCs/>
          <w:color w:val="auto"/>
          <w:spacing w:val="0"/>
          <w:kern w:val="21"/>
          <w:sz w:val="32"/>
          <w:szCs w:val="32"/>
        </w:rPr>
        <w:t>亿元</w:t>
      </w:r>
      <w:r>
        <w:rPr>
          <w:rFonts w:hint="eastAsia" w:ascii="仿宋_GB2312" w:hAnsi="仿宋_GB2312" w:cs="仿宋_GB2312"/>
          <w:bCs/>
          <w:color w:val="auto"/>
          <w:spacing w:val="0"/>
          <w:kern w:val="21"/>
          <w:sz w:val="32"/>
          <w:szCs w:val="32"/>
          <w:lang w:eastAsia="zh-CN"/>
        </w:rPr>
        <w:t>。</w:t>
      </w:r>
      <w:r>
        <w:rPr>
          <w:rFonts w:hint="eastAsia" w:ascii="仿宋_GB2312" w:hAnsi="仿宋_GB2312" w:cs="仿宋_GB2312"/>
          <w:bCs/>
          <w:color w:val="auto"/>
          <w:spacing w:val="0"/>
          <w:kern w:val="21"/>
          <w:sz w:val="32"/>
          <w:szCs w:val="32"/>
        </w:rPr>
        <w:t>主要用于支持</w:t>
      </w:r>
      <w:r>
        <w:rPr>
          <w:rFonts w:hint="eastAsia" w:ascii="仿宋_GB2312" w:hAnsi="仿宋_GB2312" w:cs="仿宋_GB2312"/>
          <w:bCs/>
          <w:color w:val="auto"/>
          <w:spacing w:val="0"/>
          <w:kern w:val="21"/>
          <w:sz w:val="32"/>
          <w:szCs w:val="32"/>
          <w:lang w:eastAsia="zh-CN"/>
        </w:rPr>
        <w:t>政策性住房建设，落实保障性住房租金补贴，构建租购并举的住房保障体系。加快推进老旧小区改造，协调推进既有多层住宅加装电梯事项，改善居民住房条件。</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楷体_GB2312" w:hAnsi="楷体_GB2312" w:eastAsia="楷体_GB2312" w:cs="楷体_GB2312"/>
          <w:color w:val="auto"/>
          <w:spacing w:val="0"/>
          <w:kern w:val="21"/>
          <w:sz w:val="32"/>
          <w:szCs w:val="32"/>
          <w:highlight w:val="none"/>
        </w:rPr>
      </w:pPr>
      <w:r>
        <w:rPr>
          <w:rFonts w:hint="eastAsia" w:ascii="楷体_GB2312" w:hAnsi="楷体_GB2312" w:eastAsia="楷体_GB2312" w:cs="楷体_GB2312"/>
          <w:color w:val="auto"/>
          <w:spacing w:val="0"/>
          <w:kern w:val="21"/>
          <w:sz w:val="32"/>
          <w:szCs w:val="32"/>
          <w:highlight w:val="none"/>
        </w:rPr>
        <w:t>（四）政府性基金预算总体安排情况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仿宋_GB2312" w:hAnsi="仿宋" w:eastAsia="仿宋_GB2312" w:cs="Times New Roman"/>
          <w:bCs/>
          <w:color w:val="auto"/>
          <w:spacing w:val="0"/>
          <w:kern w:val="21"/>
          <w:sz w:val="32"/>
          <w:szCs w:val="32"/>
          <w:shd w:val="clear" w:color="auto" w:fill="auto"/>
          <w:lang w:eastAsia="zh-CN"/>
        </w:rPr>
      </w:pPr>
      <w:r>
        <w:rPr>
          <w:rFonts w:hint="eastAsia" w:ascii="仿宋_GB2312" w:hAnsi="仿宋" w:eastAsia="仿宋_GB2312" w:cs="Times New Roman"/>
          <w:bCs/>
          <w:color w:val="auto"/>
          <w:spacing w:val="0"/>
          <w:kern w:val="21"/>
          <w:sz w:val="32"/>
          <w:szCs w:val="32"/>
          <w:shd w:val="clear" w:color="auto" w:fill="auto"/>
        </w:rPr>
        <w:t>区级政府性基金预算收入预期</w:t>
      </w:r>
      <w:r>
        <w:rPr>
          <w:rFonts w:hint="eastAsia" w:ascii="仿宋_GB2312" w:hAnsi="仿宋" w:eastAsia="仿宋_GB2312" w:cs="Times New Roman"/>
          <w:bCs/>
          <w:color w:val="auto"/>
          <w:spacing w:val="0"/>
          <w:kern w:val="21"/>
          <w:sz w:val="32"/>
          <w:szCs w:val="32"/>
          <w:shd w:val="clear" w:color="auto" w:fill="auto"/>
          <w:lang w:val="en-US" w:eastAsia="zh-CN"/>
        </w:rPr>
        <w:t>325</w:t>
      </w:r>
      <w:r>
        <w:rPr>
          <w:rFonts w:hint="eastAsia" w:ascii="仿宋_GB2312" w:hAnsi="仿宋" w:cs="Times New Roman"/>
          <w:bCs/>
          <w:color w:val="auto"/>
          <w:spacing w:val="0"/>
          <w:kern w:val="21"/>
          <w:sz w:val="32"/>
          <w:szCs w:val="32"/>
          <w:shd w:val="clear" w:color="auto" w:fill="auto"/>
          <w:lang w:val="en-US" w:eastAsia="zh-CN"/>
        </w:rPr>
        <w:t>.0</w:t>
      </w:r>
      <w:r>
        <w:rPr>
          <w:rFonts w:hint="eastAsia" w:ascii="仿宋_GB2312" w:hAnsi="仿宋" w:eastAsia="仿宋_GB2312" w:cs="Times New Roman"/>
          <w:bCs/>
          <w:color w:val="auto"/>
          <w:spacing w:val="0"/>
          <w:kern w:val="21"/>
          <w:sz w:val="32"/>
          <w:szCs w:val="32"/>
          <w:shd w:val="clear" w:color="auto" w:fill="auto"/>
        </w:rPr>
        <w:t>亿元</w:t>
      </w:r>
      <w:r>
        <w:rPr>
          <w:rFonts w:hint="eastAsia" w:ascii="仿宋_GB2312" w:hAnsi="仿宋" w:eastAsia="仿宋_GB2312" w:cs="Times New Roman"/>
          <w:bCs/>
          <w:color w:val="auto"/>
          <w:spacing w:val="0"/>
          <w:kern w:val="21"/>
          <w:sz w:val="32"/>
          <w:szCs w:val="32"/>
          <w:shd w:val="clear" w:color="auto" w:fill="auto"/>
          <w:lang w:eastAsia="zh-CN"/>
        </w:rPr>
        <w:t>，增长</w:t>
      </w:r>
      <w:r>
        <w:rPr>
          <w:rFonts w:hint="eastAsia" w:ascii="仿宋_GB2312" w:hAnsi="仿宋" w:eastAsia="仿宋_GB2312" w:cs="Times New Roman"/>
          <w:bCs/>
          <w:color w:val="auto"/>
          <w:spacing w:val="0"/>
          <w:kern w:val="21"/>
          <w:sz w:val="32"/>
          <w:szCs w:val="32"/>
          <w:shd w:val="clear" w:color="auto" w:fill="auto"/>
          <w:lang w:val="en-US" w:eastAsia="zh-CN"/>
        </w:rPr>
        <w:t>4.6%，主要是加快土地上市进程，协调土地收入入库</w:t>
      </w:r>
      <w:r>
        <w:rPr>
          <w:rFonts w:hint="eastAsia" w:ascii="仿宋_GB2312" w:hAnsi="仿宋" w:eastAsia="仿宋_GB2312" w:cs="Times New Roman"/>
          <w:bCs/>
          <w:color w:val="auto"/>
          <w:spacing w:val="0"/>
          <w:kern w:val="21"/>
          <w:sz w:val="32"/>
          <w:szCs w:val="32"/>
          <w:shd w:val="clear" w:color="auto" w:fill="auto"/>
          <w:lang w:eastAsia="zh-CN"/>
        </w:rPr>
        <w:t>；加</w:t>
      </w:r>
      <w:r>
        <w:rPr>
          <w:rFonts w:hint="eastAsia" w:ascii="仿宋_GB2312" w:hAnsi="仿宋" w:cs="Times New Roman"/>
          <w:bCs/>
          <w:color w:val="auto"/>
          <w:spacing w:val="0"/>
          <w:kern w:val="21"/>
          <w:sz w:val="32"/>
          <w:szCs w:val="32"/>
          <w:shd w:val="clear" w:color="auto" w:fill="auto"/>
          <w:lang w:eastAsia="zh-CN"/>
        </w:rPr>
        <w:t>专项转移支付</w:t>
      </w:r>
      <w:r>
        <w:rPr>
          <w:rFonts w:hint="eastAsia" w:ascii="仿宋_GB2312" w:hAnsi="仿宋" w:eastAsia="仿宋_GB2312" w:cs="Times New Roman"/>
          <w:bCs/>
          <w:color w:val="auto"/>
          <w:spacing w:val="0"/>
          <w:kern w:val="21"/>
          <w:sz w:val="32"/>
          <w:szCs w:val="32"/>
          <w:shd w:val="clear" w:color="auto" w:fill="auto"/>
          <w:lang w:eastAsia="zh-CN"/>
        </w:rPr>
        <w:t>收入</w:t>
      </w:r>
      <w:r>
        <w:rPr>
          <w:rFonts w:hint="eastAsia" w:ascii="仿宋_GB2312" w:hAnsi="仿宋" w:cs="Times New Roman"/>
          <w:bCs/>
          <w:color w:val="auto"/>
          <w:spacing w:val="0"/>
          <w:kern w:val="21"/>
          <w:sz w:val="32"/>
          <w:szCs w:val="32"/>
          <w:shd w:val="clear" w:color="auto" w:fill="auto"/>
          <w:lang w:val="en-US" w:eastAsia="zh-CN"/>
        </w:rPr>
        <w:t>1.1</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cs="Times New Roman"/>
          <w:bCs/>
          <w:color w:val="auto"/>
          <w:spacing w:val="0"/>
          <w:kern w:val="21"/>
          <w:sz w:val="32"/>
          <w:szCs w:val="32"/>
          <w:shd w:val="clear" w:color="auto" w:fill="auto"/>
          <w:lang w:val="en-US" w:eastAsia="zh-CN"/>
        </w:rPr>
        <w:t>、再融资债券转贷收入324.8亿元、上年结余39.9亿元</w:t>
      </w:r>
      <w:r>
        <w:rPr>
          <w:rFonts w:hint="eastAsia" w:ascii="仿宋_GB2312" w:hAnsi="仿宋" w:eastAsia="仿宋_GB2312" w:cs="Times New Roman"/>
          <w:bCs/>
          <w:color w:val="auto"/>
          <w:spacing w:val="0"/>
          <w:kern w:val="21"/>
          <w:sz w:val="32"/>
          <w:szCs w:val="32"/>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rPr>
        <w:t>收入</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cs="Times New Roman"/>
          <w:bCs/>
          <w:color w:val="auto"/>
          <w:spacing w:val="0"/>
          <w:kern w:val="21"/>
          <w:sz w:val="32"/>
          <w:szCs w:val="32"/>
          <w:shd w:val="clear" w:color="auto" w:fill="auto"/>
          <w:lang w:val="en-US" w:eastAsia="zh-CN"/>
        </w:rPr>
        <w:t>690.8</w:t>
      </w:r>
      <w:r>
        <w:rPr>
          <w:rFonts w:hint="eastAsia" w:ascii="仿宋_GB2312" w:hAnsi="仿宋" w:eastAsia="仿宋_GB2312" w:cs="Times New Roman"/>
          <w:bCs/>
          <w:color w:val="auto"/>
          <w:spacing w:val="0"/>
          <w:kern w:val="21"/>
          <w:sz w:val="32"/>
          <w:szCs w:val="32"/>
          <w:shd w:val="clear" w:color="auto" w:fill="auto"/>
        </w:rPr>
        <w:t>亿元。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lang w:eastAsia="zh-CN"/>
        </w:rPr>
        <w:t>区级</w:t>
      </w:r>
      <w:r>
        <w:rPr>
          <w:rFonts w:hint="eastAsia" w:ascii="仿宋_GB2312" w:hAnsi="仿宋" w:eastAsia="仿宋_GB2312" w:cs="Times New Roman"/>
          <w:bCs/>
          <w:color w:val="auto"/>
          <w:spacing w:val="0"/>
          <w:kern w:val="21"/>
          <w:sz w:val="32"/>
          <w:szCs w:val="32"/>
          <w:shd w:val="clear" w:color="auto" w:fill="auto"/>
        </w:rPr>
        <w:t>政府性基金预算支出</w:t>
      </w:r>
      <w:r>
        <w:rPr>
          <w:rFonts w:hint="eastAsia" w:ascii="仿宋_GB2312" w:hAnsi="仿宋_GB2312" w:cs="Times New Roman"/>
          <w:color w:val="auto"/>
          <w:spacing w:val="0"/>
          <w:kern w:val="21"/>
          <w:sz w:val="32"/>
          <w:szCs w:val="32"/>
          <w:highlight w:val="none"/>
        </w:rPr>
        <w:t>预期</w:t>
      </w:r>
      <w:r>
        <w:rPr>
          <w:rFonts w:hint="eastAsia" w:ascii="仿宋_GB2312" w:hAnsi="仿宋" w:eastAsia="仿宋_GB2312" w:cs="Times New Roman"/>
          <w:bCs/>
          <w:color w:val="auto"/>
          <w:spacing w:val="0"/>
          <w:kern w:val="21"/>
          <w:sz w:val="32"/>
          <w:szCs w:val="32"/>
          <w:shd w:val="clear" w:color="auto" w:fill="auto"/>
          <w:lang w:val="en-US" w:eastAsia="zh-CN"/>
        </w:rPr>
        <w:t>2</w:t>
      </w:r>
      <w:r>
        <w:rPr>
          <w:rFonts w:hint="eastAsia" w:ascii="仿宋_GB2312" w:hAnsi="仿宋" w:cs="Times New Roman"/>
          <w:bCs/>
          <w:color w:val="auto"/>
          <w:spacing w:val="0"/>
          <w:kern w:val="21"/>
          <w:sz w:val="32"/>
          <w:szCs w:val="32"/>
          <w:shd w:val="clear" w:color="auto" w:fill="auto"/>
          <w:lang w:val="en-US" w:eastAsia="zh-CN"/>
        </w:rPr>
        <w:t>03.3</w:t>
      </w:r>
      <w:r>
        <w:rPr>
          <w:rFonts w:hint="eastAsia" w:ascii="仿宋_GB2312" w:hAnsi="仿宋" w:eastAsia="仿宋_GB2312" w:cs="Times New Roman"/>
          <w:bCs/>
          <w:color w:val="auto"/>
          <w:spacing w:val="0"/>
          <w:kern w:val="21"/>
          <w:sz w:val="32"/>
          <w:szCs w:val="32"/>
          <w:shd w:val="clear" w:color="auto" w:fill="auto"/>
        </w:rPr>
        <w:t>亿元，</w:t>
      </w:r>
      <w:r>
        <w:rPr>
          <w:rFonts w:hint="eastAsia" w:ascii="仿宋_GB2312" w:hAnsi="仿宋" w:eastAsia="仿宋_GB2312" w:cs="Times New Roman"/>
          <w:bCs/>
          <w:color w:val="auto"/>
          <w:spacing w:val="0"/>
          <w:kern w:val="21"/>
          <w:sz w:val="32"/>
          <w:szCs w:val="32"/>
          <w:shd w:val="clear" w:color="auto" w:fill="auto"/>
          <w:lang w:eastAsia="zh-CN"/>
        </w:rPr>
        <w:t>降低</w:t>
      </w:r>
      <w:r>
        <w:rPr>
          <w:rFonts w:hint="eastAsia" w:ascii="仿宋_GB2312" w:hAnsi="仿宋" w:cs="Times New Roman"/>
          <w:bCs/>
          <w:color w:val="auto"/>
          <w:spacing w:val="0"/>
          <w:kern w:val="21"/>
          <w:sz w:val="32"/>
          <w:szCs w:val="32"/>
          <w:shd w:val="clear" w:color="auto" w:fill="auto"/>
          <w:lang w:val="en-US" w:eastAsia="zh-CN"/>
        </w:rPr>
        <w:t>14.7</w:t>
      </w:r>
      <w:r>
        <w:rPr>
          <w:rFonts w:hint="eastAsia" w:ascii="仿宋_GB2312" w:hAnsi="仿宋" w:eastAsia="仿宋_GB2312" w:cs="Times New Roman"/>
          <w:bCs/>
          <w:color w:val="auto"/>
          <w:spacing w:val="0"/>
          <w:kern w:val="21"/>
          <w:sz w:val="32"/>
          <w:szCs w:val="32"/>
          <w:shd w:val="clear" w:color="auto" w:fill="auto"/>
          <w:lang w:val="en-US" w:eastAsia="zh-CN"/>
        </w:rPr>
        <w:t>%，</w:t>
      </w:r>
      <w:r>
        <w:rPr>
          <w:rFonts w:hint="eastAsia" w:ascii="仿宋_GB2312" w:hAnsi="仿宋" w:eastAsia="仿宋_GB2312" w:cs="Times New Roman"/>
          <w:bCs/>
          <w:color w:val="auto"/>
          <w:spacing w:val="0"/>
          <w:kern w:val="21"/>
          <w:sz w:val="32"/>
          <w:szCs w:val="32"/>
          <w:shd w:val="clear" w:color="auto" w:fill="auto"/>
          <w:lang w:eastAsia="zh-CN"/>
        </w:rPr>
        <w:t>主要是</w:t>
      </w:r>
      <w:r>
        <w:rPr>
          <w:rFonts w:hint="eastAsia" w:ascii="仿宋_GB2312" w:hAnsi="仿宋" w:cs="Times New Roman"/>
          <w:bCs/>
          <w:color w:val="auto"/>
          <w:spacing w:val="0"/>
          <w:kern w:val="21"/>
          <w:sz w:val="32"/>
          <w:szCs w:val="32"/>
          <w:shd w:val="clear" w:color="auto" w:fill="auto"/>
          <w:lang w:eastAsia="zh-CN"/>
        </w:rPr>
        <w:t>债务还本支出增加</w:t>
      </w:r>
      <w:r>
        <w:rPr>
          <w:rFonts w:hint="eastAsia" w:ascii="仿宋_GB2312" w:hAnsi="仿宋" w:eastAsia="仿宋_GB2312" w:cs="Times New Roman"/>
          <w:bCs/>
          <w:color w:val="auto"/>
          <w:spacing w:val="0"/>
          <w:kern w:val="21"/>
          <w:sz w:val="32"/>
          <w:szCs w:val="32"/>
          <w:shd w:val="clear" w:color="auto" w:fill="auto"/>
          <w:lang w:eastAsia="zh-CN"/>
        </w:rPr>
        <w:t>；加专项</w:t>
      </w:r>
      <w:r>
        <w:rPr>
          <w:rFonts w:hint="eastAsia" w:ascii="仿宋_GB2312" w:hAnsi="仿宋_GB2312" w:eastAsia="仿宋_GB2312" w:cs="仿宋_GB2312"/>
          <w:bCs/>
          <w:color w:val="auto"/>
          <w:spacing w:val="0"/>
          <w:kern w:val="21"/>
          <w:sz w:val="32"/>
          <w:szCs w:val="32"/>
          <w:lang w:eastAsia="zh-CN"/>
        </w:rPr>
        <w:t>转移支付支出</w:t>
      </w:r>
      <w:r>
        <w:rPr>
          <w:rFonts w:hint="eastAsia" w:ascii="仿宋_GB2312" w:hAnsi="仿宋" w:cs="Times New Roman"/>
          <w:bCs/>
          <w:color w:val="auto"/>
          <w:spacing w:val="0"/>
          <w:kern w:val="21"/>
          <w:sz w:val="32"/>
          <w:szCs w:val="32"/>
          <w:shd w:val="clear" w:color="auto" w:fill="auto"/>
          <w:lang w:val="en-US" w:eastAsia="zh-CN"/>
        </w:rPr>
        <w:t>15.7</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 w:eastAsia="仿宋_GB2312" w:cs="Times New Roman"/>
          <w:bCs/>
          <w:color w:val="auto"/>
          <w:spacing w:val="0"/>
          <w:kern w:val="21"/>
          <w:sz w:val="32"/>
          <w:szCs w:val="32"/>
          <w:shd w:val="clear" w:color="auto" w:fill="auto"/>
          <w:lang w:eastAsia="zh-CN"/>
        </w:rPr>
        <w:t>上解支出</w:t>
      </w:r>
      <w:r>
        <w:rPr>
          <w:rFonts w:hint="eastAsia" w:ascii="仿宋_GB2312" w:hAnsi="仿宋" w:eastAsia="仿宋_GB2312" w:cs="Times New Roman"/>
          <w:bCs/>
          <w:color w:val="auto"/>
          <w:spacing w:val="0"/>
          <w:kern w:val="21"/>
          <w:sz w:val="32"/>
          <w:szCs w:val="32"/>
          <w:shd w:val="clear" w:color="auto" w:fill="auto"/>
          <w:lang w:val="en-US" w:eastAsia="zh-CN"/>
        </w:rPr>
        <w:t>4.</w:t>
      </w:r>
      <w:r>
        <w:rPr>
          <w:rFonts w:hint="eastAsia" w:ascii="仿宋_GB2312" w:hAnsi="仿宋" w:cs="Times New Roman"/>
          <w:bCs/>
          <w:color w:val="auto"/>
          <w:spacing w:val="0"/>
          <w:kern w:val="21"/>
          <w:sz w:val="32"/>
          <w:szCs w:val="32"/>
          <w:shd w:val="clear" w:color="auto" w:fill="auto"/>
          <w:lang w:val="en-US" w:eastAsia="zh-CN"/>
        </w:rPr>
        <w:t>2</w:t>
      </w:r>
      <w:r>
        <w:rPr>
          <w:rFonts w:hint="eastAsia" w:ascii="仿宋_GB2312" w:hAnsi="仿宋" w:eastAsia="仿宋_GB2312" w:cs="Times New Roman"/>
          <w:bCs/>
          <w:color w:val="auto"/>
          <w:spacing w:val="0"/>
          <w:kern w:val="21"/>
          <w:sz w:val="32"/>
          <w:szCs w:val="32"/>
          <w:shd w:val="clear" w:color="auto" w:fill="auto"/>
          <w:lang w:val="en-US" w:eastAsia="zh-CN"/>
        </w:rPr>
        <w:t>亿元</w:t>
      </w:r>
      <w:r>
        <w:rPr>
          <w:rFonts w:hint="eastAsia" w:ascii="仿宋_GB2312" w:hAnsi="仿宋_GB2312" w:eastAsia="仿宋_GB2312" w:cs="仿宋_GB2312"/>
          <w:bCs/>
          <w:color w:val="auto"/>
          <w:spacing w:val="0"/>
          <w:kern w:val="21"/>
          <w:sz w:val="32"/>
          <w:szCs w:val="32"/>
          <w:lang w:eastAsia="zh-CN"/>
        </w:rPr>
        <w:t>、地方</w:t>
      </w:r>
      <w:r>
        <w:rPr>
          <w:rFonts w:hint="eastAsia" w:ascii="仿宋_GB2312" w:hAnsi="仿宋" w:eastAsia="仿宋_GB2312" w:cs="Times New Roman"/>
          <w:bCs/>
          <w:color w:val="auto"/>
          <w:spacing w:val="0"/>
          <w:kern w:val="21"/>
          <w:sz w:val="32"/>
          <w:szCs w:val="32"/>
          <w:shd w:val="clear" w:color="auto" w:fill="auto"/>
          <w:lang w:eastAsia="zh-CN"/>
        </w:rPr>
        <w:t>政府专项债务还本支出</w:t>
      </w:r>
      <w:r>
        <w:rPr>
          <w:rFonts w:hint="eastAsia" w:ascii="仿宋_GB2312" w:hAnsi="仿宋" w:cs="Times New Roman"/>
          <w:bCs/>
          <w:color w:val="auto"/>
          <w:spacing w:val="0"/>
          <w:kern w:val="21"/>
          <w:sz w:val="32"/>
          <w:szCs w:val="32"/>
          <w:shd w:val="clear" w:color="auto" w:fill="auto"/>
          <w:lang w:val="en-US" w:eastAsia="zh-CN"/>
        </w:rPr>
        <w:t>467.6</w:t>
      </w:r>
      <w:r>
        <w:rPr>
          <w:rFonts w:hint="eastAsia" w:ascii="仿宋_GB2312" w:hAnsi="仿宋" w:eastAsia="仿宋_GB2312" w:cs="Times New Roman"/>
          <w:bCs/>
          <w:color w:val="auto"/>
          <w:spacing w:val="0"/>
          <w:kern w:val="21"/>
          <w:sz w:val="32"/>
          <w:szCs w:val="32"/>
          <w:shd w:val="clear" w:color="auto" w:fill="auto"/>
          <w:lang w:eastAsia="zh-CN"/>
        </w:rPr>
        <w:t>亿元，支出总计</w:t>
      </w:r>
      <w:r>
        <w:rPr>
          <w:rFonts w:hint="eastAsia" w:ascii="仿宋_GB2312" w:hAnsi="仿宋" w:cs="Times New Roman"/>
          <w:bCs/>
          <w:color w:val="auto"/>
          <w:spacing w:val="0"/>
          <w:kern w:val="21"/>
          <w:sz w:val="32"/>
          <w:szCs w:val="32"/>
          <w:shd w:val="clear" w:color="auto" w:fill="auto"/>
          <w:lang w:val="en-US" w:eastAsia="zh-CN"/>
        </w:rPr>
        <w:t>690.8</w:t>
      </w:r>
      <w:r>
        <w:rPr>
          <w:rFonts w:hint="eastAsia" w:ascii="仿宋_GB2312" w:hAnsi="仿宋" w:eastAsia="仿宋_GB2312" w:cs="Times New Roman"/>
          <w:bCs/>
          <w:color w:val="auto"/>
          <w:spacing w:val="0"/>
          <w:kern w:val="21"/>
          <w:sz w:val="32"/>
          <w:szCs w:val="32"/>
          <w:shd w:val="clear" w:color="auto" w:fill="auto"/>
          <w:lang w:eastAsia="zh-CN"/>
        </w:rPr>
        <w:t>亿元，政府性基</w:t>
      </w:r>
      <w:r>
        <w:rPr>
          <w:rFonts w:hint="eastAsia" w:ascii="仿宋_GB2312" w:hAnsi="仿宋" w:eastAsia="仿宋_GB2312" w:cs="Times New Roman"/>
          <w:bCs/>
          <w:color w:val="auto"/>
          <w:spacing w:val="0"/>
          <w:kern w:val="21"/>
          <w:sz w:val="32"/>
          <w:szCs w:val="32"/>
          <w:shd w:val="clear" w:color="auto" w:fill="auto"/>
        </w:rPr>
        <w:t>金预算收支平衡。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shd w:val="clear" w:color="auto" w:fill="auto"/>
        </w:rPr>
        <w:t>按照“以收定支、专款专用”的原则，区级政府性基金预算支出主要用于实施土地开发、城市建设、棚户区改造等项目。</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楷体_GB2312" w:hAnsi="楷体_GB2312" w:eastAsia="楷体_GB2312" w:cs="楷体_GB2312"/>
          <w:color w:val="auto"/>
          <w:spacing w:val="0"/>
          <w:kern w:val="21"/>
          <w:sz w:val="32"/>
          <w:szCs w:val="32"/>
        </w:rPr>
      </w:pPr>
      <w:r>
        <w:rPr>
          <w:rFonts w:hint="eastAsia" w:ascii="楷体_GB2312" w:hAnsi="楷体_GB2312" w:eastAsia="楷体_GB2312" w:cs="楷体_GB2312"/>
          <w:bCs/>
          <w:color w:val="auto"/>
          <w:spacing w:val="0"/>
          <w:kern w:val="21"/>
          <w:sz w:val="32"/>
          <w:szCs w:val="32"/>
        </w:rPr>
        <w:t>（五）</w:t>
      </w:r>
      <w:r>
        <w:rPr>
          <w:rFonts w:hint="eastAsia" w:ascii="楷体_GB2312" w:hAnsi="楷体_GB2312" w:eastAsia="楷体_GB2312" w:cs="楷体_GB2312"/>
          <w:color w:val="auto"/>
          <w:spacing w:val="0"/>
          <w:kern w:val="21"/>
          <w:sz w:val="32"/>
          <w:szCs w:val="32"/>
        </w:rPr>
        <w:t>国有资本经营预算总体安排情况</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rPr>
      </w:pPr>
      <w:r>
        <w:rPr>
          <w:rFonts w:hint="eastAsia" w:ascii="仿宋_GB2312" w:hAnsi="仿宋" w:eastAsia="仿宋_GB2312" w:cs="Times New Roman"/>
          <w:bCs/>
          <w:color w:val="auto"/>
          <w:spacing w:val="0"/>
          <w:kern w:val="21"/>
          <w:sz w:val="32"/>
          <w:szCs w:val="32"/>
        </w:rPr>
        <w:t>区级国有资本经营预算收入预期</w:t>
      </w:r>
      <w:r>
        <w:rPr>
          <w:rFonts w:hint="eastAsia" w:ascii="仿宋_GB2312" w:hAnsi="仿宋" w:eastAsia="仿宋_GB2312" w:cs="Times New Roman"/>
          <w:bCs/>
          <w:color w:val="auto"/>
          <w:spacing w:val="0"/>
          <w:kern w:val="21"/>
          <w:sz w:val="32"/>
          <w:szCs w:val="32"/>
          <w:lang w:val="en-US" w:eastAsia="zh-CN"/>
        </w:rPr>
        <w:t>3425</w:t>
      </w:r>
      <w:r>
        <w:rPr>
          <w:rFonts w:hint="eastAsia" w:ascii="仿宋_GB2312" w:hAnsi="仿宋" w:eastAsia="仿宋_GB2312" w:cs="Times New Roman"/>
          <w:bCs/>
          <w:color w:val="auto"/>
          <w:spacing w:val="0"/>
          <w:kern w:val="21"/>
          <w:sz w:val="32"/>
          <w:szCs w:val="32"/>
        </w:rPr>
        <w:t>万元</w:t>
      </w:r>
      <w:r>
        <w:rPr>
          <w:rFonts w:hint="eastAsia" w:ascii="仿宋_GB2312" w:hAnsi="仿宋" w:eastAsia="仿宋_GB2312" w:cs="Times New Roman"/>
          <w:bCs/>
          <w:color w:val="auto"/>
          <w:spacing w:val="0"/>
          <w:kern w:val="21"/>
          <w:sz w:val="32"/>
          <w:szCs w:val="32"/>
          <w:lang w:eastAsia="zh-CN"/>
        </w:rPr>
        <w:t>，增长</w:t>
      </w:r>
      <w:r>
        <w:rPr>
          <w:rFonts w:hint="eastAsia" w:ascii="仿宋_GB2312" w:hAnsi="仿宋" w:eastAsia="仿宋_GB2312" w:cs="Times New Roman"/>
          <w:bCs/>
          <w:color w:val="auto"/>
          <w:spacing w:val="0"/>
          <w:kern w:val="21"/>
          <w:sz w:val="32"/>
          <w:szCs w:val="32"/>
          <w:lang w:val="en-US" w:eastAsia="zh-CN"/>
        </w:rPr>
        <w:t>98%，主要是国企经营状况好转，利润上缴恢复性增长</w:t>
      </w:r>
      <w:r>
        <w:rPr>
          <w:rFonts w:hint="eastAsia" w:ascii="仿宋_GB2312" w:hAnsi="仿宋" w:eastAsia="仿宋_GB2312" w:cs="Times New Roman"/>
          <w:bCs/>
          <w:color w:val="auto"/>
          <w:spacing w:val="0"/>
          <w:kern w:val="21"/>
          <w:sz w:val="32"/>
          <w:szCs w:val="32"/>
        </w:rPr>
        <w:t>；加</w:t>
      </w:r>
      <w:r>
        <w:rPr>
          <w:rFonts w:hint="eastAsia" w:ascii="仿宋_GB2312" w:hAnsi="仿宋" w:eastAsia="仿宋_GB2312" w:cs="Times New Roman"/>
          <w:bCs/>
          <w:color w:val="auto"/>
          <w:spacing w:val="0"/>
          <w:kern w:val="21"/>
          <w:sz w:val="32"/>
          <w:szCs w:val="32"/>
          <w:shd w:val="clear" w:color="auto" w:fill="auto"/>
          <w:lang w:eastAsia="zh-CN"/>
        </w:rPr>
        <w:t>专项转移支付收入</w:t>
      </w:r>
      <w:r>
        <w:rPr>
          <w:rFonts w:hint="eastAsia" w:ascii="仿宋_GB2312" w:hAnsi="仿宋" w:eastAsia="仿宋_GB2312" w:cs="Times New Roman"/>
          <w:bCs/>
          <w:color w:val="auto"/>
          <w:spacing w:val="0"/>
          <w:kern w:val="21"/>
          <w:sz w:val="32"/>
          <w:szCs w:val="32"/>
          <w:shd w:val="clear" w:color="auto" w:fill="auto"/>
          <w:lang w:val="en-US" w:eastAsia="zh-CN"/>
        </w:rPr>
        <w:t>1654万元</w:t>
      </w:r>
      <w:r>
        <w:rPr>
          <w:rFonts w:hint="eastAsia" w:ascii="仿宋_GB2312" w:hAnsi="仿宋" w:eastAsia="仿宋_GB2312" w:cs="Times New Roman"/>
          <w:bCs/>
          <w:color w:val="auto"/>
          <w:spacing w:val="0"/>
          <w:kern w:val="21"/>
          <w:sz w:val="32"/>
          <w:szCs w:val="32"/>
          <w:shd w:val="clear" w:color="auto" w:fill="auto"/>
          <w:lang w:eastAsia="zh-CN"/>
        </w:rPr>
        <w:t>、</w:t>
      </w:r>
      <w:r>
        <w:rPr>
          <w:rFonts w:hint="eastAsia" w:ascii="仿宋_GB2312" w:hAnsi="仿宋" w:eastAsia="仿宋_GB2312" w:cs="Times New Roman"/>
          <w:bCs/>
          <w:color w:val="auto"/>
          <w:spacing w:val="0"/>
          <w:kern w:val="21"/>
          <w:sz w:val="32"/>
          <w:szCs w:val="32"/>
          <w:shd w:val="clear" w:color="auto" w:fill="auto"/>
        </w:rPr>
        <w:t>上年结余</w:t>
      </w:r>
      <w:r>
        <w:rPr>
          <w:rFonts w:hint="eastAsia" w:ascii="仿宋_GB2312" w:hAnsi="仿宋" w:cs="Times New Roman"/>
          <w:bCs/>
          <w:color w:val="auto"/>
          <w:spacing w:val="0"/>
          <w:kern w:val="21"/>
          <w:sz w:val="32"/>
          <w:szCs w:val="32"/>
          <w:shd w:val="clear" w:color="auto" w:fill="auto"/>
          <w:lang w:val="en-US" w:eastAsia="zh-CN"/>
        </w:rPr>
        <w:t>597</w:t>
      </w:r>
      <w:r>
        <w:rPr>
          <w:rFonts w:hint="eastAsia" w:ascii="仿宋_GB2312" w:hAnsi="仿宋" w:eastAsia="仿宋_GB2312" w:cs="Times New Roman"/>
          <w:bCs/>
          <w:color w:val="auto"/>
          <w:spacing w:val="0"/>
          <w:kern w:val="21"/>
          <w:sz w:val="32"/>
          <w:szCs w:val="32"/>
          <w:shd w:val="clear" w:color="auto" w:fill="auto"/>
          <w:lang w:val="en-US" w:eastAsia="zh-CN"/>
        </w:rPr>
        <w:t>万元</w:t>
      </w:r>
      <w:r>
        <w:rPr>
          <w:rFonts w:hint="eastAsia" w:ascii="仿宋_GB2312" w:hAnsi="仿宋" w:eastAsia="仿宋_GB2312" w:cs="Times New Roman"/>
          <w:bCs/>
          <w:color w:val="auto"/>
          <w:spacing w:val="0"/>
          <w:kern w:val="21"/>
          <w:sz w:val="32"/>
          <w:szCs w:val="32"/>
          <w:shd w:val="clear" w:color="auto" w:fill="auto"/>
        </w:rPr>
        <w:t>，收入</w:t>
      </w:r>
      <w:r>
        <w:rPr>
          <w:rFonts w:hint="eastAsia" w:ascii="仿宋_GB2312" w:hAnsi="仿宋" w:eastAsia="仿宋_GB2312" w:cs="Times New Roman"/>
          <w:bCs/>
          <w:color w:val="auto"/>
          <w:spacing w:val="0"/>
          <w:kern w:val="21"/>
          <w:sz w:val="32"/>
          <w:szCs w:val="32"/>
          <w:shd w:val="clear" w:color="auto" w:fill="auto"/>
          <w:lang w:eastAsia="zh-CN"/>
        </w:rPr>
        <w:t>总计</w:t>
      </w:r>
      <w:r>
        <w:rPr>
          <w:rFonts w:hint="eastAsia" w:ascii="仿宋_GB2312" w:hAnsi="仿宋" w:cs="Times New Roman"/>
          <w:bCs/>
          <w:color w:val="auto"/>
          <w:spacing w:val="0"/>
          <w:kern w:val="21"/>
          <w:sz w:val="32"/>
          <w:szCs w:val="32"/>
          <w:shd w:val="clear" w:color="auto" w:fill="auto"/>
          <w:lang w:val="en-US" w:eastAsia="zh-CN"/>
        </w:rPr>
        <w:t>5676</w:t>
      </w:r>
      <w:r>
        <w:rPr>
          <w:rFonts w:hint="eastAsia" w:ascii="仿宋_GB2312" w:hAnsi="仿宋" w:eastAsia="仿宋_GB2312" w:cs="Times New Roman"/>
          <w:bCs/>
          <w:color w:val="auto"/>
          <w:spacing w:val="0"/>
          <w:kern w:val="21"/>
          <w:sz w:val="32"/>
          <w:szCs w:val="32"/>
          <w:shd w:val="clear" w:color="auto" w:fill="auto"/>
        </w:rPr>
        <w:t>万元。</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eastAsia="仿宋_GB2312" w:cs="Times New Roman"/>
          <w:bCs/>
          <w:color w:val="auto"/>
          <w:spacing w:val="0"/>
          <w:kern w:val="21"/>
          <w:sz w:val="32"/>
          <w:szCs w:val="32"/>
          <w:shd w:val="clear" w:color="auto" w:fill="auto"/>
          <w:lang w:eastAsia="zh-CN"/>
        </w:rPr>
      </w:pPr>
      <w:r>
        <w:rPr>
          <w:rFonts w:hint="eastAsia" w:ascii="仿宋_GB2312" w:hAnsi="仿宋" w:eastAsia="仿宋_GB2312" w:cs="Times New Roman"/>
          <w:bCs/>
          <w:color w:val="auto"/>
          <w:spacing w:val="0"/>
          <w:kern w:val="21"/>
          <w:sz w:val="32"/>
          <w:szCs w:val="32"/>
          <w:shd w:val="clear" w:color="auto" w:fill="auto"/>
          <w:lang w:eastAsia="zh-CN"/>
        </w:rPr>
        <w:t>区级</w:t>
      </w:r>
      <w:r>
        <w:rPr>
          <w:rFonts w:hint="eastAsia" w:ascii="仿宋_GB2312" w:hAnsi="仿宋" w:eastAsia="仿宋_GB2312" w:cs="Times New Roman"/>
          <w:bCs/>
          <w:color w:val="auto"/>
          <w:spacing w:val="0"/>
          <w:kern w:val="21"/>
          <w:sz w:val="32"/>
          <w:szCs w:val="32"/>
          <w:shd w:val="clear" w:color="auto" w:fill="auto"/>
        </w:rPr>
        <w:t>国有资本经营预算</w:t>
      </w:r>
      <w:r>
        <w:rPr>
          <w:rFonts w:hint="eastAsia" w:ascii="仿宋_GB2312" w:hAnsi="仿宋" w:eastAsia="仿宋_GB2312" w:cs="Times New Roman"/>
          <w:bCs/>
          <w:color w:val="auto"/>
          <w:spacing w:val="0"/>
          <w:kern w:val="21"/>
          <w:sz w:val="32"/>
          <w:szCs w:val="32"/>
          <w:shd w:val="clear" w:color="auto" w:fill="auto"/>
          <w:lang w:eastAsia="zh-CN"/>
        </w:rPr>
        <w:t>支出</w:t>
      </w:r>
      <w:r>
        <w:rPr>
          <w:rFonts w:hint="eastAsia" w:ascii="仿宋_GB2312" w:hAnsi="仿宋_GB2312" w:cs="Times New Roman"/>
          <w:color w:val="auto"/>
          <w:spacing w:val="0"/>
          <w:kern w:val="21"/>
          <w:sz w:val="32"/>
          <w:szCs w:val="32"/>
          <w:highlight w:val="none"/>
        </w:rPr>
        <w:t>预期</w:t>
      </w:r>
      <w:r>
        <w:rPr>
          <w:rFonts w:hint="eastAsia" w:ascii="仿宋_GB2312" w:hAnsi="仿宋" w:eastAsia="仿宋_GB2312" w:cs="Times New Roman"/>
          <w:bCs/>
          <w:color w:val="auto"/>
          <w:spacing w:val="0"/>
          <w:kern w:val="21"/>
          <w:sz w:val="32"/>
          <w:szCs w:val="32"/>
          <w:shd w:val="clear" w:color="auto" w:fill="auto"/>
          <w:lang w:val="en-US" w:eastAsia="zh-CN"/>
        </w:rPr>
        <w:t>2650万元，增长56.4%</w:t>
      </w:r>
      <w:r>
        <w:rPr>
          <w:rFonts w:hint="eastAsia" w:ascii="仿宋_GB2312" w:hAnsi="仿宋" w:eastAsia="仿宋_GB2312" w:cs="Times New Roman"/>
          <w:bCs/>
          <w:color w:val="auto"/>
          <w:spacing w:val="0"/>
          <w:kern w:val="21"/>
          <w:sz w:val="32"/>
          <w:szCs w:val="32"/>
          <w:shd w:val="clear" w:color="auto" w:fill="auto"/>
        </w:rPr>
        <w:t>；</w:t>
      </w:r>
      <w:r>
        <w:rPr>
          <w:rFonts w:hint="eastAsia" w:ascii="仿宋_GB2312" w:hAnsi="仿宋" w:eastAsia="仿宋_GB2312" w:cs="Times New Roman"/>
          <w:bCs/>
          <w:color w:val="auto"/>
          <w:spacing w:val="0"/>
          <w:kern w:val="21"/>
          <w:sz w:val="32"/>
          <w:szCs w:val="32"/>
          <w:shd w:val="clear" w:color="auto" w:fill="auto"/>
          <w:lang w:eastAsia="zh-CN"/>
        </w:rPr>
        <w:t>加专项转移支出</w:t>
      </w:r>
      <w:r>
        <w:rPr>
          <w:rFonts w:hint="eastAsia" w:ascii="仿宋_GB2312" w:hAnsi="仿宋" w:cs="Times New Roman"/>
          <w:bCs/>
          <w:color w:val="auto"/>
          <w:spacing w:val="0"/>
          <w:kern w:val="21"/>
          <w:sz w:val="32"/>
          <w:szCs w:val="32"/>
          <w:shd w:val="clear" w:color="auto" w:fill="auto"/>
          <w:lang w:val="en-US" w:eastAsia="zh-CN"/>
        </w:rPr>
        <w:t>1890</w:t>
      </w:r>
      <w:r>
        <w:rPr>
          <w:rFonts w:hint="eastAsia" w:ascii="仿宋_GB2312" w:hAnsi="仿宋" w:eastAsia="仿宋_GB2312" w:cs="Times New Roman"/>
          <w:bCs/>
          <w:color w:val="auto"/>
          <w:spacing w:val="0"/>
          <w:kern w:val="21"/>
          <w:sz w:val="32"/>
          <w:szCs w:val="32"/>
          <w:shd w:val="clear" w:color="auto" w:fill="auto"/>
          <w:lang w:val="en-US" w:eastAsia="zh-CN"/>
        </w:rPr>
        <w:t>万元</w:t>
      </w:r>
      <w:r>
        <w:rPr>
          <w:rFonts w:hint="eastAsia" w:ascii="仿宋_GB2312" w:hAnsi="仿宋" w:eastAsia="仿宋_GB2312" w:cs="Times New Roman"/>
          <w:bCs/>
          <w:color w:val="auto"/>
          <w:spacing w:val="0"/>
          <w:kern w:val="21"/>
          <w:sz w:val="32"/>
          <w:szCs w:val="32"/>
          <w:shd w:val="clear" w:color="auto" w:fill="auto"/>
          <w:lang w:eastAsia="zh-CN"/>
        </w:rPr>
        <w:t>、向一般公共预算调出资金</w:t>
      </w:r>
      <w:r>
        <w:rPr>
          <w:rFonts w:hint="eastAsia" w:ascii="仿宋_GB2312" w:hAnsi="仿宋" w:eastAsia="仿宋_GB2312" w:cs="Times New Roman"/>
          <w:bCs/>
          <w:color w:val="auto"/>
          <w:spacing w:val="0"/>
          <w:kern w:val="21"/>
          <w:sz w:val="32"/>
          <w:szCs w:val="32"/>
          <w:shd w:val="clear" w:color="auto" w:fill="auto"/>
          <w:lang w:val="en-US" w:eastAsia="zh-CN"/>
        </w:rPr>
        <w:t>1136</w:t>
      </w:r>
      <w:r>
        <w:rPr>
          <w:rFonts w:hint="eastAsia" w:ascii="仿宋_GB2312" w:hAnsi="仿宋" w:eastAsia="仿宋_GB2312" w:cs="Times New Roman"/>
          <w:bCs/>
          <w:color w:val="auto"/>
          <w:spacing w:val="0"/>
          <w:kern w:val="21"/>
          <w:sz w:val="32"/>
          <w:szCs w:val="32"/>
          <w:shd w:val="clear" w:color="auto" w:fill="auto"/>
          <w:lang w:eastAsia="zh-CN"/>
        </w:rPr>
        <w:t>万元，支出总计</w:t>
      </w:r>
      <w:r>
        <w:rPr>
          <w:rFonts w:hint="eastAsia" w:ascii="仿宋_GB2312" w:hAnsi="仿宋" w:cs="Times New Roman"/>
          <w:bCs/>
          <w:color w:val="auto"/>
          <w:spacing w:val="0"/>
          <w:kern w:val="21"/>
          <w:sz w:val="32"/>
          <w:szCs w:val="32"/>
          <w:shd w:val="clear" w:color="auto" w:fill="auto"/>
          <w:lang w:val="en-US" w:eastAsia="zh-CN"/>
        </w:rPr>
        <w:t>5676</w:t>
      </w:r>
      <w:r>
        <w:rPr>
          <w:rFonts w:hint="eastAsia" w:ascii="仿宋_GB2312" w:hAnsi="仿宋" w:eastAsia="仿宋_GB2312" w:cs="Times New Roman"/>
          <w:bCs/>
          <w:color w:val="auto"/>
          <w:spacing w:val="0"/>
          <w:kern w:val="21"/>
          <w:sz w:val="32"/>
          <w:szCs w:val="32"/>
          <w:shd w:val="clear" w:color="auto" w:fill="auto"/>
          <w:lang w:eastAsia="zh-CN"/>
        </w:rPr>
        <w:t>万元。国有资本经营预算收支平衡。</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color w:val="auto"/>
          <w:spacing w:val="0"/>
          <w:kern w:val="21"/>
          <w:lang w:eastAsia="zh-CN"/>
        </w:rPr>
      </w:pPr>
      <w:r>
        <w:rPr>
          <w:rFonts w:hint="eastAsia"/>
          <w:color w:val="auto"/>
          <w:spacing w:val="0"/>
          <w:kern w:val="21"/>
        </w:rPr>
        <w:t>区级国有资本经营预算支出主要用于区属国企注资和</w:t>
      </w:r>
      <w:r>
        <w:rPr>
          <w:rFonts w:hint="eastAsia"/>
          <w:color w:val="auto"/>
          <w:spacing w:val="0"/>
          <w:kern w:val="21"/>
          <w:lang w:eastAsia="zh-CN"/>
        </w:rPr>
        <w:t>优化国有资产布局。</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黑体" w:hAnsi="黑体" w:eastAsia="黑体" w:cs="黑体"/>
          <w:color w:val="auto"/>
          <w:spacing w:val="0"/>
          <w:kern w:val="21"/>
          <w:sz w:val="32"/>
          <w:szCs w:val="32"/>
        </w:rPr>
      </w:pPr>
      <w:r>
        <w:rPr>
          <w:rFonts w:hint="eastAsia" w:ascii="黑体" w:hAnsi="黑体" w:eastAsia="黑体" w:cs="黑体"/>
          <w:color w:val="auto"/>
          <w:spacing w:val="0"/>
          <w:kern w:val="21"/>
          <w:sz w:val="32"/>
          <w:szCs w:val="32"/>
        </w:rPr>
        <w:t>三、扎实做好202</w:t>
      </w:r>
      <w:r>
        <w:rPr>
          <w:rFonts w:hint="eastAsia" w:ascii="黑体" w:hAnsi="黑体" w:eastAsia="黑体" w:cs="黑体"/>
          <w:color w:val="auto"/>
          <w:spacing w:val="0"/>
          <w:kern w:val="21"/>
          <w:sz w:val="32"/>
          <w:szCs w:val="32"/>
          <w:lang w:val="en-US" w:eastAsia="zh-CN"/>
        </w:rPr>
        <w:t>5</w:t>
      </w:r>
      <w:r>
        <w:rPr>
          <w:rFonts w:hint="eastAsia" w:ascii="黑体" w:hAnsi="黑体" w:eastAsia="黑体" w:cs="黑体"/>
          <w:color w:val="auto"/>
          <w:spacing w:val="0"/>
          <w:kern w:val="21"/>
          <w:sz w:val="32"/>
          <w:szCs w:val="32"/>
        </w:rPr>
        <w:t>年财政管理和预算执行工作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Cs/>
          <w:color w:val="auto"/>
          <w:spacing w:val="0"/>
          <w:kern w:val="21"/>
          <w:sz w:val="32"/>
          <w:szCs w:val="32"/>
        </w:rPr>
      </w:pPr>
      <w:r>
        <w:rPr>
          <w:rFonts w:hint="eastAsia" w:ascii="仿宋_GB2312" w:hAnsi="仿宋_GB2312" w:cs="Times New Roman"/>
          <w:color w:val="auto"/>
          <w:spacing w:val="0"/>
          <w:kern w:val="21"/>
          <w:sz w:val="32"/>
          <w:szCs w:val="32"/>
        </w:rPr>
        <w:t>围绕上述指导思想和预算安排，</w:t>
      </w:r>
      <w:r>
        <w:rPr>
          <w:rFonts w:hint="eastAsia" w:ascii="仿宋_GB2312" w:hAnsi="仿宋_GB2312" w:cs="Times New Roman"/>
          <w:color w:val="auto"/>
          <w:spacing w:val="0"/>
          <w:kern w:val="21"/>
          <w:sz w:val="32"/>
          <w:szCs w:val="32"/>
          <w:lang w:eastAsia="zh-CN"/>
        </w:rPr>
        <w:t>我们将</w:t>
      </w:r>
      <w:r>
        <w:rPr>
          <w:rFonts w:hint="eastAsia" w:ascii="仿宋_GB2312" w:hAnsi="仿宋_GB2312" w:cs="Times New Roman"/>
          <w:color w:val="auto"/>
          <w:spacing w:val="0"/>
          <w:kern w:val="21"/>
          <w:sz w:val="32"/>
          <w:szCs w:val="32"/>
        </w:rPr>
        <w:t>深入贯彻</w:t>
      </w:r>
      <w:r>
        <w:rPr>
          <w:rFonts w:hint="eastAsia" w:ascii="仿宋_GB2312" w:hAnsi="仿宋_GB2312" w:cs="Times New Roman"/>
          <w:color w:val="auto"/>
          <w:spacing w:val="0"/>
          <w:kern w:val="21"/>
          <w:sz w:val="32"/>
          <w:szCs w:val="32"/>
          <w:lang w:eastAsia="zh-CN"/>
        </w:rPr>
        <w:t>《</w:t>
      </w:r>
      <w:r>
        <w:rPr>
          <w:rFonts w:hint="eastAsia" w:ascii="仿宋_GB2312" w:hAnsi="仿宋_GB2312" w:cs="Times New Roman"/>
          <w:color w:val="auto"/>
          <w:spacing w:val="0"/>
          <w:kern w:val="21"/>
          <w:sz w:val="32"/>
          <w:szCs w:val="32"/>
        </w:rPr>
        <w:t>预算法</w:t>
      </w:r>
      <w:r>
        <w:rPr>
          <w:rFonts w:hint="eastAsia" w:ascii="仿宋_GB2312" w:hAnsi="仿宋_GB2312" w:cs="Times New Roman"/>
          <w:color w:val="auto"/>
          <w:spacing w:val="0"/>
          <w:kern w:val="21"/>
          <w:sz w:val="32"/>
          <w:szCs w:val="32"/>
          <w:lang w:eastAsia="zh-CN"/>
        </w:rPr>
        <w:t>》</w:t>
      </w:r>
      <w:r>
        <w:rPr>
          <w:rFonts w:hint="eastAsia" w:ascii="仿宋_GB2312" w:hAnsi="仿宋_GB2312" w:cs="Times New Roman"/>
          <w:color w:val="auto"/>
          <w:spacing w:val="0"/>
          <w:kern w:val="21"/>
          <w:sz w:val="32"/>
          <w:szCs w:val="32"/>
        </w:rPr>
        <w:t>及其实施条例，全面落实区十七届人大</w:t>
      </w:r>
      <w:r>
        <w:rPr>
          <w:rFonts w:hint="eastAsia" w:ascii="仿宋_GB2312" w:hAnsi="仿宋_GB2312" w:cs="Times New Roman"/>
          <w:color w:val="auto"/>
          <w:spacing w:val="0"/>
          <w:kern w:val="21"/>
          <w:sz w:val="32"/>
          <w:szCs w:val="32"/>
          <w:lang w:eastAsia="zh-CN"/>
        </w:rPr>
        <w:t>五</w:t>
      </w:r>
      <w:r>
        <w:rPr>
          <w:rFonts w:hint="eastAsia" w:ascii="仿宋_GB2312" w:hAnsi="仿宋_GB2312" w:cs="Times New Roman"/>
          <w:color w:val="auto"/>
          <w:spacing w:val="0"/>
          <w:kern w:val="21"/>
          <w:sz w:val="32"/>
          <w:szCs w:val="32"/>
        </w:rPr>
        <w:t>次会议决议要求，扎实做好财政各项改革发展工作，确保全年预算目标顺利完成</w:t>
      </w:r>
      <w:r>
        <w:rPr>
          <w:rFonts w:hint="eastAsia" w:ascii="仿宋_GB2312" w:hAnsi="仿宋" w:eastAsia="仿宋_GB2312"/>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pacing w:val="0"/>
          <w:kern w:val="21"/>
          <w:sz w:val="32"/>
          <w:szCs w:val="32"/>
          <w:lang w:eastAsia="zh-CN"/>
        </w:rPr>
      </w:pPr>
      <w:r>
        <w:rPr>
          <w:rFonts w:hint="eastAsia" w:ascii="楷体_GB2312" w:hAnsi="楷体_GB2312" w:eastAsia="楷体_GB2312" w:cs="楷体_GB2312"/>
          <w:color w:val="auto"/>
          <w:spacing w:val="0"/>
          <w:kern w:val="21"/>
          <w:sz w:val="32"/>
          <w:szCs w:val="32"/>
          <w:lang w:eastAsia="zh-CN"/>
        </w:rPr>
        <w:t>（一）坚持“立足当前、着眼长远”，聚焦发展生财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color w:val="auto"/>
          <w:spacing w:val="0"/>
          <w:kern w:val="21"/>
          <w:sz w:val="32"/>
          <w:szCs w:val="32"/>
          <w:shd w:val="clear" w:color="auto" w:fill="auto"/>
          <w:lang w:eastAsia="zh-CN"/>
        </w:rPr>
      </w:pPr>
      <w:r>
        <w:rPr>
          <w:rFonts w:hint="eastAsia" w:ascii="仿宋_GB2312" w:hAnsi="仿宋_GB2312" w:cs="Times New Roman"/>
          <w:color w:val="auto"/>
          <w:spacing w:val="0"/>
          <w:kern w:val="21"/>
          <w:sz w:val="32"/>
          <w:szCs w:val="32"/>
          <w:lang w:eastAsia="zh-CN"/>
        </w:rPr>
        <w:t>提质增效实施积极财政政策，不折不扣落实各项财税优惠政策，激发经营主体活力。聚焦“倍增计划”、“伙伴计划”，统筹资金支持产业焕新、科技创新，依托丽泽金融商务区、中关村丰台园、南中轴</w:t>
      </w:r>
      <w:r>
        <w:rPr>
          <w:rFonts w:hint="eastAsia" w:ascii="仿宋_GB2312" w:hAnsi="仿宋_GB2312" w:cs="Times New Roman"/>
          <w:color w:val="auto"/>
          <w:spacing w:val="0"/>
          <w:kern w:val="21"/>
          <w:sz w:val="32"/>
          <w:szCs w:val="32"/>
          <w:lang w:val="en-US" w:eastAsia="zh-CN"/>
        </w:rPr>
        <w:t>-首都商务新区</w:t>
      </w:r>
      <w:r>
        <w:rPr>
          <w:rFonts w:hint="eastAsia" w:ascii="仿宋_GB2312" w:hAnsi="仿宋_GB2312" w:cs="Times New Roman"/>
          <w:color w:val="auto"/>
          <w:spacing w:val="0"/>
          <w:kern w:val="21"/>
          <w:sz w:val="32"/>
          <w:szCs w:val="32"/>
          <w:lang w:eastAsia="zh-CN"/>
        </w:rPr>
        <w:t>，加快培育和发展新质生产力，全力打造首都南部地区发展高地。进一步完善优质中小企业梯度培育，</w:t>
      </w:r>
      <w:r>
        <w:rPr>
          <w:rFonts w:hint="eastAsia" w:ascii="仿宋_GB2312" w:hAnsi="仿宋_GB2312" w:cs="Times New Roman"/>
          <w:color w:val="auto"/>
          <w:spacing w:val="0"/>
          <w:kern w:val="21"/>
          <w:sz w:val="32"/>
          <w:szCs w:val="32"/>
          <w:lang w:val="en-US" w:eastAsia="zh-CN"/>
        </w:rPr>
        <w:t>做好头部平台企业、国高新企业服务，强化信息技术和科技服务业发展动能，提升重点行业重点领域贡献度，进一步优化区域税收结构。持续加大营商环境优化及招商引资力度</w:t>
      </w:r>
      <w:r>
        <w:rPr>
          <w:rFonts w:hint="eastAsia" w:ascii="仿宋_GB2312" w:hAnsi="仿宋_GB2312" w:cs="Times New Roman"/>
          <w:color w:val="auto"/>
          <w:spacing w:val="0"/>
          <w:kern w:val="21"/>
          <w:sz w:val="32"/>
          <w:szCs w:val="32"/>
          <w:lang w:eastAsia="zh-CN"/>
        </w:rPr>
        <w:t>，凝聚产业上下游资源，打造产业发展联盟，吸引更多合作伙伴齐聚丰台。强化财政政策资金与金融工具协同联动，</w:t>
      </w:r>
      <w:r>
        <w:rPr>
          <w:rFonts w:hint="eastAsia" w:ascii="仿宋_GB2312" w:hAnsi="仿宋_GB2312" w:cs="Times New Roman"/>
          <w:color w:val="auto"/>
          <w:spacing w:val="0"/>
          <w:kern w:val="21"/>
          <w:sz w:val="32"/>
          <w:szCs w:val="32"/>
          <w:lang w:val="en-US" w:eastAsia="zh-CN"/>
        </w:rPr>
        <w:t>发挥政府投资基金引导</w:t>
      </w:r>
      <w:r>
        <w:rPr>
          <w:rFonts w:hint="eastAsia" w:ascii="仿宋_GB2312" w:hAnsi="仿宋_GB2312" w:eastAsia="仿宋_GB2312" w:cs="仿宋_GB2312"/>
          <w:color w:val="auto"/>
          <w:spacing w:val="0"/>
          <w:kern w:val="21"/>
          <w:sz w:val="32"/>
          <w:szCs w:val="32"/>
          <w:lang w:val="en-US" w:eastAsia="zh-CN"/>
        </w:rPr>
        <w:t>作用</w:t>
      </w:r>
      <w:r>
        <w:rPr>
          <w:rFonts w:hint="eastAsia" w:ascii="仿宋_GB2312" w:hAnsi="仿宋" w:eastAsia="仿宋_GB2312" w:cs="Times New Roman"/>
          <w:color w:val="auto"/>
          <w:spacing w:val="0"/>
          <w:kern w:val="21"/>
          <w:sz w:val="32"/>
          <w:szCs w:val="32"/>
          <w:shd w:val="clear" w:color="auto" w:fill="auto"/>
          <w:lang w:eastAsia="zh-CN"/>
        </w:rPr>
        <w:t>，完善投资基金、担保、征信、股权投资管理全流程全过程运行机制，强化政府性融资担保对科技创新的支持力</w:t>
      </w:r>
      <w:r>
        <w:rPr>
          <w:rFonts w:hint="eastAsia" w:ascii="仿宋_GB2312" w:hAnsi="仿宋" w:cs="Times New Roman"/>
          <w:color w:val="auto"/>
          <w:spacing w:val="0"/>
          <w:kern w:val="21"/>
          <w:sz w:val="32"/>
          <w:szCs w:val="32"/>
          <w:shd w:val="clear" w:color="auto" w:fill="auto"/>
          <w:lang w:eastAsia="zh-CN"/>
        </w:rPr>
        <w:t>，</w:t>
      </w:r>
      <w:r>
        <w:rPr>
          <w:rFonts w:hint="eastAsia" w:ascii="仿宋_GB2312" w:hAnsi="仿宋_GB2312" w:cs="Times New Roman"/>
          <w:color w:val="auto"/>
          <w:spacing w:val="0"/>
          <w:kern w:val="21"/>
          <w:sz w:val="32"/>
          <w:szCs w:val="32"/>
        </w:rPr>
        <w:t>引导金融</w:t>
      </w:r>
      <w:r>
        <w:rPr>
          <w:rFonts w:hint="eastAsia" w:ascii="仿宋_GB2312" w:hAnsi="仿宋_GB2312" w:cs="Times New Roman"/>
          <w:color w:val="auto"/>
          <w:spacing w:val="0"/>
          <w:kern w:val="21"/>
          <w:sz w:val="32"/>
          <w:szCs w:val="32"/>
          <w:lang w:eastAsia="zh-CN"/>
        </w:rPr>
        <w:t>“活水”灌溉</w:t>
      </w:r>
      <w:r>
        <w:rPr>
          <w:rFonts w:hint="eastAsia" w:ascii="仿宋_GB2312" w:hAnsi="仿宋_GB2312" w:cs="Times New Roman"/>
          <w:color w:val="auto"/>
          <w:spacing w:val="0"/>
          <w:kern w:val="21"/>
          <w:sz w:val="32"/>
          <w:szCs w:val="32"/>
        </w:rPr>
        <w:t>实体经济</w:t>
      </w:r>
      <w:r>
        <w:rPr>
          <w:rFonts w:hint="eastAsia" w:ascii="仿宋_GB2312" w:hAnsi="仿宋" w:eastAsia="仿宋_GB2312" w:cs="Times New Roman"/>
          <w:color w:val="auto"/>
          <w:spacing w:val="0"/>
          <w:kern w:val="21"/>
          <w:sz w:val="32"/>
          <w:szCs w:val="32"/>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line="560" w:lineRule="exact"/>
        <w:ind w:firstLine="640" w:firstLineChars="200"/>
        <w:jc w:val="both"/>
        <w:textAlignment w:val="auto"/>
        <w:rPr>
          <w:rFonts w:hint="eastAsia" w:ascii="楷体_GB2312" w:hAnsi="楷体_GB2312" w:eastAsia="楷体_GB2312" w:cs="楷体_GB2312"/>
          <w:color w:val="auto"/>
          <w:spacing w:val="0"/>
          <w:kern w:val="21"/>
          <w:sz w:val="32"/>
          <w:szCs w:val="32"/>
          <w:lang w:eastAsia="zh-CN"/>
        </w:rPr>
      </w:pPr>
      <w:r>
        <w:rPr>
          <w:rFonts w:hint="eastAsia" w:ascii="楷体_GB2312" w:hAnsi="楷体_GB2312" w:eastAsia="楷体_GB2312" w:cs="楷体_GB2312"/>
          <w:color w:val="auto"/>
          <w:spacing w:val="0"/>
          <w:kern w:val="21"/>
          <w:sz w:val="32"/>
          <w:szCs w:val="32"/>
          <w:lang w:eastAsia="zh-CN"/>
        </w:rPr>
        <w:t>（二）坚持“兼收并蓄、握指成拳”，强化统筹聚财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kern w:val="21"/>
          <w:sz w:val="32"/>
          <w:szCs w:val="32"/>
          <w:shd w:val="clear" w:color="auto" w:fill="auto"/>
          <w:lang w:eastAsia="zh-CN"/>
        </w:rPr>
      </w:pPr>
      <w:r>
        <w:rPr>
          <w:rFonts w:hint="eastAsia" w:ascii="仿宋_GB2312" w:hAnsi="仿宋_GB2312" w:eastAsia="仿宋_GB2312" w:cs="仿宋_GB2312"/>
          <w:color w:val="auto"/>
          <w:spacing w:val="0"/>
          <w:kern w:val="21"/>
          <w:sz w:val="32"/>
          <w:szCs w:val="32"/>
          <w:shd w:val="clear" w:color="auto" w:fill="auto"/>
          <w:lang w:eastAsia="zh-CN"/>
        </w:rPr>
        <w:t>加强财政收入管理，抓大不放小，应收尽收、颗粒归仓，做大收入规模。加大“</w:t>
      </w:r>
      <w:r>
        <w:rPr>
          <w:rFonts w:hint="eastAsia" w:ascii="仿宋_GB2312" w:hAnsi="仿宋_GB2312" w:cs="仿宋_GB2312"/>
          <w:color w:val="auto"/>
          <w:spacing w:val="0"/>
          <w:kern w:val="21"/>
          <w:sz w:val="32"/>
          <w:szCs w:val="32"/>
          <w:shd w:val="clear" w:color="auto" w:fill="auto"/>
          <w:lang w:eastAsia="zh-CN"/>
        </w:rPr>
        <w:t>三</w:t>
      </w:r>
      <w:r>
        <w:rPr>
          <w:rFonts w:hint="eastAsia" w:ascii="仿宋_GB2312" w:hAnsi="仿宋_GB2312" w:eastAsia="仿宋_GB2312" w:cs="仿宋_GB2312"/>
          <w:color w:val="auto"/>
          <w:spacing w:val="0"/>
          <w:kern w:val="21"/>
          <w:sz w:val="32"/>
          <w:szCs w:val="32"/>
          <w:shd w:val="clear" w:color="auto" w:fill="auto"/>
          <w:lang w:eastAsia="zh-CN"/>
        </w:rPr>
        <w:t>本预算”统筹力度，做好</w:t>
      </w:r>
      <w:r>
        <w:rPr>
          <w:rFonts w:hint="eastAsia" w:ascii="仿宋_GB2312" w:hAnsi="仿宋_GB2312" w:eastAsia="仿宋_GB2312" w:cs="仿宋_GB2312"/>
          <w:b w:val="0"/>
          <w:bCs w:val="0"/>
          <w:color w:val="auto"/>
          <w:spacing w:val="0"/>
          <w:kern w:val="21"/>
          <w:sz w:val="32"/>
          <w:szCs w:val="32"/>
        </w:rPr>
        <w:t>政府预算、单位自有资金、债券资金统筹</w:t>
      </w:r>
      <w:r>
        <w:rPr>
          <w:rFonts w:hint="eastAsia" w:ascii="仿宋_GB2312" w:hAnsi="仿宋_GB2312" w:eastAsia="仿宋_GB2312" w:cs="仿宋_GB2312"/>
          <w:b w:val="0"/>
          <w:bCs w:val="0"/>
          <w:color w:val="auto"/>
          <w:spacing w:val="0"/>
          <w:kern w:val="21"/>
          <w:sz w:val="32"/>
          <w:szCs w:val="32"/>
          <w:lang w:eastAsia="zh-CN"/>
        </w:rPr>
        <w:t>衔接</w:t>
      </w:r>
      <w:r>
        <w:rPr>
          <w:rFonts w:hint="eastAsia" w:ascii="仿宋_GB2312" w:hAnsi="仿宋_GB2312" w:eastAsia="仿宋_GB2312" w:cs="仿宋_GB2312"/>
          <w:color w:val="auto"/>
          <w:spacing w:val="0"/>
          <w:kern w:val="21"/>
          <w:sz w:val="32"/>
          <w:szCs w:val="32"/>
          <w:shd w:val="clear" w:color="auto" w:fill="auto"/>
          <w:lang w:eastAsia="zh-CN"/>
        </w:rPr>
        <w:t>，将全部财力聚集到一个“大盘子”统筹安排。</w:t>
      </w:r>
      <w:r>
        <w:rPr>
          <w:rFonts w:hint="eastAsia" w:ascii="仿宋_GB2312" w:hAnsi="仿宋_GB2312" w:eastAsia="仿宋_GB2312" w:cs="仿宋_GB2312"/>
          <w:color w:val="auto"/>
          <w:spacing w:val="0"/>
          <w:kern w:val="21"/>
          <w:sz w:val="32"/>
          <w:szCs w:val="32"/>
          <w:lang w:val="en-US" w:eastAsia="zh-CN"/>
        </w:rPr>
        <w:t>按照三中全会“加强财政资源和预算统筹，把依托行政权</w:t>
      </w:r>
      <w:r>
        <w:rPr>
          <w:rFonts w:hint="eastAsia" w:ascii="仿宋_GB2312" w:hAnsi="仿宋_GB2312" w:cs="仿宋_GB2312"/>
          <w:color w:val="auto"/>
          <w:spacing w:val="0"/>
          <w:kern w:val="21"/>
          <w:sz w:val="32"/>
          <w:szCs w:val="32"/>
          <w:lang w:val="en-US" w:eastAsia="zh-CN"/>
        </w:rPr>
        <w:t>力</w:t>
      </w:r>
      <w:r>
        <w:rPr>
          <w:rFonts w:hint="eastAsia" w:ascii="仿宋_GB2312" w:hAnsi="仿宋_GB2312" w:eastAsia="仿宋_GB2312" w:cs="仿宋_GB2312"/>
          <w:color w:val="auto"/>
          <w:spacing w:val="0"/>
          <w:kern w:val="21"/>
          <w:sz w:val="32"/>
          <w:szCs w:val="32"/>
          <w:lang w:val="en-US" w:eastAsia="zh-CN"/>
        </w:rPr>
        <w:t>、政府信用、国有资源资产获取的收入全部纳入政府预算管理”，继续盘活长期低效运转、闲置国有资产，严格资产处置程序，将国有资源资产租售获取的收入全部纳入政府预算管理。</w:t>
      </w:r>
      <w:r>
        <w:rPr>
          <w:rFonts w:hint="eastAsia" w:ascii="仿宋_GB2312" w:hAnsi="仿宋_GB2312" w:eastAsia="仿宋_GB2312" w:cs="仿宋_GB2312"/>
          <w:color w:val="auto"/>
          <w:spacing w:val="0"/>
          <w:kern w:val="21"/>
          <w:sz w:val="32"/>
          <w:szCs w:val="32"/>
          <w:shd w:val="clear" w:color="auto" w:fill="auto"/>
          <w:lang w:eastAsia="zh-CN"/>
        </w:rPr>
        <w:t>严格结余资金管理，及时收回执行进度慢或短期内不再执行的项目资金，统筹用于新增重点事项。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pacing w:val="0"/>
          <w:kern w:val="21"/>
          <w:sz w:val="32"/>
          <w:szCs w:val="32"/>
          <w:lang w:eastAsia="zh-CN"/>
        </w:rPr>
      </w:pPr>
      <w:r>
        <w:rPr>
          <w:rFonts w:hint="eastAsia" w:ascii="仿宋_GB2312" w:hAnsi="仿宋_GB2312" w:cs="仿宋_GB2312"/>
          <w:color w:val="auto"/>
          <w:spacing w:val="0"/>
          <w:kern w:val="21"/>
          <w:sz w:val="32"/>
          <w:szCs w:val="32"/>
          <w:lang w:val="en-US" w:eastAsia="zh-CN"/>
        </w:rPr>
        <w:t>（</w:t>
      </w:r>
      <w:r>
        <w:rPr>
          <w:rFonts w:hint="eastAsia" w:ascii="楷体_GB2312" w:hAnsi="楷体_GB2312" w:eastAsia="楷体_GB2312" w:cs="楷体_GB2312"/>
          <w:color w:val="auto"/>
          <w:spacing w:val="0"/>
          <w:kern w:val="21"/>
          <w:sz w:val="32"/>
          <w:szCs w:val="32"/>
          <w:lang w:eastAsia="zh-CN"/>
        </w:rPr>
        <w:t>三）坚持“小钱小气、大钱大方”，聚力重点用财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楷体_GB2312" w:eastAsia="仿宋_GB2312" w:cs="楷体_GB2312"/>
          <w:color w:val="auto"/>
          <w:spacing w:val="0"/>
          <w:kern w:val="21"/>
          <w:sz w:val="32"/>
          <w:szCs w:val="32"/>
          <w:lang w:val="en-US"/>
        </w:rPr>
      </w:pPr>
      <w:r>
        <w:rPr>
          <w:rFonts w:hint="eastAsia" w:ascii="仿宋_GB2312" w:hAnsi="仿宋" w:cs="Times New Roman"/>
          <w:color w:val="auto"/>
          <w:spacing w:val="0"/>
          <w:kern w:val="21"/>
          <w:sz w:val="32"/>
          <w:szCs w:val="32"/>
          <w:shd w:val="clear" w:color="auto" w:fill="auto"/>
          <w:lang w:eastAsia="zh-CN"/>
        </w:rPr>
        <w:t>将</w:t>
      </w:r>
      <w:r>
        <w:rPr>
          <w:rFonts w:hint="eastAsia" w:ascii="仿宋_GB2312" w:hAnsi="仿宋" w:eastAsia="仿宋_GB2312" w:cs="Times New Roman"/>
          <w:color w:val="auto"/>
          <w:spacing w:val="0"/>
          <w:kern w:val="21"/>
          <w:sz w:val="32"/>
          <w:szCs w:val="32"/>
          <w:shd w:val="clear" w:color="auto" w:fill="auto"/>
          <w:lang w:eastAsia="zh-CN"/>
        </w:rPr>
        <w:t>习惯过</w:t>
      </w:r>
      <w:r>
        <w:rPr>
          <w:rFonts w:hint="eastAsia" w:ascii="仿宋_GB2312" w:hAnsi="仿宋" w:cs="Times New Roman"/>
          <w:color w:val="auto"/>
          <w:spacing w:val="0"/>
          <w:kern w:val="21"/>
          <w:sz w:val="32"/>
          <w:szCs w:val="32"/>
          <w:shd w:val="clear" w:color="auto" w:fill="auto"/>
          <w:lang w:eastAsia="zh-CN"/>
        </w:rPr>
        <w:t>“</w:t>
      </w:r>
      <w:r>
        <w:rPr>
          <w:rFonts w:hint="eastAsia" w:ascii="仿宋_GB2312" w:hAnsi="仿宋" w:eastAsia="仿宋_GB2312" w:cs="Times New Roman"/>
          <w:color w:val="auto"/>
          <w:spacing w:val="0"/>
          <w:kern w:val="21"/>
          <w:sz w:val="32"/>
          <w:szCs w:val="32"/>
          <w:shd w:val="clear" w:color="auto" w:fill="auto"/>
          <w:lang w:eastAsia="zh-CN"/>
        </w:rPr>
        <w:t>紧日子</w:t>
      </w:r>
      <w:r>
        <w:rPr>
          <w:rFonts w:hint="eastAsia" w:ascii="仿宋_GB2312" w:hAnsi="仿宋" w:cs="Times New Roman"/>
          <w:color w:val="auto"/>
          <w:spacing w:val="0"/>
          <w:kern w:val="21"/>
          <w:sz w:val="32"/>
          <w:szCs w:val="32"/>
          <w:shd w:val="clear" w:color="auto" w:fill="auto"/>
          <w:lang w:eastAsia="zh-CN"/>
        </w:rPr>
        <w:t>”作为常态化要求，坚持勤俭节约，</w:t>
      </w:r>
      <w:r>
        <w:rPr>
          <w:rFonts w:hint="eastAsia" w:ascii="仿宋_GB2312" w:hAnsi="仿宋" w:eastAsia="仿宋_GB2312" w:cs="Times New Roman"/>
          <w:color w:val="auto"/>
          <w:spacing w:val="0"/>
          <w:kern w:val="21"/>
          <w:sz w:val="32"/>
          <w:szCs w:val="32"/>
          <w:shd w:val="clear" w:color="auto" w:fill="auto"/>
          <w:lang w:eastAsia="zh-CN"/>
        </w:rPr>
        <w:t>把紧预算关口，严控一般性支出</w:t>
      </w:r>
      <w:r>
        <w:rPr>
          <w:rFonts w:hint="eastAsia" w:ascii="仿宋_GB2312" w:hAnsi="仿宋_GB2312" w:cs="Times New Roman"/>
          <w:color w:val="auto"/>
          <w:spacing w:val="0"/>
          <w:kern w:val="21"/>
          <w:sz w:val="32"/>
          <w:szCs w:val="32"/>
        </w:rPr>
        <w:t>，严控“三公”经费预算只减不增，坚决杜绝浪费现象</w:t>
      </w:r>
      <w:r>
        <w:rPr>
          <w:rFonts w:hint="eastAsia" w:ascii="仿宋_GB2312" w:hAnsi="仿宋_GB2312" w:cs="Times New Roman"/>
          <w:color w:val="auto"/>
          <w:spacing w:val="0"/>
          <w:kern w:val="21"/>
          <w:sz w:val="32"/>
          <w:szCs w:val="32"/>
          <w:lang w:eastAsia="zh-CN"/>
        </w:rPr>
        <w:t>。</w:t>
      </w:r>
      <w:r>
        <w:rPr>
          <w:rFonts w:hint="eastAsia" w:ascii="仿宋_GB2312" w:hAnsi="仿宋" w:eastAsia="仿宋_GB2312" w:cs="Times New Roman"/>
          <w:color w:val="auto"/>
          <w:spacing w:val="0"/>
          <w:kern w:val="21"/>
          <w:sz w:val="32"/>
          <w:szCs w:val="32"/>
          <w:shd w:val="clear" w:color="auto" w:fill="auto"/>
          <w:lang w:val="en-US" w:eastAsia="zh-CN"/>
        </w:rPr>
        <w:t>健全有保有压的预算分配机制</w:t>
      </w:r>
      <w:r>
        <w:rPr>
          <w:rFonts w:hint="eastAsia" w:ascii="仿宋_GB2312" w:hAnsi="仿宋" w:cs="Times New Roman"/>
          <w:color w:val="auto"/>
          <w:spacing w:val="0"/>
          <w:kern w:val="21"/>
          <w:sz w:val="32"/>
          <w:szCs w:val="32"/>
          <w:shd w:val="clear" w:color="auto" w:fill="auto"/>
          <w:lang w:val="en-US" w:eastAsia="zh-CN"/>
        </w:rPr>
        <w:t>，</w:t>
      </w:r>
      <w:r>
        <w:rPr>
          <w:rFonts w:hint="eastAsia" w:ascii="仿宋_GB2312" w:hAnsi="仿宋_GB2312" w:cs="Times New Roman"/>
          <w:color w:val="auto"/>
          <w:spacing w:val="0"/>
          <w:kern w:val="21"/>
          <w:sz w:val="32"/>
          <w:szCs w:val="32"/>
        </w:rPr>
        <w:t>将更多的财政资金用于支持经济社会发展和基本民生保障。</w:t>
      </w:r>
      <w:r>
        <w:rPr>
          <w:rFonts w:hint="eastAsia" w:ascii="仿宋_GB2312" w:hAnsi="仿宋_GB2312" w:cs="Times New Roman"/>
          <w:color w:val="auto"/>
          <w:spacing w:val="0"/>
          <w:kern w:val="21"/>
          <w:sz w:val="32"/>
          <w:szCs w:val="32"/>
          <w:lang w:eastAsia="zh-CN"/>
        </w:rPr>
        <w:t>将</w:t>
      </w:r>
      <w:r>
        <w:rPr>
          <w:rFonts w:hint="eastAsia" w:ascii="仿宋_GB2312" w:eastAsia="仿宋_GB2312"/>
          <w:color w:val="auto"/>
          <w:spacing w:val="0"/>
          <w:kern w:val="21"/>
          <w:sz w:val="32"/>
          <w:szCs w:val="32"/>
        </w:rPr>
        <w:t>落实</w:t>
      </w:r>
      <w:r>
        <w:rPr>
          <w:rFonts w:hint="eastAsia" w:ascii="仿宋_GB2312" w:hAnsi="Times New Roman" w:eastAsia="仿宋_GB2312" w:cs="Times New Roman"/>
          <w:color w:val="auto"/>
          <w:spacing w:val="0"/>
          <w:kern w:val="21"/>
          <w:sz w:val="32"/>
          <w:szCs w:val="32"/>
        </w:rPr>
        <w:t>中央、北京市、</w:t>
      </w:r>
      <w:r>
        <w:rPr>
          <w:rFonts w:hint="eastAsia" w:ascii="仿宋_GB2312" w:eastAsia="仿宋_GB2312"/>
          <w:color w:val="auto"/>
          <w:spacing w:val="0"/>
          <w:kern w:val="21"/>
          <w:sz w:val="32"/>
          <w:szCs w:val="32"/>
        </w:rPr>
        <w:t>区委决策部署作为预算安排的首要任务</w:t>
      </w:r>
      <w:r>
        <w:rPr>
          <w:rFonts w:hint="eastAsia" w:ascii="仿宋_GB2312" w:hAnsi="楷体_GB2312" w:eastAsia="仿宋_GB2312" w:cs="楷体_GB2312"/>
          <w:color w:val="auto"/>
          <w:spacing w:val="0"/>
          <w:kern w:val="21"/>
          <w:sz w:val="32"/>
          <w:szCs w:val="32"/>
        </w:rPr>
        <w:t>，坚定不移推动高质量发展</w:t>
      </w:r>
      <w:r>
        <w:rPr>
          <w:rFonts w:hint="eastAsia" w:ascii="仿宋_GB2312" w:hAnsi="楷体_GB2312" w:cs="楷体_GB2312"/>
          <w:color w:val="auto"/>
          <w:spacing w:val="0"/>
          <w:kern w:val="21"/>
          <w:sz w:val="32"/>
          <w:szCs w:val="32"/>
          <w:lang w:eastAsia="zh-CN"/>
        </w:rPr>
        <w:t>。</w:t>
      </w:r>
      <w:r>
        <w:rPr>
          <w:rFonts w:hint="eastAsia" w:ascii="仿宋_GB2312" w:hAnsi="楷体_GB2312" w:eastAsia="仿宋_GB2312" w:cs="楷体_GB2312"/>
          <w:color w:val="auto"/>
          <w:spacing w:val="0"/>
          <w:kern w:val="21"/>
          <w:sz w:val="32"/>
          <w:szCs w:val="32"/>
        </w:rPr>
        <w:t>做好超长期特别国债资金管理工作，支持国家重大战略和重点领域安全能力建设</w:t>
      </w:r>
      <w:r>
        <w:rPr>
          <w:rFonts w:hint="eastAsia" w:ascii="仿宋_GB2312" w:hAnsi="楷体_GB2312" w:cs="楷体_GB2312"/>
          <w:color w:val="auto"/>
          <w:spacing w:val="0"/>
          <w:kern w:val="21"/>
          <w:sz w:val="32"/>
          <w:szCs w:val="32"/>
          <w:lang w:eastAsia="zh-CN"/>
        </w:rPr>
        <w:t>。</w:t>
      </w:r>
      <w:r>
        <w:rPr>
          <w:rFonts w:hint="eastAsia" w:ascii="仿宋_GB2312" w:eastAsia="仿宋_GB2312"/>
          <w:color w:val="auto"/>
          <w:spacing w:val="0"/>
          <w:kern w:val="21"/>
          <w:sz w:val="32"/>
          <w:szCs w:val="32"/>
        </w:rPr>
        <w:t>切实保障重点产业发展和重大项目建设，聚力实施“倍增追赶”</w:t>
      </w:r>
      <w:r>
        <w:rPr>
          <w:rFonts w:ascii="仿宋_GB2312" w:eastAsia="仿宋_GB2312"/>
          <w:color w:val="auto"/>
          <w:spacing w:val="0"/>
          <w:kern w:val="21"/>
          <w:sz w:val="32"/>
          <w:szCs w:val="32"/>
        </w:rPr>
        <w:t>战略，</w:t>
      </w:r>
      <w:r>
        <w:rPr>
          <w:rFonts w:hint="eastAsia" w:ascii="仿宋_GB2312" w:eastAsia="仿宋_GB2312"/>
          <w:color w:val="auto"/>
          <w:spacing w:val="0"/>
          <w:kern w:val="21"/>
          <w:sz w:val="32"/>
          <w:szCs w:val="32"/>
        </w:rPr>
        <w:t>全力支持公共卫生、安全生产、生态环保等重点领域，认真落实教育、科技、就业等政策</w:t>
      </w:r>
      <w:r>
        <w:rPr>
          <w:rFonts w:hint="eastAsia" w:ascii="仿宋_GB2312" w:hAnsi="楷体_GB2312" w:eastAsia="仿宋_GB2312" w:cs="楷体_GB2312"/>
          <w:color w:val="auto"/>
          <w:spacing w:val="0"/>
          <w:kern w:val="21"/>
          <w:sz w:val="32"/>
          <w:szCs w:val="32"/>
        </w:rPr>
        <w:t>。</w:t>
      </w:r>
      <w:r>
        <w:rPr>
          <w:rFonts w:hint="eastAsia" w:ascii="仿宋_GB2312" w:hAnsi="仿宋_GB2312" w:cs="Times New Roman"/>
          <w:color w:val="auto"/>
          <w:spacing w:val="0"/>
          <w:kern w:val="21"/>
          <w:sz w:val="32"/>
          <w:szCs w:val="32"/>
          <w:lang w:val="en-US" w:eastAsia="zh-CN"/>
        </w:rPr>
        <w:t>2025年，民生支出预算安排258.8亿元</w:t>
      </w:r>
      <w:r>
        <w:rPr>
          <w:rFonts w:hint="eastAsia" w:ascii="仿宋_GB2312" w:hAnsi="仿宋" w:eastAsia="仿宋_GB2312" w:cs="Times New Roman"/>
          <w:color w:val="auto"/>
          <w:spacing w:val="0"/>
          <w:kern w:val="21"/>
          <w:sz w:val="32"/>
          <w:szCs w:val="32"/>
          <w:shd w:val="clear" w:color="auto" w:fill="auto"/>
          <w:lang w:val="en-US" w:eastAsia="zh-CN"/>
        </w:rPr>
        <w:t>，占总支出的</w:t>
      </w:r>
      <w:r>
        <w:rPr>
          <w:rFonts w:hint="eastAsia" w:ascii="仿宋_GB2312" w:hAnsi="仿宋" w:cs="Times New Roman"/>
          <w:color w:val="auto"/>
          <w:spacing w:val="0"/>
          <w:kern w:val="21"/>
          <w:sz w:val="32"/>
          <w:szCs w:val="32"/>
          <w:shd w:val="clear" w:color="auto" w:fill="auto"/>
          <w:lang w:val="en-US" w:eastAsia="zh-CN"/>
        </w:rPr>
        <w:t>81.8</w:t>
      </w:r>
      <w:r>
        <w:rPr>
          <w:rFonts w:hint="eastAsia" w:ascii="仿宋_GB2312" w:hAnsi="仿宋" w:eastAsia="仿宋_GB2312" w:cs="Times New Roman"/>
          <w:color w:val="auto"/>
          <w:spacing w:val="0"/>
          <w:kern w:val="21"/>
          <w:sz w:val="32"/>
          <w:szCs w:val="32"/>
          <w:shd w:val="clear" w:color="auto" w:fill="auto"/>
          <w:lang w:val="en-US" w:eastAsia="zh-CN"/>
        </w:rPr>
        <w:t>%</w:t>
      </w:r>
      <w:r>
        <w:rPr>
          <w:rFonts w:hint="eastAsia" w:ascii="仿宋_GB2312" w:hAnsi="仿宋" w:cs="Times New Roman"/>
          <w:color w:val="auto"/>
          <w:spacing w:val="0"/>
          <w:kern w:val="21"/>
          <w:sz w:val="32"/>
          <w:szCs w:val="32"/>
          <w:shd w:val="clear" w:color="auto" w:fill="auto"/>
          <w:lang w:val="en-US" w:eastAsia="zh-CN"/>
        </w:rPr>
        <w:t>；“三保”支出187.1亿元，切实兜牢财政运行底线。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pacing w:val="0"/>
          <w:kern w:val="21"/>
          <w:sz w:val="32"/>
          <w:szCs w:val="32"/>
          <w:lang w:eastAsia="zh-CN"/>
        </w:rPr>
      </w:pPr>
      <w:r>
        <w:rPr>
          <w:rFonts w:hint="eastAsia" w:ascii="楷体_GB2312" w:hAnsi="楷体_GB2312" w:eastAsia="楷体_GB2312" w:cs="楷体_GB2312"/>
          <w:color w:val="auto"/>
          <w:spacing w:val="0"/>
          <w:kern w:val="21"/>
          <w:sz w:val="32"/>
          <w:szCs w:val="32"/>
          <w:lang w:eastAsia="zh-CN"/>
        </w:rPr>
        <w:t>（四）坚持“整体谋划、化解风险”，突出规范管财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pacing w:val="0"/>
          <w:kern w:val="21"/>
          <w:sz w:val="32"/>
          <w:szCs w:val="32"/>
          <w:lang w:eastAsia="zh-CN"/>
        </w:rPr>
      </w:pPr>
      <w:r>
        <w:rPr>
          <w:rFonts w:hint="eastAsia" w:ascii="仿宋_GB2312" w:hAnsi="仿宋" w:cs="Times New Roman"/>
          <w:color w:val="auto"/>
          <w:spacing w:val="0"/>
          <w:kern w:val="21"/>
          <w:sz w:val="32"/>
          <w:szCs w:val="32"/>
          <w:shd w:val="clear" w:color="auto" w:fill="auto"/>
          <w:lang w:eastAsia="zh-CN"/>
        </w:rPr>
        <w:t>深入落实三中全会</w:t>
      </w:r>
      <w:r>
        <w:rPr>
          <w:rFonts w:hint="eastAsia" w:ascii="仿宋_GB2312" w:hAnsi="仿宋" w:eastAsia="仿宋_GB2312" w:cs="Times New Roman"/>
          <w:color w:val="auto"/>
          <w:spacing w:val="0"/>
          <w:kern w:val="21"/>
          <w:sz w:val="32"/>
          <w:szCs w:val="32"/>
          <w:shd w:val="clear" w:color="auto" w:fill="auto"/>
          <w:lang w:eastAsia="zh-CN"/>
        </w:rPr>
        <w:t>“建立防范化解地方债务风险长效机制，建立同高质量发展相适应的政府债务管理机制”</w:t>
      </w:r>
      <w:r>
        <w:rPr>
          <w:rFonts w:hint="eastAsia" w:ascii="仿宋_GB2312" w:hAnsi="仿宋" w:cs="Times New Roman"/>
          <w:color w:val="auto"/>
          <w:spacing w:val="0"/>
          <w:kern w:val="21"/>
          <w:sz w:val="32"/>
          <w:szCs w:val="32"/>
          <w:shd w:val="clear" w:color="auto" w:fill="auto"/>
          <w:lang w:eastAsia="zh-CN"/>
        </w:rPr>
        <w:t>要求</w:t>
      </w:r>
      <w:r>
        <w:rPr>
          <w:rFonts w:hint="eastAsia" w:ascii="仿宋_GB2312" w:hAnsi="仿宋" w:eastAsia="仿宋_GB2312" w:cs="Times New Roman"/>
          <w:color w:val="auto"/>
          <w:spacing w:val="0"/>
          <w:kern w:val="21"/>
          <w:sz w:val="32"/>
          <w:szCs w:val="32"/>
          <w:shd w:val="clear" w:color="auto" w:fill="auto"/>
          <w:lang w:eastAsia="zh-CN"/>
        </w:rPr>
        <w:t>，</w:t>
      </w:r>
      <w:r>
        <w:rPr>
          <w:rFonts w:hint="eastAsia" w:ascii="仿宋_GB2312" w:hAnsi="仿宋" w:cs="Times New Roman"/>
          <w:color w:val="auto"/>
          <w:spacing w:val="0"/>
          <w:kern w:val="21"/>
          <w:sz w:val="32"/>
          <w:szCs w:val="32"/>
          <w:shd w:val="clear" w:color="auto" w:fill="auto"/>
          <w:lang w:eastAsia="zh-CN"/>
        </w:rPr>
        <w:t>聚力</w:t>
      </w:r>
      <w:r>
        <w:rPr>
          <w:rFonts w:hint="eastAsia" w:ascii="仿宋_GB2312" w:hAnsi="仿宋" w:eastAsia="仿宋_GB2312" w:cs="Times New Roman"/>
          <w:color w:val="auto"/>
          <w:spacing w:val="0"/>
          <w:kern w:val="21"/>
          <w:sz w:val="32"/>
          <w:szCs w:val="32"/>
          <w:shd w:val="clear" w:color="auto" w:fill="auto"/>
          <w:lang w:eastAsia="zh-CN"/>
        </w:rPr>
        <w:t>做好区级债务管理工作</w:t>
      </w:r>
      <w:r>
        <w:rPr>
          <w:rFonts w:hint="eastAsia" w:ascii="仿宋_GB2312" w:hAnsi="仿宋" w:cs="Times New Roman"/>
          <w:color w:val="auto"/>
          <w:spacing w:val="0"/>
          <w:kern w:val="21"/>
          <w:sz w:val="32"/>
          <w:szCs w:val="32"/>
          <w:shd w:val="clear" w:color="auto" w:fill="auto"/>
          <w:lang w:eastAsia="zh-CN"/>
        </w:rPr>
        <w:t>，妥善应对债务还本高峰。</w:t>
      </w:r>
      <w:r>
        <w:rPr>
          <w:rFonts w:hint="eastAsia" w:ascii="仿宋_GB2312" w:hAnsi="仿宋" w:eastAsia="仿宋_GB2312" w:cs="Times New Roman"/>
          <w:color w:val="auto"/>
          <w:spacing w:val="0"/>
          <w:kern w:val="21"/>
          <w:sz w:val="32"/>
          <w:szCs w:val="32"/>
          <w:shd w:val="clear" w:color="auto" w:fill="auto"/>
          <w:lang w:val="en-US" w:eastAsia="zh-CN"/>
        </w:rPr>
        <w:t>完善债务风险动态监测机制，坚决遏增量、化存量、优结构、降负担，分析研判未来三年债务风险水平，规划测算后续融资规模上限和偿债化债计划，逐步缓释债务风险</w:t>
      </w:r>
      <w:r>
        <w:rPr>
          <w:rFonts w:hint="eastAsia" w:ascii="仿宋_GB2312" w:hAnsi="仿宋" w:cs="Times New Roman"/>
          <w:color w:val="auto"/>
          <w:spacing w:val="0"/>
          <w:kern w:val="21"/>
          <w:sz w:val="32"/>
          <w:szCs w:val="32"/>
          <w:shd w:val="clear" w:color="auto" w:fill="auto"/>
          <w:lang w:val="en-US" w:eastAsia="zh-CN"/>
        </w:rPr>
        <w:t>。</w:t>
      </w:r>
      <w:r>
        <w:rPr>
          <w:rFonts w:hint="eastAsia" w:ascii="仿宋_GB2312" w:hAnsi="仿宋" w:eastAsia="仿宋_GB2312" w:cs="Times New Roman"/>
          <w:color w:val="auto"/>
          <w:spacing w:val="0"/>
          <w:kern w:val="21"/>
          <w:sz w:val="32"/>
          <w:szCs w:val="32"/>
          <w:shd w:val="clear" w:color="auto" w:fill="auto"/>
          <w:lang w:val="en-US" w:eastAsia="zh-CN"/>
        </w:rPr>
        <w:t>紧盯政策导向“抓机遇”，找准政策点位“巧发力”，</w:t>
      </w:r>
      <w:r>
        <w:rPr>
          <w:rFonts w:hint="eastAsia" w:ascii="仿宋_GB2312" w:hAnsi="仿宋" w:eastAsia="仿宋_GB2312" w:cs="Times New Roman"/>
          <w:color w:val="auto"/>
          <w:spacing w:val="0"/>
          <w:kern w:val="21"/>
          <w:sz w:val="32"/>
          <w:szCs w:val="32"/>
          <w:shd w:val="clear" w:color="auto" w:fill="auto"/>
        </w:rPr>
        <w:t>合理安排债务发行规模，有力保障</w:t>
      </w:r>
      <w:r>
        <w:rPr>
          <w:rFonts w:hint="eastAsia" w:ascii="仿宋_GB2312" w:hAnsi="仿宋" w:eastAsia="仿宋_GB2312" w:cs="Times New Roman"/>
          <w:color w:val="auto"/>
          <w:spacing w:val="0"/>
          <w:kern w:val="21"/>
          <w:sz w:val="32"/>
          <w:szCs w:val="32"/>
          <w:shd w:val="clear" w:color="auto" w:fill="auto"/>
          <w:lang w:eastAsia="zh-CN"/>
        </w:rPr>
        <w:t>棚户区改造</w:t>
      </w:r>
      <w:r>
        <w:rPr>
          <w:rFonts w:hint="eastAsia" w:ascii="仿宋_GB2312" w:hAnsi="仿宋" w:eastAsia="仿宋_GB2312" w:cs="Times New Roman"/>
          <w:color w:val="auto"/>
          <w:spacing w:val="0"/>
          <w:kern w:val="21"/>
          <w:sz w:val="32"/>
          <w:szCs w:val="32"/>
          <w:shd w:val="clear" w:color="auto" w:fill="auto"/>
        </w:rPr>
        <w:t>等重点项目</w:t>
      </w:r>
      <w:r>
        <w:rPr>
          <w:rFonts w:hint="eastAsia" w:ascii="仿宋_GB2312" w:hAnsi="仿宋" w:cs="Times New Roman"/>
          <w:color w:val="auto"/>
          <w:spacing w:val="0"/>
          <w:kern w:val="21"/>
          <w:sz w:val="32"/>
          <w:szCs w:val="32"/>
          <w:shd w:val="clear" w:color="auto" w:fill="auto"/>
          <w:lang w:eastAsia="zh-CN"/>
        </w:rPr>
        <w:t>，</w:t>
      </w:r>
      <w:r>
        <w:rPr>
          <w:rFonts w:hint="eastAsia" w:ascii="仿宋_GB2312" w:hAnsi="仿宋" w:eastAsia="仿宋_GB2312" w:cs="Times New Roman"/>
          <w:color w:val="auto"/>
          <w:spacing w:val="0"/>
          <w:kern w:val="21"/>
          <w:sz w:val="32"/>
          <w:szCs w:val="32"/>
          <w:shd w:val="clear" w:color="auto" w:fill="auto"/>
          <w:lang w:val="en-US" w:eastAsia="zh-CN"/>
        </w:rPr>
        <w:t>切实发挥债券资金的使用效益。加快债券资金的使用进度，尽快形成实物工作量，推进项目尽快达到入市条件，争取资金早日回笼</w:t>
      </w:r>
      <w:r>
        <w:rPr>
          <w:rFonts w:hint="eastAsia" w:ascii="仿宋_GB2312" w:hAnsi="仿宋" w:cs="Times New Roman"/>
          <w:color w:val="auto"/>
          <w:spacing w:val="0"/>
          <w:kern w:val="21"/>
          <w:sz w:val="32"/>
          <w:szCs w:val="32"/>
          <w:shd w:val="clear" w:color="auto" w:fill="auto"/>
          <w:lang w:val="en-US" w:eastAsia="zh-CN"/>
        </w:rPr>
        <w:t>，确保能够按时偿还到期债务</w:t>
      </w:r>
      <w:r>
        <w:rPr>
          <w:rFonts w:hint="eastAsia" w:ascii="仿宋_GB2312" w:hAnsi="仿宋" w:eastAsia="仿宋_GB2312" w:cs="Times New Roman"/>
          <w:color w:val="auto"/>
          <w:spacing w:val="0"/>
          <w:kern w:val="21"/>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pacing w:val="0"/>
          <w:kern w:val="21"/>
          <w:sz w:val="32"/>
          <w:szCs w:val="32"/>
          <w:lang w:eastAsia="zh-CN"/>
        </w:rPr>
      </w:pPr>
      <w:r>
        <w:rPr>
          <w:rFonts w:hint="eastAsia" w:ascii="楷体_GB2312" w:hAnsi="楷体_GB2312" w:eastAsia="楷体_GB2312" w:cs="楷体_GB2312"/>
          <w:color w:val="auto"/>
          <w:spacing w:val="0"/>
          <w:kern w:val="21"/>
          <w:sz w:val="32"/>
          <w:szCs w:val="32"/>
          <w:lang w:eastAsia="zh-CN"/>
        </w:rPr>
        <w:t>（五）坚持“效益为先、监督为要”，强化绩效理财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color w:val="auto"/>
          <w:spacing w:val="0"/>
          <w:kern w:val="21"/>
          <w:sz w:val="32"/>
          <w:szCs w:val="32"/>
          <w:shd w:val="clear" w:color="auto" w:fill="auto"/>
          <w:lang w:eastAsia="zh-CN"/>
        </w:rPr>
      </w:pPr>
      <w:r>
        <w:rPr>
          <w:rFonts w:hint="eastAsia" w:ascii="仿宋_GB2312" w:hAnsi="仿宋" w:eastAsia="仿宋_GB2312" w:cs="Times New Roman"/>
          <w:color w:val="auto"/>
          <w:spacing w:val="0"/>
          <w:kern w:val="21"/>
          <w:sz w:val="32"/>
          <w:szCs w:val="32"/>
          <w:shd w:val="clear" w:color="auto" w:fill="auto"/>
          <w:lang w:eastAsia="zh-CN"/>
        </w:rPr>
        <w:t>深化财政预算绩效管理改革，促进预算绩效管理与预算管理的深度融合，推进成本绩效分析向预算部门扩展，推动建立多层次全方位预算绩效评价体系，实现预算绩效管理的提质增效。全面加强财会监督，让财经纪律带电生威。紧扣财会监督工作任务主线、突出“强化监督队伍建设、抓好专项监督行动、放大监督成效”三大重点，切实发挥财会监督护航保障和服务发展作用。</w:t>
      </w:r>
      <w:r>
        <w:rPr>
          <w:rFonts w:hint="eastAsia" w:ascii="仿宋_GB2312" w:hAnsi="仿宋_GB2312" w:cs="Times New Roman"/>
          <w:color w:val="auto"/>
          <w:spacing w:val="0"/>
          <w:kern w:val="21"/>
          <w:sz w:val="32"/>
          <w:szCs w:val="32"/>
        </w:rPr>
        <w:t>依法接受</w:t>
      </w:r>
      <w:r>
        <w:rPr>
          <w:rFonts w:hint="eastAsia" w:ascii="仿宋_GB2312" w:hAnsi="仿宋_GB2312" w:cs="Times New Roman"/>
          <w:color w:val="auto"/>
          <w:spacing w:val="0"/>
          <w:kern w:val="21"/>
          <w:sz w:val="32"/>
          <w:szCs w:val="32"/>
          <w:lang w:eastAsia="zh-CN"/>
        </w:rPr>
        <w:t>人大</w:t>
      </w:r>
      <w:r>
        <w:rPr>
          <w:rFonts w:hint="eastAsia" w:ascii="仿宋_GB2312" w:hAnsi="仿宋_GB2312" w:cs="Times New Roman"/>
          <w:color w:val="auto"/>
          <w:spacing w:val="0"/>
          <w:kern w:val="21"/>
          <w:sz w:val="32"/>
          <w:szCs w:val="32"/>
        </w:rPr>
        <w:t>监督，</w:t>
      </w:r>
      <w:r>
        <w:rPr>
          <w:rFonts w:hint="eastAsia" w:ascii="仿宋_GB2312" w:hAnsi="仿宋_GB2312" w:cs="Times New Roman"/>
          <w:color w:val="auto"/>
          <w:spacing w:val="0"/>
          <w:kern w:val="21"/>
          <w:sz w:val="32"/>
          <w:szCs w:val="32"/>
          <w:lang w:eastAsia="zh-CN"/>
        </w:rPr>
        <w:t>按法定要求向人大报告预算执行、国有资产管理及地方政府债务管理情况，根据审查意见抓好整改落实。</w:t>
      </w:r>
      <w:r>
        <w:rPr>
          <w:rFonts w:hint="eastAsia" w:ascii="仿宋_GB2312" w:hAnsi="仿宋" w:cs="Times New Roman"/>
          <w:color w:val="auto"/>
          <w:spacing w:val="0"/>
          <w:kern w:val="21"/>
          <w:sz w:val="32"/>
          <w:szCs w:val="32"/>
          <w:shd w:val="clear" w:color="auto" w:fill="auto"/>
          <w:lang w:eastAsia="zh-CN"/>
        </w:rPr>
        <w:t>持续做好预决算公开，进一步丰富公开内容，主动接受社会监督。</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_GB2312" w:cs="Times New Roman"/>
          <w:color w:val="auto"/>
          <w:spacing w:val="0"/>
          <w:kern w:val="21"/>
          <w:sz w:val="32"/>
          <w:szCs w:val="32"/>
          <w:lang w:eastAsia="zh-CN"/>
        </w:rPr>
      </w:pPr>
      <w:r>
        <w:rPr>
          <w:rFonts w:hint="eastAsia" w:ascii="仿宋_GB2312" w:hAnsi="仿宋_GB2312" w:cs="Times New Roman"/>
          <w:color w:val="auto"/>
          <w:spacing w:val="0"/>
          <w:kern w:val="21"/>
          <w:sz w:val="32"/>
          <w:szCs w:val="32"/>
        </w:rPr>
        <w:t>各位代表，做好202</w:t>
      </w:r>
      <w:r>
        <w:rPr>
          <w:rFonts w:hint="eastAsia" w:ascii="仿宋_GB2312" w:hAnsi="仿宋_GB2312" w:cs="Times New Roman"/>
          <w:color w:val="auto"/>
          <w:spacing w:val="0"/>
          <w:kern w:val="21"/>
          <w:sz w:val="32"/>
          <w:szCs w:val="32"/>
          <w:lang w:val="en-US" w:eastAsia="zh-CN"/>
        </w:rPr>
        <w:t>5</w:t>
      </w:r>
      <w:r>
        <w:rPr>
          <w:rFonts w:hint="eastAsia" w:ascii="仿宋_GB2312" w:hAnsi="仿宋_GB2312" w:cs="Times New Roman"/>
          <w:color w:val="auto"/>
          <w:spacing w:val="0"/>
          <w:kern w:val="21"/>
          <w:sz w:val="32"/>
          <w:szCs w:val="32"/>
        </w:rPr>
        <w:t>年</w:t>
      </w:r>
      <w:r>
        <w:rPr>
          <w:rFonts w:hint="eastAsia" w:ascii="仿宋_GB2312" w:hAnsi="仿宋_GB2312" w:cs="Times New Roman"/>
          <w:color w:val="auto"/>
          <w:spacing w:val="0"/>
          <w:kern w:val="21"/>
          <w:sz w:val="32"/>
          <w:szCs w:val="32"/>
          <w:lang w:eastAsia="zh-CN"/>
        </w:rPr>
        <w:t>财政</w:t>
      </w:r>
      <w:r>
        <w:rPr>
          <w:rFonts w:hint="eastAsia" w:ascii="仿宋_GB2312" w:hAnsi="仿宋_GB2312" w:cs="Times New Roman"/>
          <w:color w:val="auto"/>
          <w:spacing w:val="0"/>
          <w:kern w:val="21"/>
          <w:sz w:val="32"/>
          <w:szCs w:val="32"/>
        </w:rPr>
        <w:t>工作</w:t>
      </w:r>
      <w:r>
        <w:rPr>
          <w:rFonts w:hint="eastAsia" w:ascii="仿宋_GB2312" w:hAnsi="仿宋_GB2312" w:cs="Times New Roman"/>
          <w:color w:val="auto"/>
          <w:spacing w:val="0"/>
          <w:kern w:val="21"/>
          <w:sz w:val="32"/>
          <w:szCs w:val="32"/>
          <w:lang w:eastAsia="zh-CN"/>
        </w:rPr>
        <w:t>，任务艰巨，责任</w:t>
      </w:r>
      <w:r>
        <w:rPr>
          <w:rFonts w:hint="eastAsia" w:ascii="仿宋_GB2312" w:hAnsi="仿宋_GB2312" w:cs="Times New Roman"/>
          <w:color w:val="auto"/>
          <w:spacing w:val="0"/>
          <w:kern w:val="21"/>
          <w:sz w:val="32"/>
          <w:szCs w:val="32"/>
        </w:rPr>
        <w:t>重大。我们将坚持以习近平新时代中国特色社会主义思想为指导，在区委坚强领导下，</w:t>
      </w:r>
      <w:r>
        <w:rPr>
          <w:rFonts w:hint="eastAsia" w:ascii="仿宋_GB2312" w:hAnsi="仿宋_GB2312" w:cs="Times New Roman"/>
          <w:color w:val="auto"/>
          <w:spacing w:val="0"/>
          <w:kern w:val="21"/>
          <w:sz w:val="32"/>
          <w:szCs w:val="32"/>
          <w:lang w:eastAsia="zh-CN"/>
        </w:rPr>
        <w:t>主动</w:t>
      </w:r>
      <w:r>
        <w:rPr>
          <w:rFonts w:hint="eastAsia" w:ascii="仿宋_GB2312" w:hAnsi="仿宋_GB2312" w:cs="Times New Roman"/>
          <w:color w:val="auto"/>
          <w:spacing w:val="0"/>
          <w:kern w:val="21"/>
          <w:sz w:val="32"/>
          <w:szCs w:val="32"/>
        </w:rPr>
        <w:t>接受人大依法监督，</w:t>
      </w:r>
      <w:r>
        <w:rPr>
          <w:rFonts w:hint="eastAsia" w:ascii="仿宋_GB2312" w:hAnsi="仿宋_GB2312" w:cs="Times New Roman"/>
          <w:color w:val="auto"/>
          <w:spacing w:val="0"/>
          <w:kern w:val="21"/>
          <w:sz w:val="32"/>
          <w:szCs w:val="32"/>
          <w:lang w:eastAsia="zh-CN"/>
        </w:rPr>
        <w:t>认真执行十七届人大五次会议决议及批准的预算，踔厉奋发、开拓进取，担当实干、攻坚克难</w:t>
      </w:r>
      <w:r>
        <w:rPr>
          <w:rFonts w:hint="eastAsia" w:ascii="仿宋_GB2312" w:hAnsi="仿宋_GB2312" w:cs="Times New Roman"/>
          <w:color w:val="auto"/>
          <w:spacing w:val="0"/>
          <w:kern w:val="21"/>
          <w:sz w:val="32"/>
          <w:szCs w:val="32"/>
        </w:rPr>
        <w:t>，</w:t>
      </w:r>
      <w:r>
        <w:rPr>
          <w:rFonts w:hint="eastAsia" w:ascii="仿宋_GB2312" w:hAnsi="仿宋_GB2312" w:cs="Times New Roman"/>
          <w:color w:val="auto"/>
          <w:spacing w:val="0"/>
          <w:kern w:val="21"/>
          <w:sz w:val="32"/>
          <w:szCs w:val="32"/>
          <w:lang w:eastAsia="zh-CN"/>
        </w:rPr>
        <w:t>深入推进财政管理改革各项工作，更好发挥财政职能作用，为</w:t>
      </w:r>
      <w:r>
        <w:rPr>
          <w:rFonts w:hint="eastAsia" w:ascii="仿宋_GB2312" w:hAnsi="仿宋_GB2312" w:cs="Times New Roman"/>
          <w:color w:val="auto"/>
          <w:spacing w:val="0"/>
          <w:kern w:val="21"/>
          <w:sz w:val="32"/>
          <w:szCs w:val="32"/>
        </w:rPr>
        <w:t>奋力谱写中国式现代化丰台篇章</w:t>
      </w:r>
      <w:r>
        <w:rPr>
          <w:rFonts w:hint="eastAsia" w:ascii="仿宋_GB2312" w:hAnsi="仿宋_GB2312" w:cs="Times New Roman"/>
          <w:color w:val="auto"/>
          <w:spacing w:val="0"/>
          <w:kern w:val="21"/>
          <w:sz w:val="32"/>
          <w:szCs w:val="32"/>
          <w:lang w:eastAsia="zh-CN"/>
        </w:rPr>
        <w:t>做出新的更大贡献！</w:t>
      </w:r>
    </w:p>
    <w:p>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ascii="仿宋_GB2312" w:hAnsi="仿宋" w:cs="Times New Roman"/>
          <w:color w:val="auto"/>
          <w:spacing w:val="0"/>
          <w:kern w:val="21"/>
          <w:sz w:val="30"/>
          <w:szCs w:val="30"/>
          <w:lang w:val="en-US" w:eastAsia="zh-CN"/>
        </w:rPr>
      </w:pPr>
      <w:r>
        <w:rPr>
          <w:rFonts w:hint="eastAsia" w:ascii="仿宋_GB2312" w:hAnsi="仿宋_GB2312" w:cs="Times New Roman"/>
          <w:color w:val="auto"/>
          <w:spacing w:val="0"/>
          <w:kern w:val="21"/>
          <w:sz w:val="32"/>
          <w:szCs w:val="32"/>
        </w:rPr>
        <w:t>以上报告，请予审议。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rPr>
          <w:rFonts w:hint="eastAsia"/>
          <w:color w:val="auto"/>
          <w:spacing w:val="0"/>
          <w:kern w:val="21"/>
          <w:lang w:eastAsia="zh-CN"/>
        </w:rPr>
      </w:pPr>
    </w:p>
    <w:p>
      <w:pPr>
        <w:rPr>
          <w:rFonts w:hint="eastAsia" w:ascii="仿宋_GB2312" w:hAnsi="仿宋_GB2312" w:cs="Times New Roman"/>
          <w:color w:val="auto"/>
          <w:spacing w:val="0"/>
          <w:kern w:val="21"/>
        </w:rPr>
      </w:pPr>
      <w:r>
        <w:rPr>
          <w:rFonts w:hint="eastAsia" w:ascii="仿宋_GB2312" w:hAnsi="仿宋_GB2312" w:cs="Times New Roman"/>
          <w:color w:val="auto"/>
          <w:spacing w:val="0"/>
          <w:kern w:val="21"/>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rPr>
          <w:rFonts w:ascii="宋体" w:hAnsi="仿宋_GB2312" w:cs="Times New Roman"/>
          <w:b/>
          <w:snapToGrid w:val="0"/>
          <w:color w:val="auto"/>
          <w:spacing w:val="0"/>
          <w:kern w:val="21"/>
          <w:sz w:val="32"/>
          <w:szCs w:val="32"/>
        </w:rPr>
      </w:pPr>
      <w:r>
        <w:rPr>
          <w:rFonts w:hint="eastAsia" w:ascii="宋体" w:hAnsi="宋体" w:cs="Times New Roman"/>
          <w:b/>
          <w:snapToGrid w:val="0"/>
          <w:color w:val="auto"/>
          <w:spacing w:val="0"/>
          <w:kern w:val="21"/>
          <w:sz w:val="32"/>
          <w:szCs w:val="32"/>
        </w:rPr>
        <w:t>名 词 解 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eastAsia" w:ascii="仿宋_GB2312" w:hAnsi="仿宋" w:eastAsia="仿宋_GB2312" w:cs="Times New Roman"/>
          <w:color w:val="auto"/>
          <w:spacing w:val="0"/>
          <w:kern w:val="21"/>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预算：指遵循统筹兼顾、勤俭节约、量力而行、讲求绩效和收支平衡的原则编制，经法定程序审核批准的国家年度集中性财政收支计划。政府的全部收入和支出都应当纳入预算，地方各级预算一般不列赤字。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一般公共预算：对以税收为主体的财政收入，安排用于保障和改善民生、推动经济社会发展、维护国家安全、维持国家机构正常运转等方面的收支预算。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国有资本经营预算：对国有资本收益作为支出安排的收支预算。国有资本经营预算应当按照收支平衡的原则编制，不列赤字，并安排资金调入一般公共预算。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预算稳定调节基金：指财政通过超收收入和支出预算结余安排的具有储备性质的基金，视预算平衡情况，在安排下年度预算时调入并安排使用，或用于弥补短收年份预算执行的收支缺口。预算稳定调节基金的安排使用接受本级人大及其常委会监督。</w:t>
      </w:r>
    </w:p>
    <w:p>
      <w:pPr>
        <w:keepNext w:val="0"/>
        <w:keepLines w:val="0"/>
        <w:pageBreakBefore w:val="0"/>
        <w:widowControl w:val="0"/>
        <w:tabs>
          <w:tab w:val="left" w:pos="2043"/>
        </w:tabs>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keepNext w:val="0"/>
        <w:keepLines w:val="0"/>
        <w:pageBreakBefore w:val="0"/>
        <w:widowControl w:val="0"/>
        <w:tabs>
          <w:tab w:val="left" w:pos="2043"/>
        </w:tabs>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结余资金：指当年预算已执行但工作目标未完成，或者因故</w:t>
      </w:r>
      <w:r>
        <w:rPr>
          <w:rFonts w:hint="eastAsia" w:ascii="仿宋_GB2312" w:hAnsi="仿宋" w:cs="Times New Roman"/>
          <w:color w:val="auto"/>
          <w:spacing w:val="0"/>
          <w:kern w:val="21"/>
          <w:sz w:val="30"/>
          <w:szCs w:val="30"/>
          <w:lang w:eastAsia="zh-CN"/>
        </w:rPr>
        <w:t>终止，当年剩余的财政资金</w:t>
      </w:r>
      <w:r>
        <w:rPr>
          <w:rFonts w:hint="eastAsia" w:ascii="仿宋_GB2312" w:hAnsi="仿宋" w:eastAsia="仿宋_GB2312" w:cs="Times New Roman"/>
          <w:color w:val="auto"/>
          <w:spacing w:val="0"/>
          <w:kern w:val="21"/>
          <w:sz w:val="30"/>
          <w:szCs w:val="30"/>
        </w:rPr>
        <w:t>。</w:t>
      </w:r>
    </w:p>
    <w:p>
      <w:pPr>
        <w:keepNext w:val="0"/>
        <w:keepLines w:val="0"/>
        <w:pageBreakBefore w:val="0"/>
        <w:widowControl w:val="0"/>
        <w:tabs>
          <w:tab w:val="left" w:pos="2043"/>
        </w:tabs>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上解支出：指下级政府按照有关法律法规及财政体制规定，按照一定标准和计算方法测算，上交上级政府，并由上级政府统筹安排的资金。</w:t>
      </w:r>
    </w:p>
    <w:p>
      <w:pPr>
        <w:keepNext w:val="0"/>
        <w:keepLines w:val="0"/>
        <w:pageBreakBefore w:val="0"/>
        <w:widowControl w:val="0"/>
        <w:tabs>
          <w:tab w:val="left" w:pos="2043"/>
        </w:tabs>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调入（出）资金：指不同性质资金之间的调入（出）。</w:t>
      </w:r>
    </w:p>
    <w:p>
      <w:pPr>
        <w:keepNext w:val="0"/>
        <w:keepLines w:val="0"/>
        <w:pageBreakBefore w:val="0"/>
        <w:widowControl w:val="0"/>
        <w:tabs>
          <w:tab w:val="left" w:pos="2043"/>
        </w:tabs>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预备费：指用于当年预算执行中的自然灾害等突发事件处理增加的支出及其他难以预见的开支。按照新预算法要求，一般公共预算应当按照本级一般公共预算支出额的百分之一至百分之三设置预备费。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政府债务：指需由财政资金偿还的债务，分为一般债务和专项债务。其中，一般债务是指为没有收益的公益性事业发展举借的、主要以一般公共预算资金偿还的政府债务;专项债务是指为有一定收益的公益性事业发展举借的、主要以对应的政府性基金预算资金或专项收入偿还的政府债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val="en-US" w:eastAsia="zh-CN"/>
        </w:rPr>
      </w:pPr>
      <w:r>
        <w:rPr>
          <w:rFonts w:hint="eastAsia" w:ascii="仿宋_GB2312" w:hAnsi="仿宋" w:eastAsia="仿宋_GB2312" w:cs="Times New Roman"/>
          <w:color w:val="auto"/>
          <w:spacing w:val="0"/>
          <w:kern w:val="21"/>
          <w:sz w:val="30"/>
          <w:szCs w:val="30"/>
          <w:lang w:val="en-US" w:eastAsia="zh-CN"/>
        </w:rPr>
        <w:t>政府采购：</w:t>
      </w:r>
      <w:r>
        <w:rPr>
          <w:rFonts w:hint="eastAsia" w:ascii="仿宋_GB2312" w:hAnsi="仿宋" w:cs="Times New Roman"/>
          <w:color w:val="auto"/>
          <w:spacing w:val="0"/>
          <w:kern w:val="21"/>
          <w:sz w:val="30"/>
          <w:szCs w:val="30"/>
          <w:lang w:val="en-US" w:eastAsia="zh-CN"/>
        </w:rPr>
        <w:t>指</w:t>
      </w:r>
      <w:r>
        <w:rPr>
          <w:rFonts w:hint="eastAsia" w:ascii="仿宋_GB2312" w:hAnsi="仿宋" w:eastAsia="仿宋_GB2312" w:cs="Times New Roman"/>
          <w:color w:val="auto"/>
          <w:spacing w:val="0"/>
          <w:kern w:val="21"/>
          <w:sz w:val="30"/>
          <w:szCs w:val="30"/>
          <w:lang w:val="en-US" w:eastAsia="zh-CN"/>
        </w:rPr>
        <w:t>各级国家机关、事业单位和团体组织,使用财政性资金采购依法制定的集中采购目录以内的,或者采购限额标准以上的货物、工程和服务的行为,是规范财政支出管理和强化预算约束的有效措施。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rPr>
      </w:pPr>
      <w:r>
        <w:rPr>
          <w:rFonts w:hint="eastAsia" w:ascii="仿宋_GB2312" w:hAnsi="仿宋" w:eastAsia="仿宋_GB2312" w:cs="Times New Roman"/>
          <w:color w:val="auto"/>
          <w:spacing w:val="0"/>
          <w:kern w:val="21"/>
          <w:sz w:val="30"/>
          <w:szCs w:val="30"/>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eastAsia="zh-CN"/>
        </w:rPr>
      </w:pPr>
      <w:r>
        <w:rPr>
          <w:rFonts w:hint="eastAsia" w:ascii="仿宋_GB2312" w:hAnsi="仿宋" w:eastAsia="仿宋_GB2312" w:cs="Times New Roman"/>
          <w:color w:val="auto"/>
          <w:spacing w:val="0"/>
          <w:kern w:val="21"/>
          <w:sz w:val="30"/>
          <w:szCs w:val="30"/>
          <w:lang w:eastAsia="zh-CN"/>
        </w:rPr>
        <w:t>“三保”支出：指保基本民生、保工资、保运转支出。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eastAsia="zh-CN"/>
        </w:rPr>
      </w:pPr>
      <w:r>
        <w:rPr>
          <w:rFonts w:hint="eastAsia" w:ascii="仿宋_GB2312" w:hAnsi="仿宋" w:eastAsia="仿宋_GB2312" w:cs="Times New Roman"/>
          <w:color w:val="auto"/>
          <w:spacing w:val="0"/>
          <w:kern w:val="21"/>
          <w:sz w:val="30"/>
          <w:szCs w:val="30"/>
          <w:lang w:eastAsia="zh-CN"/>
        </w:rPr>
        <w:t>“两重”“两新”：</w:t>
      </w:r>
      <w:r>
        <w:rPr>
          <w:rFonts w:hint="eastAsia" w:ascii="仿宋_GB2312" w:hAnsi="仿宋" w:cs="Times New Roman"/>
          <w:color w:val="auto"/>
          <w:spacing w:val="0"/>
          <w:kern w:val="21"/>
          <w:sz w:val="30"/>
          <w:szCs w:val="30"/>
          <w:lang w:eastAsia="zh-CN"/>
        </w:rPr>
        <w:t>指</w:t>
      </w:r>
      <w:r>
        <w:rPr>
          <w:rFonts w:hint="eastAsia" w:ascii="仿宋_GB2312" w:hAnsi="仿宋" w:eastAsia="仿宋_GB2312" w:cs="Times New Roman"/>
          <w:color w:val="auto"/>
          <w:spacing w:val="0"/>
          <w:kern w:val="21"/>
          <w:sz w:val="30"/>
          <w:szCs w:val="30"/>
          <w:lang w:eastAsia="zh-CN"/>
        </w:rPr>
        <w:t>超长期特别国债资金专项</w:t>
      </w:r>
      <w:r>
        <w:rPr>
          <w:rFonts w:hint="eastAsia" w:ascii="仿宋_GB2312" w:hAnsi="仿宋" w:cs="Times New Roman"/>
          <w:color w:val="auto"/>
          <w:spacing w:val="0"/>
          <w:kern w:val="21"/>
          <w:sz w:val="30"/>
          <w:szCs w:val="30"/>
          <w:lang w:eastAsia="zh-CN"/>
        </w:rPr>
        <w:t>支持</w:t>
      </w:r>
      <w:r>
        <w:rPr>
          <w:rFonts w:hint="eastAsia" w:ascii="仿宋_GB2312" w:hAnsi="仿宋" w:eastAsia="仿宋_GB2312" w:cs="Times New Roman"/>
          <w:color w:val="auto"/>
          <w:spacing w:val="0"/>
          <w:kern w:val="21"/>
          <w:sz w:val="30"/>
          <w:szCs w:val="30"/>
          <w:lang w:eastAsia="zh-CN"/>
        </w:rPr>
        <w:t>领域，其中“两重”指支持国家重大战略和重点领域安全能力建设、“两新”指推动大规模设备更新和消费品以旧换新。</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val="en-US" w:eastAsia="zh-CN"/>
        </w:rPr>
      </w:pPr>
      <w:r>
        <w:rPr>
          <w:rFonts w:hint="eastAsia" w:ascii="仿宋_GB2312" w:hAnsi="仿宋" w:eastAsia="仿宋_GB2312" w:cs="Times New Roman"/>
          <w:color w:val="auto"/>
          <w:spacing w:val="0"/>
          <w:kern w:val="21"/>
          <w:sz w:val="30"/>
          <w:szCs w:val="30"/>
          <w:lang w:val="en-US" w:eastAsia="zh-CN"/>
        </w:rPr>
        <w:t>“一微克”行动：指北京大气污染防治的长期任务,强调细颗粒物治理要一个微克一个微克去抠,综合运用科技、执法、管理等手段,实施大气污染精准治理。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val="en-US" w:eastAsia="zh-CN"/>
        </w:rPr>
      </w:pPr>
      <w:r>
        <w:rPr>
          <w:rFonts w:hint="eastAsia" w:ascii="仿宋_GB2312" w:hAnsi="仿宋" w:eastAsia="仿宋_GB2312" w:cs="Times New Roman"/>
          <w:color w:val="auto"/>
          <w:spacing w:val="0"/>
          <w:kern w:val="21"/>
          <w:sz w:val="30"/>
          <w:szCs w:val="30"/>
          <w:lang w:val="en-US" w:eastAsia="zh-CN"/>
        </w:rPr>
        <w:t>“三水”统筹：统筹水资源、水环境、水生态治理</w:t>
      </w:r>
    </w:p>
    <w:p>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firstLine="600" w:firstLineChars="200"/>
        <w:rPr>
          <w:rFonts w:hint="eastAsia" w:ascii="仿宋_GB2312" w:hAnsi="仿宋" w:eastAsia="仿宋_GB2312" w:cs="Times New Roman"/>
          <w:color w:val="auto"/>
          <w:spacing w:val="0"/>
          <w:kern w:val="21"/>
          <w:sz w:val="30"/>
          <w:szCs w:val="30"/>
          <w:lang w:val="en-US" w:eastAsia="zh-CN" w:bidi="ar-SA"/>
        </w:rPr>
      </w:pPr>
      <w:r>
        <w:rPr>
          <w:rFonts w:hint="eastAsia" w:ascii="仿宋_GB2312" w:hAnsi="仿宋" w:eastAsia="仿宋_GB2312" w:cs="Times New Roman"/>
          <w:color w:val="auto"/>
          <w:spacing w:val="0"/>
          <w:kern w:val="21"/>
          <w:sz w:val="30"/>
          <w:szCs w:val="30"/>
          <w:lang w:val="en-US" w:eastAsia="zh-CN" w:bidi="ar-SA"/>
        </w:rPr>
        <w:t>“两园一河”：首钢园、园博园、永定河</w:t>
      </w:r>
    </w:p>
    <w:p>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firstLine="600" w:firstLineChars="200"/>
        <w:rPr>
          <w:rFonts w:hint="eastAsia" w:ascii="仿宋_GB2312" w:hAnsi="仿宋" w:cs="Times New Roman"/>
          <w:color w:val="auto"/>
          <w:spacing w:val="0"/>
          <w:kern w:val="21"/>
          <w:sz w:val="30"/>
          <w:szCs w:val="30"/>
          <w:lang w:val="en-US" w:eastAsia="zh-CN"/>
        </w:rPr>
      </w:pPr>
      <w:r>
        <w:rPr>
          <w:rFonts w:hint="eastAsia" w:ascii="仿宋_GB2312" w:hAnsi="仿宋" w:cs="Times New Roman"/>
          <w:color w:val="auto"/>
          <w:spacing w:val="0"/>
          <w:kern w:val="21"/>
          <w:sz w:val="30"/>
          <w:szCs w:val="30"/>
          <w:lang w:val="en-US" w:eastAsia="zh-CN"/>
        </w:rPr>
        <w:t>绩效管理“1+4+N</w:t>
      </w:r>
      <w:r>
        <w:rPr>
          <w:rFonts w:hint="default" w:ascii="仿宋_GB2312" w:hAnsi="仿宋" w:cs="Times New Roman"/>
          <w:color w:val="auto"/>
          <w:spacing w:val="0"/>
          <w:kern w:val="21"/>
          <w:sz w:val="30"/>
          <w:szCs w:val="30"/>
          <w:lang w:val="en-US" w:eastAsia="zh-CN"/>
        </w:rPr>
        <w:t>”</w:t>
      </w:r>
      <w:r>
        <w:rPr>
          <w:rFonts w:hint="eastAsia" w:ascii="仿宋_GB2312" w:hAnsi="仿宋" w:cs="Times New Roman"/>
          <w:color w:val="auto"/>
          <w:spacing w:val="0"/>
          <w:kern w:val="21"/>
          <w:sz w:val="30"/>
          <w:szCs w:val="30"/>
          <w:lang w:val="en-US" w:eastAsia="zh-CN"/>
        </w:rPr>
        <w:t>体系:“1”为一个纲领，即《丰台区预算绩效管理办法（丰财绩效〔2020〕374号）》，“4”为四个基本制度，围绕绩效目标、事前绩效评估、运行监控和绩效评价等四个预算绩效管理业务重点，建立明确管理办法；“N”为绩效管理相关工作规范。</w:t>
      </w:r>
    </w:p>
    <w:p>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firstLine="600" w:firstLineChars="200"/>
        <w:rPr>
          <w:rFonts w:hint="eastAsia" w:ascii="仿宋_GB2312" w:hAnsi="仿宋" w:cs="Times New Roman"/>
          <w:color w:val="auto"/>
          <w:spacing w:val="0"/>
          <w:kern w:val="21"/>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rPr>
          <w:rFonts w:hint="eastAsia" w:ascii="仿宋_GB2312" w:hAnsi="仿宋" w:eastAsia="仿宋_GB2312" w:cs="Times New Roman"/>
          <w:color w:val="auto"/>
          <w:spacing w:val="0"/>
          <w:kern w:val="21"/>
          <w:sz w:val="30"/>
          <w:szCs w:val="30"/>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rPr>
          <w:rFonts w:hint="eastAsia"/>
          <w:spacing w:val="0"/>
          <w:kern w:val="21"/>
          <w:lang w:eastAsia="zh-CN"/>
        </w:rPr>
      </w:pPr>
    </w:p>
    <w:p>
      <w:pPr>
        <w:pStyle w:val="2"/>
        <w:rPr>
          <w:rFonts w:hint="eastAsi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FangSong_GB2312">
    <w:altName w:val="仿宋_GB2312"/>
    <w:panose1 w:val="00000000000000000000"/>
    <w:charset w:val="86"/>
    <w:family w:val="swiss"/>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D7B86"/>
    <w:rsid w:val="006C3103"/>
    <w:rsid w:val="011577B1"/>
    <w:rsid w:val="01475944"/>
    <w:rsid w:val="01974E29"/>
    <w:rsid w:val="01AA39E2"/>
    <w:rsid w:val="01C90F8B"/>
    <w:rsid w:val="01D200C8"/>
    <w:rsid w:val="025D77C6"/>
    <w:rsid w:val="029F6D17"/>
    <w:rsid w:val="02B84150"/>
    <w:rsid w:val="0308739C"/>
    <w:rsid w:val="03862565"/>
    <w:rsid w:val="043166F3"/>
    <w:rsid w:val="04CA0A0E"/>
    <w:rsid w:val="04DD0D27"/>
    <w:rsid w:val="050A48F3"/>
    <w:rsid w:val="050F3D3E"/>
    <w:rsid w:val="052358CC"/>
    <w:rsid w:val="058F3C95"/>
    <w:rsid w:val="0643284C"/>
    <w:rsid w:val="0654446B"/>
    <w:rsid w:val="06587E39"/>
    <w:rsid w:val="06F67FF7"/>
    <w:rsid w:val="076F58C7"/>
    <w:rsid w:val="07891D86"/>
    <w:rsid w:val="07C35693"/>
    <w:rsid w:val="07E13AA3"/>
    <w:rsid w:val="07F533ED"/>
    <w:rsid w:val="08144E51"/>
    <w:rsid w:val="08752E66"/>
    <w:rsid w:val="08A717A1"/>
    <w:rsid w:val="08BB5C10"/>
    <w:rsid w:val="08BB7EF2"/>
    <w:rsid w:val="08D7097D"/>
    <w:rsid w:val="08E2677F"/>
    <w:rsid w:val="093B48F6"/>
    <w:rsid w:val="097F3723"/>
    <w:rsid w:val="09F96FF0"/>
    <w:rsid w:val="0A12294C"/>
    <w:rsid w:val="0A8E4FC9"/>
    <w:rsid w:val="0A9C359C"/>
    <w:rsid w:val="0B9F5E91"/>
    <w:rsid w:val="0BAB4236"/>
    <w:rsid w:val="0C2E0578"/>
    <w:rsid w:val="0C9D5444"/>
    <w:rsid w:val="0CC16738"/>
    <w:rsid w:val="0CD2379C"/>
    <w:rsid w:val="0D577CF4"/>
    <w:rsid w:val="0D771F95"/>
    <w:rsid w:val="0DAE3573"/>
    <w:rsid w:val="0DBA1B0E"/>
    <w:rsid w:val="0DC53579"/>
    <w:rsid w:val="0DE47392"/>
    <w:rsid w:val="0E335467"/>
    <w:rsid w:val="0E6A164E"/>
    <w:rsid w:val="0E8519E9"/>
    <w:rsid w:val="0EED2B77"/>
    <w:rsid w:val="0F3E7419"/>
    <w:rsid w:val="0F7C03F5"/>
    <w:rsid w:val="0FCE7010"/>
    <w:rsid w:val="0FE10A99"/>
    <w:rsid w:val="102E3DF1"/>
    <w:rsid w:val="104A26D3"/>
    <w:rsid w:val="108E10D2"/>
    <w:rsid w:val="10E667CB"/>
    <w:rsid w:val="11915199"/>
    <w:rsid w:val="11C265E4"/>
    <w:rsid w:val="11F04DD7"/>
    <w:rsid w:val="11F922B3"/>
    <w:rsid w:val="121121A0"/>
    <w:rsid w:val="124F6513"/>
    <w:rsid w:val="12806483"/>
    <w:rsid w:val="13326C93"/>
    <w:rsid w:val="13FF351A"/>
    <w:rsid w:val="142E046D"/>
    <w:rsid w:val="14E4653E"/>
    <w:rsid w:val="15436659"/>
    <w:rsid w:val="154E287E"/>
    <w:rsid w:val="15852EC2"/>
    <w:rsid w:val="15B86B7D"/>
    <w:rsid w:val="15BC1E3E"/>
    <w:rsid w:val="15F36CE4"/>
    <w:rsid w:val="16106B3A"/>
    <w:rsid w:val="16204081"/>
    <w:rsid w:val="1678600F"/>
    <w:rsid w:val="16BC2DA5"/>
    <w:rsid w:val="17AE6ED6"/>
    <w:rsid w:val="18267320"/>
    <w:rsid w:val="185C7703"/>
    <w:rsid w:val="18783D1B"/>
    <w:rsid w:val="189813EF"/>
    <w:rsid w:val="19674818"/>
    <w:rsid w:val="19745262"/>
    <w:rsid w:val="19930A22"/>
    <w:rsid w:val="19A65005"/>
    <w:rsid w:val="19BA4E75"/>
    <w:rsid w:val="19C524BC"/>
    <w:rsid w:val="19D6158F"/>
    <w:rsid w:val="19ED70E0"/>
    <w:rsid w:val="19F37D51"/>
    <w:rsid w:val="1AD606D8"/>
    <w:rsid w:val="1C94676B"/>
    <w:rsid w:val="1CA16726"/>
    <w:rsid w:val="1CB61F07"/>
    <w:rsid w:val="1CDD1F31"/>
    <w:rsid w:val="1D562A6B"/>
    <w:rsid w:val="1D565C75"/>
    <w:rsid w:val="1DA119B5"/>
    <w:rsid w:val="1DD44503"/>
    <w:rsid w:val="1E093B97"/>
    <w:rsid w:val="1E0A15D0"/>
    <w:rsid w:val="1E160B39"/>
    <w:rsid w:val="1E2D113F"/>
    <w:rsid w:val="1E2D60A3"/>
    <w:rsid w:val="1E3E230B"/>
    <w:rsid w:val="1E405469"/>
    <w:rsid w:val="1E9D6674"/>
    <w:rsid w:val="1EB053D7"/>
    <w:rsid w:val="1EC37EA9"/>
    <w:rsid w:val="1F0305D7"/>
    <w:rsid w:val="1F405C53"/>
    <w:rsid w:val="1F56543A"/>
    <w:rsid w:val="1FA06BC2"/>
    <w:rsid w:val="1FB6321F"/>
    <w:rsid w:val="1FBA74C1"/>
    <w:rsid w:val="20536BAD"/>
    <w:rsid w:val="208C7796"/>
    <w:rsid w:val="20CC696E"/>
    <w:rsid w:val="20D54C25"/>
    <w:rsid w:val="20DA7E56"/>
    <w:rsid w:val="212D3D96"/>
    <w:rsid w:val="218E5DBD"/>
    <w:rsid w:val="21AB704B"/>
    <w:rsid w:val="21FF1D0E"/>
    <w:rsid w:val="227962A4"/>
    <w:rsid w:val="22915F1D"/>
    <w:rsid w:val="22B972BB"/>
    <w:rsid w:val="23190127"/>
    <w:rsid w:val="23206DE1"/>
    <w:rsid w:val="241969A2"/>
    <w:rsid w:val="243F7C4B"/>
    <w:rsid w:val="245B0C27"/>
    <w:rsid w:val="247240FE"/>
    <w:rsid w:val="24A2352F"/>
    <w:rsid w:val="251C410C"/>
    <w:rsid w:val="25BF4403"/>
    <w:rsid w:val="25F11385"/>
    <w:rsid w:val="260E1CCD"/>
    <w:rsid w:val="263C2AAA"/>
    <w:rsid w:val="27240BF9"/>
    <w:rsid w:val="279D6DB3"/>
    <w:rsid w:val="27B974E9"/>
    <w:rsid w:val="27BE6382"/>
    <w:rsid w:val="27DA334F"/>
    <w:rsid w:val="280E1634"/>
    <w:rsid w:val="28B175D4"/>
    <w:rsid w:val="29712A24"/>
    <w:rsid w:val="29980C13"/>
    <w:rsid w:val="29F27047"/>
    <w:rsid w:val="2A391484"/>
    <w:rsid w:val="2A682017"/>
    <w:rsid w:val="2AB06BEC"/>
    <w:rsid w:val="2AD36C4C"/>
    <w:rsid w:val="2B0769F3"/>
    <w:rsid w:val="2B1C1CCF"/>
    <w:rsid w:val="2B3101F9"/>
    <w:rsid w:val="2BA06384"/>
    <w:rsid w:val="2BA510D8"/>
    <w:rsid w:val="2C1B47E9"/>
    <w:rsid w:val="2C716F82"/>
    <w:rsid w:val="2C797DE5"/>
    <w:rsid w:val="2C8A7408"/>
    <w:rsid w:val="2CB252C3"/>
    <w:rsid w:val="2CD17375"/>
    <w:rsid w:val="2CE13A74"/>
    <w:rsid w:val="2DA46031"/>
    <w:rsid w:val="2DB13DAC"/>
    <w:rsid w:val="2DE77865"/>
    <w:rsid w:val="2E135E5F"/>
    <w:rsid w:val="2EB97152"/>
    <w:rsid w:val="2EBA1E5C"/>
    <w:rsid w:val="2ED74ABC"/>
    <w:rsid w:val="2F8D0597"/>
    <w:rsid w:val="2FAD39F4"/>
    <w:rsid w:val="2FDC1646"/>
    <w:rsid w:val="30240D98"/>
    <w:rsid w:val="302D5B75"/>
    <w:rsid w:val="30FE5F78"/>
    <w:rsid w:val="318B0D52"/>
    <w:rsid w:val="319F24D5"/>
    <w:rsid w:val="31B3266D"/>
    <w:rsid w:val="31CC32D2"/>
    <w:rsid w:val="31D1676C"/>
    <w:rsid w:val="321331E6"/>
    <w:rsid w:val="32520C51"/>
    <w:rsid w:val="32FF43D9"/>
    <w:rsid w:val="331B20CC"/>
    <w:rsid w:val="335A4C4B"/>
    <w:rsid w:val="33684A40"/>
    <w:rsid w:val="33CE04E0"/>
    <w:rsid w:val="343F018F"/>
    <w:rsid w:val="34642979"/>
    <w:rsid w:val="353A3AB8"/>
    <w:rsid w:val="3582274F"/>
    <w:rsid w:val="36672A09"/>
    <w:rsid w:val="366C6FB2"/>
    <w:rsid w:val="36E57D91"/>
    <w:rsid w:val="37E04759"/>
    <w:rsid w:val="382716DB"/>
    <w:rsid w:val="382F32B8"/>
    <w:rsid w:val="38412E41"/>
    <w:rsid w:val="38820B5D"/>
    <w:rsid w:val="38F559C8"/>
    <w:rsid w:val="392A4D42"/>
    <w:rsid w:val="394A47C5"/>
    <w:rsid w:val="398900EE"/>
    <w:rsid w:val="399A39BF"/>
    <w:rsid w:val="399A4355"/>
    <w:rsid w:val="39C359FB"/>
    <w:rsid w:val="39CD1484"/>
    <w:rsid w:val="3A1B4956"/>
    <w:rsid w:val="3AA03950"/>
    <w:rsid w:val="3B1E08B7"/>
    <w:rsid w:val="3B3C7D4D"/>
    <w:rsid w:val="3B942A29"/>
    <w:rsid w:val="3BC43A21"/>
    <w:rsid w:val="3C691D03"/>
    <w:rsid w:val="3CB27CC1"/>
    <w:rsid w:val="3D1C7186"/>
    <w:rsid w:val="3D480F12"/>
    <w:rsid w:val="3D9B5309"/>
    <w:rsid w:val="3E0248DE"/>
    <w:rsid w:val="3E180CF2"/>
    <w:rsid w:val="3E357390"/>
    <w:rsid w:val="3E605511"/>
    <w:rsid w:val="3E6B2FFD"/>
    <w:rsid w:val="3EA2547A"/>
    <w:rsid w:val="3ED7578A"/>
    <w:rsid w:val="3F0F44B5"/>
    <w:rsid w:val="3F3F513A"/>
    <w:rsid w:val="3F7565F7"/>
    <w:rsid w:val="3FE27F05"/>
    <w:rsid w:val="407B56EC"/>
    <w:rsid w:val="409B5E37"/>
    <w:rsid w:val="40CA2883"/>
    <w:rsid w:val="4187131E"/>
    <w:rsid w:val="41EB1F0E"/>
    <w:rsid w:val="41F7020C"/>
    <w:rsid w:val="41FA0DA6"/>
    <w:rsid w:val="41FD52DF"/>
    <w:rsid w:val="422D6B31"/>
    <w:rsid w:val="42455077"/>
    <w:rsid w:val="42586F13"/>
    <w:rsid w:val="42847C42"/>
    <w:rsid w:val="42E670E7"/>
    <w:rsid w:val="430F0A52"/>
    <w:rsid w:val="432731F8"/>
    <w:rsid w:val="432F57AB"/>
    <w:rsid w:val="434A2D70"/>
    <w:rsid w:val="43573A1A"/>
    <w:rsid w:val="43904832"/>
    <w:rsid w:val="441D02EA"/>
    <w:rsid w:val="44227C4E"/>
    <w:rsid w:val="444B7E36"/>
    <w:rsid w:val="44771680"/>
    <w:rsid w:val="44807647"/>
    <w:rsid w:val="44AA1C48"/>
    <w:rsid w:val="44C21A38"/>
    <w:rsid w:val="455609F6"/>
    <w:rsid w:val="456B6381"/>
    <w:rsid w:val="45F2714D"/>
    <w:rsid w:val="462C4786"/>
    <w:rsid w:val="464D6259"/>
    <w:rsid w:val="466539C0"/>
    <w:rsid w:val="467256AA"/>
    <w:rsid w:val="47632339"/>
    <w:rsid w:val="47720D6F"/>
    <w:rsid w:val="48310421"/>
    <w:rsid w:val="48762730"/>
    <w:rsid w:val="48B87A3D"/>
    <w:rsid w:val="48EC463F"/>
    <w:rsid w:val="491F0B0F"/>
    <w:rsid w:val="493852E8"/>
    <w:rsid w:val="49A56DBA"/>
    <w:rsid w:val="49C64818"/>
    <w:rsid w:val="49D814D9"/>
    <w:rsid w:val="49DE132D"/>
    <w:rsid w:val="49E741B9"/>
    <w:rsid w:val="49EF7428"/>
    <w:rsid w:val="4AB239B3"/>
    <w:rsid w:val="4B002406"/>
    <w:rsid w:val="4B022C60"/>
    <w:rsid w:val="4B22501B"/>
    <w:rsid w:val="4B7206A3"/>
    <w:rsid w:val="4B81374B"/>
    <w:rsid w:val="4C22645C"/>
    <w:rsid w:val="4C460439"/>
    <w:rsid w:val="4CB0522D"/>
    <w:rsid w:val="4CF150F6"/>
    <w:rsid w:val="4CFB6D39"/>
    <w:rsid w:val="4D555724"/>
    <w:rsid w:val="4D895529"/>
    <w:rsid w:val="4E3B6DFA"/>
    <w:rsid w:val="4E656B4A"/>
    <w:rsid w:val="4EBB6457"/>
    <w:rsid w:val="4F2C4CA0"/>
    <w:rsid w:val="4F2D6BBA"/>
    <w:rsid w:val="4F572A03"/>
    <w:rsid w:val="4FFC6133"/>
    <w:rsid w:val="502C5757"/>
    <w:rsid w:val="50646B05"/>
    <w:rsid w:val="50734F4E"/>
    <w:rsid w:val="507E7EEC"/>
    <w:rsid w:val="508179C1"/>
    <w:rsid w:val="51303883"/>
    <w:rsid w:val="5141089C"/>
    <w:rsid w:val="516B03E9"/>
    <w:rsid w:val="526F7A0E"/>
    <w:rsid w:val="528C3158"/>
    <w:rsid w:val="52E3187C"/>
    <w:rsid w:val="538A0417"/>
    <w:rsid w:val="53A0544C"/>
    <w:rsid w:val="53AC14CB"/>
    <w:rsid w:val="53BB777A"/>
    <w:rsid w:val="53E80B6B"/>
    <w:rsid w:val="53ED3A47"/>
    <w:rsid w:val="53FA5812"/>
    <w:rsid w:val="54071A17"/>
    <w:rsid w:val="5457071B"/>
    <w:rsid w:val="546E5BD3"/>
    <w:rsid w:val="548D77BB"/>
    <w:rsid w:val="54A260E4"/>
    <w:rsid w:val="54E165A2"/>
    <w:rsid w:val="556C118A"/>
    <w:rsid w:val="56AD67F3"/>
    <w:rsid w:val="56B3540F"/>
    <w:rsid w:val="570D6255"/>
    <w:rsid w:val="57192ED8"/>
    <w:rsid w:val="577B0192"/>
    <w:rsid w:val="577E6078"/>
    <w:rsid w:val="57A35BEA"/>
    <w:rsid w:val="57AF7729"/>
    <w:rsid w:val="5845449E"/>
    <w:rsid w:val="58BE4980"/>
    <w:rsid w:val="58F94577"/>
    <w:rsid w:val="58FD29D2"/>
    <w:rsid w:val="593C3460"/>
    <w:rsid w:val="5962129E"/>
    <w:rsid w:val="59A427E9"/>
    <w:rsid w:val="59C70D4A"/>
    <w:rsid w:val="5A0A1A88"/>
    <w:rsid w:val="5A6829C1"/>
    <w:rsid w:val="5AE73DF2"/>
    <w:rsid w:val="5AEB036B"/>
    <w:rsid w:val="5B5B0AE6"/>
    <w:rsid w:val="5BA8098B"/>
    <w:rsid w:val="5BF9149E"/>
    <w:rsid w:val="5C172E2F"/>
    <w:rsid w:val="5C556AE4"/>
    <w:rsid w:val="5C802A52"/>
    <w:rsid w:val="5C971621"/>
    <w:rsid w:val="5CBB606E"/>
    <w:rsid w:val="5D444555"/>
    <w:rsid w:val="5D4C459F"/>
    <w:rsid w:val="5D645E76"/>
    <w:rsid w:val="5D8A37A3"/>
    <w:rsid w:val="5DA013CE"/>
    <w:rsid w:val="5DB51F20"/>
    <w:rsid w:val="5E7E2122"/>
    <w:rsid w:val="5E8D0B5E"/>
    <w:rsid w:val="5E9A2F04"/>
    <w:rsid w:val="5EAA399C"/>
    <w:rsid w:val="5F1B0307"/>
    <w:rsid w:val="5F592AFC"/>
    <w:rsid w:val="5F863177"/>
    <w:rsid w:val="5F8A4337"/>
    <w:rsid w:val="5F8F0830"/>
    <w:rsid w:val="5F993727"/>
    <w:rsid w:val="5FE768E6"/>
    <w:rsid w:val="60367A61"/>
    <w:rsid w:val="60393E97"/>
    <w:rsid w:val="605E067F"/>
    <w:rsid w:val="606513EB"/>
    <w:rsid w:val="60D607A0"/>
    <w:rsid w:val="61264622"/>
    <w:rsid w:val="61CC17E6"/>
    <w:rsid w:val="61CF6B65"/>
    <w:rsid w:val="62231F71"/>
    <w:rsid w:val="623D26EA"/>
    <w:rsid w:val="630E383F"/>
    <w:rsid w:val="63153071"/>
    <w:rsid w:val="634F43EE"/>
    <w:rsid w:val="6382595B"/>
    <w:rsid w:val="63B058EF"/>
    <w:rsid w:val="63BE5677"/>
    <w:rsid w:val="640C400B"/>
    <w:rsid w:val="64102DCE"/>
    <w:rsid w:val="64226CFE"/>
    <w:rsid w:val="643D49A8"/>
    <w:rsid w:val="646F05A5"/>
    <w:rsid w:val="64DA459F"/>
    <w:rsid w:val="65C13CC9"/>
    <w:rsid w:val="65DE0740"/>
    <w:rsid w:val="6662608C"/>
    <w:rsid w:val="668E76AC"/>
    <w:rsid w:val="6690374C"/>
    <w:rsid w:val="66E11A37"/>
    <w:rsid w:val="6741382C"/>
    <w:rsid w:val="67861A47"/>
    <w:rsid w:val="678B2ED0"/>
    <w:rsid w:val="67F6624B"/>
    <w:rsid w:val="68080BCA"/>
    <w:rsid w:val="68205A72"/>
    <w:rsid w:val="68682408"/>
    <w:rsid w:val="692B5C03"/>
    <w:rsid w:val="69CB6D45"/>
    <w:rsid w:val="69ED3793"/>
    <w:rsid w:val="6A48002D"/>
    <w:rsid w:val="6A671353"/>
    <w:rsid w:val="6A8D006B"/>
    <w:rsid w:val="6B4A2EA8"/>
    <w:rsid w:val="6B931B6F"/>
    <w:rsid w:val="6BA21FFB"/>
    <w:rsid w:val="6BBC6666"/>
    <w:rsid w:val="6BD67F72"/>
    <w:rsid w:val="6C0913BF"/>
    <w:rsid w:val="6C825D3E"/>
    <w:rsid w:val="6C86672E"/>
    <w:rsid w:val="6CD0430F"/>
    <w:rsid w:val="6D3B3C92"/>
    <w:rsid w:val="6E00764B"/>
    <w:rsid w:val="6E5214B7"/>
    <w:rsid w:val="6EAB0352"/>
    <w:rsid w:val="6F8E3713"/>
    <w:rsid w:val="702D6B2B"/>
    <w:rsid w:val="709F1B1A"/>
    <w:rsid w:val="70DB252B"/>
    <w:rsid w:val="70E1633F"/>
    <w:rsid w:val="710C4CEF"/>
    <w:rsid w:val="71540234"/>
    <w:rsid w:val="716F08D3"/>
    <w:rsid w:val="71885748"/>
    <w:rsid w:val="7190126F"/>
    <w:rsid w:val="71917847"/>
    <w:rsid w:val="71940AC8"/>
    <w:rsid w:val="71AA5767"/>
    <w:rsid w:val="71AD3657"/>
    <w:rsid w:val="723642E5"/>
    <w:rsid w:val="72962D6C"/>
    <w:rsid w:val="72E16B14"/>
    <w:rsid w:val="72E64EE4"/>
    <w:rsid w:val="72F4575C"/>
    <w:rsid w:val="72F47146"/>
    <w:rsid w:val="74603313"/>
    <w:rsid w:val="7492743B"/>
    <w:rsid w:val="74EE1198"/>
    <w:rsid w:val="759445B6"/>
    <w:rsid w:val="75B22FE7"/>
    <w:rsid w:val="75EB5A98"/>
    <w:rsid w:val="75EE329E"/>
    <w:rsid w:val="763E2975"/>
    <w:rsid w:val="76A40908"/>
    <w:rsid w:val="76B6532C"/>
    <w:rsid w:val="76D55847"/>
    <w:rsid w:val="773059EF"/>
    <w:rsid w:val="775268CD"/>
    <w:rsid w:val="778F4D89"/>
    <w:rsid w:val="77DF2E21"/>
    <w:rsid w:val="780B0C09"/>
    <w:rsid w:val="780F680C"/>
    <w:rsid w:val="7810568D"/>
    <w:rsid w:val="78201AFE"/>
    <w:rsid w:val="78736DF9"/>
    <w:rsid w:val="78AD01C2"/>
    <w:rsid w:val="78D11B74"/>
    <w:rsid w:val="78F456DE"/>
    <w:rsid w:val="79881325"/>
    <w:rsid w:val="798B1CAB"/>
    <w:rsid w:val="79CE0F15"/>
    <w:rsid w:val="7A3077D4"/>
    <w:rsid w:val="7A5D029B"/>
    <w:rsid w:val="7A804ABD"/>
    <w:rsid w:val="7AC32200"/>
    <w:rsid w:val="7AD54E29"/>
    <w:rsid w:val="7B2C6C52"/>
    <w:rsid w:val="7B3952D0"/>
    <w:rsid w:val="7B4307C6"/>
    <w:rsid w:val="7BB97FE9"/>
    <w:rsid w:val="7BC74FBD"/>
    <w:rsid w:val="7C246F35"/>
    <w:rsid w:val="7C5855BA"/>
    <w:rsid w:val="7CA56368"/>
    <w:rsid w:val="7D566BEF"/>
    <w:rsid w:val="7DCE6389"/>
    <w:rsid w:val="7DCF3B9D"/>
    <w:rsid w:val="7E227FE1"/>
    <w:rsid w:val="7E3139AF"/>
    <w:rsid w:val="7E642418"/>
    <w:rsid w:val="7E851104"/>
    <w:rsid w:val="7E987D76"/>
    <w:rsid w:val="7EA078E5"/>
    <w:rsid w:val="7EC71462"/>
    <w:rsid w:val="7ED03D39"/>
    <w:rsid w:val="7EEF63E6"/>
    <w:rsid w:val="7F001DF6"/>
    <w:rsid w:val="7F5F453E"/>
    <w:rsid w:val="7FE5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4"/>
    <w:next w:val="1"/>
    <w:unhideWhenUsed/>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unhideWhenUsed/>
    <w:qFormat/>
    <w:uiPriority w:val="0"/>
    <w:pPr>
      <w:ind w:firstLine="420"/>
    </w:pPr>
  </w:style>
  <w:style w:type="paragraph" w:styleId="5">
    <w:name w:val="Body Text"/>
    <w:basedOn w:val="1"/>
    <w:next w:val="6"/>
    <w:qFormat/>
    <w:uiPriority w:val="0"/>
    <w:pPr>
      <w:spacing w:after="120" w:afterLines="0" w:afterAutospacing="0"/>
    </w:pPr>
  </w:style>
  <w:style w:type="paragraph" w:customStyle="1" w:styleId="6">
    <w:name w:val="目录 11"/>
    <w:next w:val="1"/>
    <w:qFormat/>
    <w:uiPriority w:val="0"/>
    <w:pPr>
      <w:wordWrap w:val="0"/>
      <w:jc w:val="both"/>
    </w:pPr>
    <w:rPr>
      <w:rFonts w:ascii="Times New Roman" w:hAnsi="Times New Roman" w:eastAsia="宋体" w:cs="Times New Roman"/>
      <w:sz w:val="21"/>
      <w:szCs w:val="21"/>
      <w:lang w:val="en-US" w:eastAsia="zh-CN" w:bidi="ar-SA"/>
    </w:rPr>
  </w:style>
  <w:style w:type="paragraph" w:styleId="7">
    <w:name w:val="Plain Text"/>
    <w:next w:val="1"/>
    <w:qFormat/>
    <w:uiPriority w:val="99"/>
    <w:pPr>
      <w:widowControl w:val="0"/>
      <w:jc w:val="both"/>
    </w:pPr>
    <w:rPr>
      <w:rFonts w:ascii="宋体" w:hAnsi="Courier New" w:eastAsia="宋体" w:cs="Times New Roman"/>
      <w:kern w:val="2"/>
      <w:sz w:val="21"/>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FollowedHyperlink"/>
    <w:basedOn w:val="11"/>
    <w:qFormat/>
    <w:uiPriority w:val="0"/>
    <w:rPr>
      <w:color w:val="28A9FF"/>
      <w:u w:val="single"/>
    </w:rPr>
  </w:style>
  <w:style w:type="character" w:styleId="13">
    <w:name w:val="Hyperlink"/>
    <w:basedOn w:val="11"/>
    <w:qFormat/>
    <w:uiPriority w:val="0"/>
    <w:rPr>
      <w:color w:val="28A9FF"/>
      <w:u w:val="single"/>
    </w:rPr>
  </w:style>
  <w:style w:type="character" w:styleId="14">
    <w:name w:val="HTML Code"/>
    <w:basedOn w:val="11"/>
    <w:qFormat/>
    <w:uiPriority w:val="0"/>
    <w:rPr>
      <w:rFonts w:ascii="Courier New" w:hAnsi="Courier New"/>
      <w:color w:val="2F332A"/>
      <w:sz w:val="20"/>
    </w:rPr>
  </w:style>
  <w:style w:type="paragraph" w:customStyle="1" w:styleId="15">
    <w:name w:val="正文文本 21"/>
    <w:basedOn w:val="1"/>
    <w:qFormat/>
    <w:uiPriority w:val="0"/>
    <w:pPr>
      <w:spacing w:after="120" w:line="480" w:lineRule="auto"/>
      <w:ind w:firstLine="0" w:firstLineChars="0"/>
    </w:pPr>
    <w:rPr>
      <w:rFonts w:ascii="Calibri" w:hAnsi="Calibri" w:eastAsia="宋体" w:cs="Times New Roman"/>
      <w:sz w:val="21"/>
      <w:szCs w:val="24"/>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character" w:customStyle="1" w:styleId="17">
    <w:name w:val="l-btn-icon-left"/>
    <w:basedOn w:val="11"/>
    <w:qFormat/>
    <w:uiPriority w:val="0"/>
  </w:style>
  <w:style w:type="character" w:customStyle="1" w:styleId="18">
    <w:name w:val="l-btn-text"/>
    <w:basedOn w:val="11"/>
    <w:qFormat/>
    <w:uiPriority w:val="0"/>
    <w:rPr>
      <w:sz w:val="18"/>
      <w:szCs w:val="18"/>
      <w:vertAlign w:val="baseline"/>
    </w:rPr>
  </w:style>
  <w:style w:type="character" w:customStyle="1" w:styleId="19">
    <w:name w:val="button"/>
    <w:basedOn w:val="11"/>
    <w:qFormat/>
    <w:uiPriority w:val="0"/>
  </w:style>
  <w:style w:type="character" w:customStyle="1" w:styleId="20">
    <w:name w:val="tmpztreemove_arrow"/>
    <w:basedOn w:val="11"/>
    <w:qFormat/>
    <w:uiPriority w:val="0"/>
  </w:style>
  <w:style w:type="character" w:customStyle="1" w:styleId="21">
    <w:name w:val="l-btn-left2"/>
    <w:basedOn w:val="11"/>
    <w:qFormat/>
    <w:uiPriority w:val="0"/>
  </w:style>
  <w:style w:type="character" w:customStyle="1" w:styleId="22">
    <w:name w:val="l-btn-left3"/>
    <w:basedOn w:val="11"/>
    <w:qFormat/>
    <w:uiPriority w:val="0"/>
  </w:style>
  <w:style w:type="character" w:customStyle="1" w:styleId="23">
    <w:name w:val="l-btn-left4"/>
    <w:basedOn w:val="11"/>
    <w:qFormat/>
    <w:uiPriority w:val="0"/>
  </w:style>
  <w:style w:type="character" w:customStyle="1" w:styleId="24">
    <w:name w:val="l-btn-left5"/>
    <w:basedOn w:val="11"/>
    <w:qFormat/>
    <w:uiPriority w:val="0"/>
  </w:style>
  <w:style w:type="character" w:customStyle="1" w:styleId="25">
    <w:name w:val="l-btn-icon-right"/>
    <w:basedOn w:val="11"/>
    <w:qFormat/>
    <w:uiPriority w:val="0"/>
  </w:style>
  <w:style w:type="character" w:customStyle="1" w:styleId="26">
    <w:name w:val="l-btn-empty"/>
    <w:basedOn w:val="11"/>
    <w:qFormat/>
    <w:uiPriority w:val="0"/>
  </w:style>
  <w:style w:type="character" w:customStyle="1" w:styleId="27">
    <w:name w:val="备注 Char"/>
    <w:link w:val="28"/>
    <w:qFormat/>
    <w:uiPriority w:val="0"/>
    <w:rPr>
      <w:rFonts w:hint="eastAsia" w:ascii="楷体_GB2312" w:hAnsi="楷体_GB2312" w:eastAsia="楷体_GB2312" w:cs="楷体_GB2312"/>
      <w:color w:val="0000FF"/>
      <w:sz w:val="32"/>
      <w:szCs w:val="32"/>
    </w:rPr>
  </w:style>
  <w:style w:type="paragraph" w:customStyle="1" w:styleId="28">
    <w:name w:val="备注"/>
    <w:basedOn w:val="1"/>
    <w:link w:val="27"/>
    <w:qFormat/>
    <w:uiPriority w:val="0"/>
    <w:pPr>
      <w:widowControl w:val="0"/>
      <w:spacing w:beforeLines="0" w:afterLines="0" w:line="560" w:lineRule="exact"/>
      <w:ind w:firstLine="640" w:firstLineChars="200"/>
      <w:jc w:val="both"/>
    </w:pPr>
    <w:rPr>
      <w:rFonts w:hint="eastAsia" w:ascii="楷体_GB2312" w:hAnsi="楷体_GB2312" w:eastAsia="楷体_GB2312" w:cs="楷体_GB2312"/>
      <w:color w:val="0000FF"/>
      <w:sz w:val="32"/>
      <w:szCs w:val="32"/>
    </w:rPr>
  </w:style>
  <w:style w:type="paragraph" w:customStyle="1" w:styleId="29">
    <w:name w:val="BodyText"/>
    <w:basedOn w:val="1"/>
    <w:next w:val="30"/>
    <w:link w:val="34"/>
    <w:qFormat/>
    <w:uiPriority w:val="99"/>
    <w:pPr>
      <w:spacing w:after="120"/>
    </w:pPr>
  </w:style>
  <w:style w:type="paragraph" w:customStyle="1" w:styleId="30">
    <w:name w:val="UserStyle_0"/>
    <w:next w:val="1"/>
    <w:qFormat/>
    <w:uiPriority w:val="99"/>
    <w:pPr>
      <w:jc w:val="both"/>
      <w:textAlignment w:val="baseline"/>
    </w:pPr>
    <w:rPr>
      <w:rFonts w:ascii="Times New Roman" w:hAnsi="Times New Roman" w:eastAsia="宋体" w:cs="Times New Roman"/>
      <w:sz w:val="21"/>
      <w:szCs w:val="22"/>
      <w:lang w:val="en-US" w:eastAsia="zh-CN" w:bidi="ar-SA"/>
    </w:rPr>
  </w:style>
  <w:style w:type="character" w:customStyle="1" w:styleId="31">
    <w:name w:val="l-btn-left"/>
    <w:basedOn w:val="11"/>
    <w:qFormat/>
    <w:uiPriority w:val="0"/>
  </w:style>
  <w:style w:type="character" w:customStyle="1" w:styleId="32">
    <w:name w:val="l-btn-left1"/>
    <w:basedOn w:val="11"/>
    <w:qFormat/>
    <w:uiPriority w:val="0"/>
  </w:style>
  <w:style w:type="character" w:customStyle="1" w:styleId="33">
    <w:name w:val="font01"/>
    <w:basedOn w:val="11"/>
    <w:qFormat/>
    <w:uiPriority w:val="0"/>
    <w:rPr>
      <w:rFonts w:hint="eastAsia" w:ascii="宋体" w:hAnsi="宋体" w:eastAsia="宋体" w:cs="宋体"/>
      <w:color w:val="000000"/>
      <w:sz w:val="22"/>
      <w:szCs w:val="22"/>
      <w:u w:val="none"/>
    </w:rPr>
  </w:style>
  <w:style w:type="character" w:customStyle="1" w:styleId="34">
    <w:name w:val="BodyText Char"/>
    <w:link w:val="29"/>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12781</Words>
  <Characters>13400</Characters>
  <Lines>0</Lines>
  <Paragraphs>0</Paragraphs>
  <TotalTime>27</TotalTime>
  <ScaleCrop>false</ScaleCrop>
  <LinksUpToDate>false</LinksUpToDate>
  <CharactersWithSpaces>13412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2023-12-19T09:24:00Z</dcterms:created>
  <dc:creator>单宏宇</dc:creator>
  <cp:lastModifiedBy>XYSD</cp:lastModifiedBy>
  <cp:lastPrinted>2025-01-03T13:04:00Z</cp:lastPrinted>
  <dcterms:modified xsi:type="dcterms:W3CDTF">2025-02-04T23:55:10Z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