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2022年政府预算相关情况说明</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一、转移支付安排情况说明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2022年一般公共预算共收到上级转移支付894564万元，其中一般转移支付</w:t>
      </w:r>
      <w:r>
        <w:rPr>
          <w:rFonts w:hint="eastAsia" w:ascii="仿宋_GB2312" w:hAnsi="仿宋_GB2312" w:eastAsia="仿宋_GB2312" w:cs="仿宋_GB2312"/>
          <w:sz w:val="32"/>
          <w:szCs w:val="32"/>
          <w:highlight w:val="none"/>
          <w:lang w:val="en-US" w:eastAsia="zh-CN"/>
        </w:rPr>
        <w:t>587713万元，专项转移支付306851</w:t>
      </w:r>
      <w:r>
        <w:rPr>
          <w:rFonts w:hint="eastAsia" w:ascii="仿宋_GB2312" w:hAnsi="仿宋_GB2312" w:eastAsia="仿宋_GB2312" w:cs="仿宋_GB2312"/>
          <w:sz w:val="32"/>
          <w:szCs w:val="32"/>
          <w:lang w:val="en-US" w:eastAsia="zh-CN"/>
        </w:rPr>
        <w:t>万元。专项转移支付安排一般公共服务支出340万元，国防支出568万元，教育支出41337万元，文化旅游体育与传媒支出2071万元，社会保障和就业支出221789万元，卫生健康支出7471万元，节能环保支出23260万元，农林水支出7031万元，住房保障支出2500万元，灾害防治及应急管理支出484万元。</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政府性基金上级转移支付5450万元，其中安排城乡社区支出3750万元，其他支出1700万元。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我区参照部门模式管理乡镇预算，因此无对下级转移支付。</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二、政府债务情况说明</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rPr>
      </w:pPr>
      <w:r>
        <w:rPr>
          <w:rFonts w:hint="eastAsia" w:ascii="仿宋_GB2312" w:hAnsi="仿宋" w:eastAsia="仿宋_GB2312" w:cs="Times New Roman"/>
          <w:spacing w:val="14"/>
          <w:sz w:val="32"/>
          <w:szCs w:val="32"/>
          <w:lang w:val="en-US" w:eastAsia="zh-CN"/>
        </w:rPr>
        <w:t>2021年</w:t>
      </w:r>
      <w:r>
        <w:rPr>
          <w:rFonts w:hint="eastAsia" w:ascii="仿宋_GB2312" w:hAnsi="仿宋" w:eastAsia="仿宋_GB2312" w:cs="Times New Roman"/>
          <w:spacing w:val="14"/>
          <w:sz w:val="32"/>
          <w:szCs w:val="32"/>
        </w:rPr>
        <w:t>申请政府债券</w:t>
      </w:r>
      <w:r>
        <w:rPr>
          <w:rFonts w:hint="eastAsia" w:ascii="仿宋_GB2312" w:hAnsi="仿宋" w:eastAsia="仿宋_GB2312" w:cs="Times New Roman"/>
          <w:spacing w:val="14"/>
          <w:sz w:val="32"/>
          <w:szCs w:val="32"/>
          <w:lang w:val="en-US" w:eastAsia="zh-CN"/>
        </w:rPr>
        <w:t>276566</w:t>
      </w:r>
      <w:r>
        <w:rPr>
          <w:rFonts w:hint="eastAsia" w:ascii="仿宋_GB2312" w:hAnsi="仿宋" w:eastAsia="仿宋_GB2312" w:cs="Times New Roman"/>
          <w:spacing w:val="14"/>
          <w:sz w:val="32"/>
          <w:szCs w:val="32"/>
        </w:rPr>
        <w:t>万元。其中，新增债券</w:t>
      </w:r>
      <w:r>
        <w:rPr>
          <w:rFonts w:hint="eastAsia" w:ascii="仿宋_GB2312" w:hAnsi="仿宋" w:eastAsia="仿宋_GB2312" w:cs="Times New Roman"/>
          <w:spacing w:val="14"/>
          <w:sz w:val="32"/>
          <w:szCs w:val="32"/>
          <w:lang w:val="en-US" w:eastAsia="zh-CN"/>
        </w:rPr>
        <w:t>200,000</w:t>
      </w:r>
      <w:r>
        <w:rPr>
          <w:rFonts w:hint="eastAsia" w:ascii="仿宋_GB2312" w:hAnsi="仿宋" w:eastAsia="仿宋_GB2312" w:cs="Times New Roman"/>
          <w:spacing w:val="14"/>
          <w:sz w:val="32"/>
          <w:szCs w:val="32"/>
        </w:rPr>
        <w:t>万元，再融资债券</w:t>
      </w:r>
      <w:r>
        <w:rPr>
          <w:rFonts w:hint="eastAsia" w:ascii="仿宋_GB2312" w:hAnsi="仿宋" w:eastAsia="仿宋_GB2312" w:cs="Times New Roman"/>
          <w:spacing w:val="14"/>
          <w:sz w:val="32"/>
          <w:szCs w:val="32"/>
          <w:lang w:val="en-US" w:eastAsia="zh-CN"/>
        </w:rPr>
        <w:t>76566</w:t>
      </w:r>
      <w:r>
        <w:rPr>
          <w:rFonts w:hint="eastAsia" w:ascii="仿宋_GB2312" w:hAnsi="仿宋" w:eastAsia="仿宋_GB2312" w:cs="Times New Roman"/>
          <w:spacing w:val="14"/>
          <w:sz w:val="32"/>
          <w:szCs w:val="32"/>
        </w:rPr>
        <w:t>万元。经区人大常委会批准，新增债券分类列入一般公共预算和政府性基金预算</w:t>
      </w:r>
      <w:r>
        <w:rPr>
          <w:rFonts w:hint="eastAsia" w:ascii="仿宋_GB2312" w:hAnsi="仿宋" w:eastAsia="仿宋_GB2312" w:cs="Times New Roman"/>
          <w:spacing w:val="14"/>
          <w:sz w:val="32"/>
          <w:szCs w:val="32"/>
          <w:lang w:eastAsia="zh-CN"/>
        </w:rPr>
        <w:t>。</w:t>
      </w:r>
      <w:r>
        <w:rPr>
          <w:rFonts w:hint="eastAsia" w:ascii="仿宋_GB2312" w:hAnsi="仿宋" w:eastAsia="仿宋_GB2312"/>
          <w:bCs/>
          <w:spacing w:val="14"/>
          <w:sz w:val="32"/>
          <w:szCs w:val="32"/>
        </w:rPr>
        <w:t>其中，新增一般债券20,000万元用于京良路西段工程，新增专项债券180,000万元用于长辛店、东铁营、岳各庄、看丹、万泉寺等5个棚改项目。</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rPr>
      </w:pPr>
      <w:r>
        <w:rPr>
          <w:rFonts w:hint="eastAsia" w:ascii="仿宋_GB2312" w:hAnsi="仿宋" w:eastAsia="仿宋_GB2312" w:cs="Times New Roman"/>
          <w:spacing w:val="14"/>
          <w:sz w:val="32"/>
          <w:szCs w:val="32"/>
        </w:rPr>
        <w:t>20</w:t>
      </w:r>
      <w:r>
        <w:rPr>
          <w:rFonts w:hint="eastAsia" w:ascii="仿宋_GB2312" w:hAnsi="仿宋" w:eastAsia="仿宋_GB2312" w:cs="Times New Roman"/>
          <w:spacing w:val="14"/>
          <w:sz w:val="32"/>
          <w:szCs w:val="32"/>
          <w:lang w:val="en-US" w:eastAsia="zh-CN"/>
        </w:rPr>
        <w:t>21</w:t>
      </w:r>
      <w:r>
        <w:rPr>
          <w:rFonts w:hint="eastAsia" w:ascii="仿宋_GB2312" w:hAnsi="仿宋" w:eastAsia="仿宋_GB2312" w:cs="Times New Roman"/>
          <w:spacing w:val="14"/>
          <w:sz w:val="32"/>
          <w:szCs w:val="32"/>
        </w:rPr>
        <w:t>年我区政府债务应还本金</w:t>
      </w:r>
      <w:r>
        <w:rPr>
          <w:rFonts w:hint="eastAsia" w:ascii="仿宋_GB2312" w:hAnsi="仿宋" w:eastAsia="仿宋_GB2312" w:cs="Times New Roman"/>
          <w:spacing w:val="14"/>
          <w:sz w:val="32"/>
          <w:szCs w:val="32"/>
          <w:lang w:val="en-US" w:eastAsia="zh-CN"/>
        </w:rPr>
        <w:t>32566</w:t>
      </w:r>
      <w:r>
        <w:rPr>
          <w:rFonts w:hint="eastAsia" w:ascii="仿宋_GB2312" w:hAnsi="仿宋" w:eastAsia="仿宋_GB2312" w:cs="Times New Roman"/>
          <w:spacing w:val="14"/>
          <w:sz w:val="32"/>
          <w:szCs w:val="32"/>
        </w:rPr>
        <w:t>万元，</w:t>
      </w:r>
      <w:r>
        <w:rPr>
          <w:rFonts w:hint="eastAsia" w:ascii="仿宋_GB2312" w:hAnsi="仿宋" w:eastAsia="仿宋_GB2312" w:cs="Times New Roman"/>
          <w:spacing w:val="14"/>
          <w:sz w:val="32"/>
          <w:szCs w:val="32"/>
          <w:lang w:eastAsia="zh-CN"/>
        </w:rPr>
        <w:t>均为一般债券</w:t>
      </w:r>
      <w:r>
        <w:rPr>
          <w:rFonts w:hint="eastAsia" w:ascii="仿宋_GB2312" w:hAnsi="仿宋" w:eastAsia="仿宋_GB2312" w:cs="Times New Roman"/>
          <w:spacing w:val="14"/>
          <w:sz w:val="32"/>
          <w:szCs w:val="32"/>
          <w:lang w:val="en-US" w:eastAsia="zh-CN"/>
        </w:rPr>
        <w:t>，</w:t>
      </w:r>
      <w:r>
        <w:rPr>
          <w:rFonts w:hint="eastAsia" w:ascii="仿宋_GB2312" w:hAnsi="仿宋" w:eastAsia="仿宋_GB2312" w:cs="Times New Roman"/>
          <w:spacing w:val="14"/>
          <w:sz w:val="32"/>
          <w:szCs w:val="32"/>
        </w:rPr>
        <w:t>使用再融资政府债券偿还，另使用再融资政府专项债券偿还丽泽土地一级开发债务44,000万元。应付一般债务利息及相关手续费48,801万元、专项债务利息及相关手续费68,227万元，分别使用一般公共预算资金和政府性基金预算资金支付。</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bCs/>
          <w:spacing w:val="14"/>
          <w:sz w:val="32"/>
          <w:szCs w:val="32"/>
        </w:rPr>
      </w:pPr>
      <w:r>
        <w:rPr>
          <w:rFonts w:hint="eastAsia" w:ascii="仿宋_GB2312" w:hAnsi="仿宋" w:eastAsia="仿宋_GB2312"/>
          <w:bCs/>
          <w:spacing w:val="14"/>
          <w:sz w:val="32"/>
          <w:szCs w:val="32"/>
        </w:rPr>
        <w:t>截至2021年末，我区政府债务余额3,609,065万元。其中，一般债务1,475,065万元，专项债务2,134,000万元。债务规模保持在限额以内，风险可控。</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 w:eastAsia="仿宋_GB2312" w:cs="Times New Roman"/>
          <w:spacing w:val="14"/>
          <w:sz w:val="32"/>
          <w:szCs w:val="32"/>
          <w:lang w:val="en-US" w:eastAsia="zh-CN"/>
        </w:rPr>
      </w:pPr>
      <w:r>
        <w:rPr>
          <w:rFonts w:hint="eastAsia" w:ascii="仿宋_GB2312" w:hAnsi="仿宋" w:eastAsia="仿宋_GB2312" w:cs="Times New Roman"/>
          <w:spacing w:val="14"/>
          <w:sz w:val="32"/>
          <w:szCs w:val="32"/>
          <w:lang w:eastAsia="zh-CN"/>
        </w:rPr>
        <w:t>（</w:t>
      </w:r>
      <w:r>
        <w:rPr>
          <w:rFonts w:hint="eastAsia" w:ascii="仿宋_GB2312" w:hAnsi="仿宋" w:eastAsia="仿宋_GB2312" w:cs="Times New Roman"/>
          <w:spacing w:val="14"/>
          <w:sz w:val="32"/>
          <w:szCs w:val="32"/>
          <w:lang w:val="en-US" w:eastAsia="zh-CN"/>
        </w:rPr>
        <w:t>2021年数据均为预计执行情况，可能与最终决算数据存在一定差异</w:t>
      </w:r>
      <w:r>
        <w:rPr>
          <w:rFonts w:hint="eastAsia" w:ascii="仿宋_GB2312" w:hAnsi="仿宋" w:eastAsia="仿宋_GB2312" w:cs="Times New Roman"/>
          <w:spacing w:val="14"/>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三、一般公共预算“三公”经费预算安排说明</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bCs/>
          <w:spacing w:val="14"/>
          <w:sz w:val="32"/>
          <w:szCs w:val="32"/>
        </w:rPr>
      </w:pPr>
      <w:r>
        <w:rPr>
          <w:rFonts w:hint="eastAsia" w:ascii="仿宋_GB2312" w:hAnsi="仿宋" w:eastAsia="仿宋_GB2312"/>
          <w:bCs/>
          <w:spacing w:val="14"/>
          <w:sz w:val="32"/>
          <w:szCs w:val="32"/>
        </w:rPr>
        <w:t>2022年，区级党政机关、事业单位的“三公”经费财政拨款支出预算安排7,707万元，较上年减少63万元，主要是进一步落实过紧日子要求，压缩公务接待费63万元。其中，因公出国（境）经费623万元，公务接待费200万元，公务用车购置和运行维护费6,884万元（包括购置费1,022万元、运行维护费5,862万元）。</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四、扶贫资金安排情况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2022年区财政积极</w:t>
      </w:r>
      <w:r>
        <w:rPr>
          <w:rFonts w:hint="eastAsia" w:ascii="仿宋_GB2312" w:eastAsia="仿宋_GB2312" w:cs="仿宋_GB2312"/>
          <w:kern w:val="0"/>
          <w:sz w:val="32"/>
          <w:szCs w:val="32"/>
          <w:lang w:val="en-US" w:eastAsia="zh-CN"/>
        </w:rPr>
        <w:t>筹措资金，</w:t>
      </w:r>
      <w:r>
        <w:rPr>
          <w:rFonts w:hint="eastAsia" w:ascii="仿宋_GB2312" w:eastAsia="仿宋_GB2312" w:cs="仿宋_GB2312"/>
          <w:kern w:val="0"/>
          <w:sz w:val="32"/>
          <w:szCs w:val="32"/>
          <w:highlight w:val="none"/>
          <w:lang w:val="en-US" w:eastAsia="zh-CN"/>
        </w:rPr>
        <w:t>安排扶贫资金14720万元，比上年增长3120万元。其中预留上解资金11440万元，用于支持新疆、西藏、青海、内蒙古、河北等贫困地区；</w:t>
      </w:r>
      <w:r>
        <w:rPr>
          <w:rFonts w:hint="eastAsia" w:ascii="仿宋_GB2312" w:eastAsia="仿宋_GB2312" w:cs="仿宋_GB2312"/>
          <w:kern w:val="0"/>
          <w:sz w:val="32"/>
          <w:szCs w:val="32"/>
          <w:lang w:val="en-US" w:eastAsia="zh-CN"/>
        </w:rPr>
        <w:t>安排扶贫支援资金3280万元，其中林西县1240万元、扎赉特旗1600万元，治多县440万元，主要用于结对帮扶地区脱贫攻坚和乡村振兴衔接过渡期内扶贫支援项目的开展，切实做到保持现有帮扶政策总体稳定，共同持续巩固脱贫成果，实现过渡期平稳衔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仿宋">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E53E9"/>
    <w:rsid w:val="039361F4"/>
    <w:rsid w:val="03C83C13"/>
    <w:rsid w:val="05276AA5"/>
    <w:rsid w:val="055C566F"/>
    <w:rsid w:val="05A42FB6"/>
    <w:rsid w:val="05AE6637"/>
    <w:rsid w:val="06324E98"/>
    <w:rsid w:val="064C2589"/>
    <w:rsid w:val="079F79AD"/>
    <w:rsid w:val="0A0A20D6"/>
    <w:rsid w:val="0BA706CD"/>
    <w:rsid w:val="0BEE53E9"/>
    <w:rsid w:val="0DA462EA"/>
    <w:rsid w:val="0E193041"/>
    <w:rsid w:val="0F8209A3"/>
    <w:rsid w:val="10D01630"/>
    <w:rsid w:val="119460C6"/>
    <w:rsid w:val="15AB03A4"/>
    <w:rsid w:val="1BF3137A"/>
    <w:rsid w:val="1D0A04BA"/>
    <w:rsid w:val="1F1F1AB3"/>
    <w:rsid w:val="21483DB8"/>
    <w:rsid w:val="2196544C"/>
    <w:rsid w:val="22AD10DD"/>
    <w:rsid w:val="22EF771A"/>
    <w:rsid w:val="23A0020B"/>
    <w:rsid w:val="245E1500"/>
    <w:rsid w:val="24A53225"/>
    <w:rsid w:val="25322EB8"/>
    <w:rsid w:val="263A484B"/>
    <w:rsid w:val="26430E01"/>
    <w:rsid w:val="26486F7F"/>
    <w:rsid w:val="265372AB"/>
    <w:rsid w:val="27EF2822"/>
    <w:rsid w:val="2B32053A"/>
    <w:rsid w:val="2D3A69A1"/>
    <w:rsid w:val="2D721FC2"/>
    <w:rsid w:val="2D9114F6"/>
    <w:rsid w:val="3048112F"/>
    <w:rsid w:val="31276304"/>
    <w:rsid w:val="31877127"/>
    <w:rsid w:val="32522E08"/>
    <w:rsid w:val="345A0E58"/>
    <w:rsid w:val="3976125B"/>
    <w:rsid w:val="39B871E5"/>
    <w:rsid w:val="3B69325C"/>
    <w:rsid w:val="3BE614D7"/>
    <w:rsid w:val="3C1C4CB5"/>
    <w:rsid w:val="3D385A75"/>
    <w:rsid w:val="3D973C10"/>
    <w:rsid w:val="3E5347E3"/>
    <w:rsid w:val="40D73571"/>
    <w:rsid w:val="43F46378"/>
    <w:rsid w:val="44C034F5"/>
    <w:rsid w:val="45845D98"/>
    <w:rsid w:val="46D93330"/>
    <w:rsid w:val="48192C54"/>
    <w:rsid w:val="48992469"/>
    <w:rsid w:val="4AB01EA5"/>
    <w:rsid w:val="4CD93A22"/>
    <w:rsid w:val="50D232A2"/>
    <w:rsid w:val="51903C80"/>
    <w:rsid w:val="5241476A"/>
    <w:rsid w:val="532379DE"/>
    <w:rsid w:val="53F535E0"/>
    <w:rsid w:val="55945C91"/>
    <w:rsid w:val="55E428E1"/>
    <w:rsid w:val="57012835"/>
    <w:rsid w:val="5B3A64E7"/>
    <w:rsid w:val="5C01544B"/>
    <w:rsid w:val="5DC84E40"/>
    <w:rsid w:val="5DE64CC6"/>
    <w:rsid w:val="5E222A08"/>
    <w:rsid w:val="5EEA1F3D"/>
    <w:rsid w:val="60230AB1"/>
    <w:rsid w:val="60B9149D"/>
    <w:rsid w:val="622620E9"/>
    <w:rsid w:val="656909FB"/>
    <w:rsid w:val="656E003E"/>
    <w:rsid w:val="66DD4B7E"/>
    <w:rsid w:val="69000E31"/>
    <w:rsid w:val="69A66129"/>
    <w:rsid w:val="6D0A3C68"/>
    <w:rsid w:val="6E3075F1"/>
    <w:rsid w:val="6EF1023F"/>
    <w:rsid w:val="703E542E"/>
    <w:rsid w:val="723B32A1"/>
    <w:rsid w:val="75877E81"/>
    <w:rsid w:val="76466EE7"/>
    <w:rsid w:val="79EE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Body Text"/>
    <w:basedOn w:val="1"/>
    <w:qFormat/>
    <w:uiPriority w:val="0"/>
    <w:rPr>
      <w:rFonts w:eastAsia="文星仿宋"/>
      <w:sz w:val="32"/>
    </w:rPr>
  </w:style>
  <w:style w:type="paragraph" w:styleId="4">
    <w:name w:val="Plain Text"/>
    <w:basedOn w:val="1"/>
    <w:next w:val="1"/>
    <w:qFormat/>
    <w:uiPriority w:val="0"/>
    <w:rPr>
      <w:rFonts w:ascii="宋体" w:hAnsi="Courier New" w:cs="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2021-05-17T08:55:00Z</dcterms:created>
  <dc:creator>user</dc:creator>
  <cp:lastModifiedBy>赵为</cp:lastModifiedBy>
  <cp:lastPrinted>2021-05-31T07:20:00Z</cp:lastPrinted>
  <dcterms:modified xsi:type="dcterms:W3CDTF">2023-09-25T07:33:07Z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