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rPr>
          <w:rFonts w:hint="eastAsia" w:ascii="方正小标宋简体" w:hAnsi="方正小标宋简体" w:eastAsia="方正小标宋简体" w:cs="方正小标宋简体"/>
          <w:b w:val="0"/>
          <w:bCs/>
          <w:color w:val="000000"/>
          <w:spacing w:val="15"/>
          <w:kern w:val="0"/>
          <w:sz w:val="44"/>
          <w:szCs w:val="44"/>
          <w:lang w:val="en-US" w:eastAsia="zh-CN"/>
        </w:rPr>
      </w:pPr>
      <w:bookmarkStart w:id="0" w:name="_GoBack"/>
      <w:bookmarkEnd w:id="0"/>
      <w:r>
        <w:rPr>
          <w:rFonts w:hint="eastAsia" w:ascii="方正小标宋简体" w:hAnsi="方正小标宋简体" w:eastAsia="方正小标宋简体" w:cs="方正小标宋简体"/>
          <w:b w:val="0"/>
          <w:bCs/>
          <w:color w:val="000000"/>
          <w:spacing w:val="15"/>
          <w:kern w:val="0"/>
          <w:sz w:val="44"/>
          <w:szCs w:val="44"/>
          <w:lang w:val="en-US" w:eastAsia="zh-CN"/>
        </w:rPr>
        <w:t>丰台区委政法委员会</w:t>
      </w:r>
    </w:p>
    <w:p>
      <w:pPr>
        <w:widowControl/>
        <w:spacing w:line="560" w:lineRule="exact"/>
        <w:jc w:val="center"/>
        <w:rPr>
          <w:rFonts w:hint="eastAsia" w:ascii="方正小标宋简体" w:hAnsi="方正小标宋简体" w:eastAsia="方正小标宋简体" w:cs="方正小标宋简体"/>
          <w:b w:val="0"/>
          <w:bCs/>
          <w:color w:val="000000"/>
          <w:spacing w:val="15"/>
          <w:kern w:val="0"/>
          <w:sz w:val="44"/>
          <w:szCs w:val="44"/>
        </w:rPr>
      </w:pPr>
      <w:r>
        <w:rPr>
          <w:rFonts w:hint="eastAsia" w:ascii="方正小标宋简体" w:hAnsi="方正小标宋简体" w:eastAsia="方正小标宋简体" w:cs="方正小标宋简体"/>
          <w:b w:val="0"/>
          <w:bCs/>
          <w:color w:val="000000"/>
          <w:spacing w:val="15"/>
          <w:kern w:val="0"/>
          <w:sz w:val="44"/>
          <w:szCs w:val="44"/>
        </w:rPr>
        <w:t>202</w:t>
      </w:r>
      <w:r>
        <w:rPr>
          <w:rFonts w:hint="eastAsia" w:ascii="方正小标宋简体" w:hAnsi="方正小标宋简体" w:eastAsia="方正小标宋简体" w:cs="方正小标宋简体"/>
          <w:b w:val="0"/>
          <w:bCs/>
          <w:color w:val="000000"/>
          <w:spacing w:val="15"/>
          <w:kern w:val="0"/>
          <w:sz w:val="44"/>
          <w:szCs w:val="44"/>
          <w:lang w:val="en-US" w:eastAsia="zh-CN"/>
        </w:rPr>
        <w:t>1</w:t>
      </w:r>
      <w:r>
        <w:rPr>
          <w:rFonts w:hint="eastAsia" w:ascii="方正小标宋简体" w:hAnsi="方正小标宋简体" w:eastAsia="方正小标宋简体" w:cs="方正小标宋简体"/>
          <w:b w:val="0"/>
          <w:bCs/>
          <w:color w:val="000000"/>
          <w:spacing w:val="15"/>
          <w:kern w:val="0"/>
          <w:sz w:val="44"/>
          <w:szCs w:val="44"/>
        </w:rPr>
        <w:t>年部门预算编制说明</w:t>
      </w:r>
    </w:p>
    <w:p>
      <w:pPr>
        <w:widowControl/>
        <w:spacing w:line="560" w:lineRule="exact"/>
        <w:ind w:firstLine="700" w:firstLineChars="200"/>
        <w:jc w:val="left"/>
        <w:rPr>
          <w:rFonts w:ascii="宋体" w:hAnsi="宋体" w:cs="宋体"/>
          <w:color w:val="000000"/>
          <w:spacing w:val="15"/>
          <w:kern w:val="0"/>
          <w:sz w:val="32"/>
          <w:szCs w:val="32"/>
        </w:rPr>
      </w:pPr>
    </w:p>
    <w:p>
      <w:pPr>
        <w:widowControl/>
        <w:adjustRightInd w:val="0"/>
        <w:spacing w:line="560" w:lineRule="exact"/>
        <w:ind w:firstLine="540" w:firstLineChars="200"/>
        <w:jc w:val="left"/>
        <w:rPr>
          <w:rFonts w:hint="eastAsia" w:ascii="黑体" w:hAnsi="宋体" w:eastAsia="黑体" w:cs="宋体"/>
          <w:b/>
          <w:color w:val="000000"/>
          <w:spacing w:val="15"/>
          <w:kern w:val="0"/>
          <w:sz w:val="32"/>
          <w:szCs w:val="32"/>
        </w:rPr>
      </w:pPr>
      <w:r>
        <w:rPr>
          <w:rFonts w:ascii="宋体" w:hAnsi="宋体" w:cs="宋体"/>
          <w:b/>
          <w:color w:val="000000"/>
          <w:spacing w:val="15"/>
          <w:kern w:val="0"/>
          <w:sz w:val="24"/>
        </w:rPr>
        <w:t xml:space="preserve"> </w:t>
      </w:r>
      <w:r>
        <w:rPr>
          <w:rFonts w:hint="eastAsia" w:ascii="黑体" w:hAnsi="宋体" w:eastAsia="黑体" w:cs="宋体"/>
          <w:b/>
          <w:color w:val="000000"/>
          <w:spacing w:val="15"/>
          <w:kern w:val="0"/>
          <w:sz w:val="32"/>
          <w:szCs w:val="32"/>
        </w:rPr>
        <w:t>一、</w:t>
      </w:r>
      <w:r>
        <w:rPr>
          <w:rFonts w:hint="eastAsia" w:ascii="黑体" w:hAnsi="宋体" w:eastAsia="黑体" w:cs="宋体"/>
          <w:b/>
          <w:color w:val="000000"/>
          <w:spacing w:val="15"/>
          <w:kern w:val="0"/>
          <w:sz w:val="32"/>
          <w:szCs w:val="32"/>
          <w:lang w:val="en-US" w:eastAsia="zh-CN"/>
        </w:rPr>
        <w:t>丰台区委政法委员会</w:t>
      </w:r>
      <w:r>
        <w:rPr>
          <w:rFonts w:hint="eastAsia" w:ascii="黑体" w:hAnsi="宋体" w:eastAsia="黑体" w:cs="宋体"/>
          <w:b/>
          <w:color w:val="000000"/>
          <w:spacing w:val="15"/>
          <w:kern w:val="0"/>
          <w:sz w:val="32"/>
          <w:szCs w:val="32"/>
        </w:rPr>
        <w:t>部门基本情况</w:t>
      </w:r>
    </w:p>
    <w:p>
      <w:pPr>
        <w:widowControl/>
        <w:adjustRightInd w:val="0"/>
        <w:spacing w:line="560" w:lineRule="exact"/>
        <w:ind w:firstLine="700" w:firstLineChars="200"/>
        <w:jc w:val="both"/>
        <w:rPr>
          <w:rFonts w:hint="eastAsia" w:ascii="仿宋_GB2312" w:hAnsi="宋体" w:eastAsia="仿宋_GB2312" w:cs="宋体"/>
          <w:spacing w:val="15"/>
          <w:kern w:val="0"/>
          <w:sz w:val="32"/>
          <w:szCs w:val="32"/>
        </w:rPr>
      </w:pPr>
      <w:r>
        <w:rPr>
          <w:rFonts w:hint="eastAsia" w:ascii="仿宋_GB2312" w:hAnsi="宋体" w:eastAsia="仿宋_GB2312" w:cs="宋体"/>
          <w:spacing w:val="15"/>
          <w:kern w:val="0"/>
          <w:sz w:val="32"/>
          <w:szCs w:val="32"/>
        </w:rPr>
        <w:t>丰台区委政法委是区委领导政法工作的党委部门。共包含事业单位1个（含行政执法机构0个）。截至20</w:t>
      </w:r>
      <w:r>
        <w:rPr>
          <w:rFonts w:hint="eastAsia" w:ascii="仿宋_GB2312" w:hAnsi="宋体" w:eastAsia="仿宋_GB2312" w:cs="宋体"/>
          <w:spacing w:val="15"/>
          <w:kern w:val="0"/>
          <w:sz w:val="32"/>
          <w:szCs w:val="32"/>
          <w:lang w:val="en-US" w:eastAsia="zh-CN"/>
        </w:rPr>
        <w:t>20</w:t>
      </w:r>
      <w:r>
        <w:rPr>
          <w:rFonts w:hint="eastAsia" w:ascii="仿宋_GB2312" w:hAnsi="宋体" w:eastAsia="仿宋_GB2312" w:cs="宋体"/>
          <w:spacing w:val="15"/>
          <w:kern w:val="0"/>
          <w:sz w:val="32"/>
          <w:szCs w:val="32"/>
        </w:rPr>
        <w:t>年底，共有行政编制32人，实际</w:t>
      </w:r>
      <w:r>
        <w:rPr>
          <w:rFonts w:hint="eastAsia" w:ascii="仿宋_GB2312" w:hAnsi="宋体" w:eastAsia="仿宋_GB2312" w:cs="宋体"/>
          <w:spacing w:val="15"/>
          <w:kern w:val="0"/>
          <w:sz w:val="32"/>
          <w:szCs w:val="32"/>
          <w:lang w:val="en-US" w:eastAsia="zh-CN"/>
        </w:rPr>
        <w:t>29</w:t>
      </w:r>
      <w:r>
        <w:rPr>
          <w:rFonts w:hint="eastAsia" w:ascii="仿宋_GB2312" w:hAnsi="宋体" w:eastAsia="仿宋_GB2312" w:cs="宋体"/>
          <w:spacing w:val="15"/>
          <w:kern w:val="0"/>
          <w:sz w:val="32"/>
          <w:szCs w:val="32"/>
        </w:rPr>
        <w:t>人；工勤编制1人，实际1人；事业编制3人，实际</w:t>
      </w:r>
      <w:r>
        <w:rPr>
          <w:rFonts w:hint="eastAsia" w:ascii="仿宋_GB2312" w:hAnsi="宋体" w:eastAsia="仿宋_GB2312" w:cs="宋体"/>
          <w:spacing w:val="15"/>
          <w:kern w:val="0"/>
          <w:sz w:val="32"/>
          <w:szCs w:val="32"/>
          <w:lang w:val="en-US" w:eastAsia="zh-CN"/>
        </w:rPr>
        <w:t>1</w:t>
      </w:r>
      <w:r>
        <w:rPr>
          <w:rFonts w:hint="eastAsia" w:ascii="仿宋_GB2312" w:hAnsi="宋体" w:eastAsia="仿宋_GB2312" w:cs="宋体"/>
          <w:spacing w:val="15"/>
          <w:kern w:val="0"/>
          <w:sz w:val="32"/>
          <w:szCs w:val="32"/>
        </w:rPr>
        <w:t>人；离退休人员1</w:t>
      </w:r>
      <w:r>
        <w:rPr>
          <w:rFonts w:hint="eastAsia" w:ascii="仿宋_GB2312" w:hAnsi="宋体" w:eastAsia="仿宋_GB2312" w:cs="宋体"/>
          <w:spacing w:val="15"/>
          <w:kern w:val="0"/>
          <w:sz w:val="32"/>
          <w:szCs w:val="32"/>
          <w:lang w:val="en-US" w:eastAsia="zh-CN"/>
        </w:rPr>
        <w:t>3</w:t>
      </w:r>
      <w:r>
        <w:rPr>
          <w:rFonts w:hint="eastAsia" w:ascii="仿宋_GB2312" w:hAnsi="宋体" w:eastAsia="仿宋_GB2312" w:cs="宋体"/>
          <w:spacing w:val="15"/>
          <w:kern w:val="0"/>
          <w:sz w:val="32"/>
          <w:szCs w:val="32"/>
        </w:rPr>
        <w:t>人。</w:t>
      </w:r>
    </w:p>
    <w:p>
      <w:pPr>
        <w:widowControl/>
        <w:adjustRightInd w:val="0"/>
        <w:spacing w:line="560" w:lineRule="exact"/>
        <w:ind w:firstLine="702" w:firstLineChars="200"/>
        <w:jc w:val="left"/>
        <w:rPr>
          <w:rFonts w:hint="eastAsia" w:ascii="仿宋_GB2312" w:hAnsi="宋体" w:eastAsia="仿宋_GB2312" w:cs="宋体"/>
          <w:b/>
          <w:color w:val="000000"/>
          <w:spacing w:val="15"/>
          <w:kern w:val="0"/>
          <w:sz w:val="32"/>
          <w:szCs w:val="32"/>
        </w:rPr>
      </w:pPr>
      <w:r>
        <w:rPr>
          <w:rFonts w:hint="eastAsia" w:ascii="黑体" w:hAnsi="宋体" w:eastAsia="黑体" w:cs="宋体"/>
          <w:b/>
          <w:color w:val="000000"/>
          <w:spacing w:val="15"/>
          <w:kern w:val="0"/>
          <w:sz w:val="32"/>
          <w:szCs w:val="32"/>
        </w:rPr>
        <w:t>二、202</w:t>
      </w:r>
      <w:r>
        <w:rPr>
          <w:rFonts w:hint="eastAsia" w:ascii="黑体" w:hAnsi="宋体" w:eastAsia="黑体" w:cs="宋体"/>
          <w:b/>
          <w:color w:val="000000"/>
          <w:spacing w:val="15"/>
          <w:kern w:val="0"/>
          <w:sz w:val="32"/>
          <w:szCs w:val="32"/>
          <w:lang w:val="en-US" w:eastAsia="zh-CN"/>
        </w:rPr>
        <w:t>1</w:t>
      </w:r>
      <w:r>
        <w:rPr>
          <w:rFonts w:hint="eastAsia" w:ascii="黑体" w:hAnsi="宋体" w:eastAsia="黑体" w:cs="宋体"/>
          <w:b/>
          <w:color w:val="000000"/>
          <w:spacing w:val="15"/>
          <w:kern w:val="0"/>
          <w:sz w:val="32"/>
          <w:szCs w:val="32"/>
        </w:rPr>
        <w:t>年收入及支出总体情况</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202</w:t>
      </w:r>
      <w:r>
        <w:rPr>
          <w:rFonts w:hint="eastAsia" w:ascii="仿宋_GB2312" w:hAnsi="宋体" w:eastAsia="仿宋_GB2312" w:cs="宋体"/>
          <w:color w:val="000000"/>
          <w:spacing w:val="15"/>
          <w:kern w:val="0"/>
          <w:sz w:val="32"/>
          <w:szCs w:val="32"/>
          <w:lang w:val="en-US" w:eastAsia="zh-CN"/>
        </w:rPr>
        <w:t>1</w:t>
      </w:r>
      <w:r>
        <w:rPr>
          <w:rFonts w:hint="eastAsia" w:ascii="仿宋_GB2312" w:hAnsi="宋体" w:eastAsia="仿宋_GB2312" w:cs="宋体"/>
          <w:color w:val="000000"/>
          <w:spacing w:val="15"/>
          <w:kern w:val="0"/>
          <w:sz w:val="32"/>
          <w:szCs w:val="32"/>
        </w:rPr>
        <w:t>年部门收入预算2938</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061</w:t>
      </w:r>
      <w:r>
        <w:rPr>
          <w:rFonts w:hint="eastAsia" w:ascii="仿宋_GB2312" w:hAnsi="宋体" w:eastAsia="仿宋_GB2312" w:cs="宋体"/>
          <w:color w:val="000000"/>
          <w:spacing w:val="15"/>
          <w:kern w:val="0"/>
          <w:sz w:val="32"/>
          <w:szCs w:val="32"/>
          <w:lang w:val="en-US" w:eastAsia="zh-CN"/>
        </w:rPr>
        <w:t>5</w:t>
      </w:r>
      <w:r>
        <w:rPr>
          <w:rFonts w:hint="eastAsia" w:ascii="仿宋_GB2312" w:hAnsi="宋体" w:eastAsia="仿宋_GB2312" w:cs="宋体"/>
          <w:color w:val="000000"/>
          <w:spacing w:val="15"/>
          <w:kern w:val="0"/>
          <w:sz w:val="32"/>
          <w:szCs w:val="32"/>
        </w:rPr>
        <w:t>万元，同比20</w:t>
      </w:r>
      <w:r>
        <w:rPr>
          <w:rFonts w:hint="eastAsia" w:ascii="仿宋_GB2312" w:hAnsi="宋体" w:eastAsia="仿宋_GB2312" w:cs="宋体"/>
          <w:color w:val="000000"/>
          <w:spacing w:val="15"/>
          <w:kern w:val="0"/>
          <w:sz w:val="32"/>
          <w:szCs w:val="32"/>
          <w:lang w:val="en-US" w:eastAsia="zh-CN"/>
        </w:rPr>
        <w:t>20</w:t>
      </w:r>
      <w:r>
        <w:rPr>
          <w:rFonts w:hint="eastAsia" w:ascii="仿宋_GB2312" w:hAnsi="宋体" w:eastAsia="仿宋_GB2312" w:cs="宋体"/>
          <w:color w:val="000000"/>
          <w:spacing w:val="15"/>
          <w:kern w:val="0"/>
          <w:sz w:val="32"/>
          <w:szCs w:val="32"/>
        </w:rPr>
        <w:t>年减少</w:t>
      </w:r>
      <w:r>
        <w:rPr>
          <w:rFonts w:hint="eastAsia" w:ascii="仿宋_GB2312" w:hAnsi="宋体" w:eastAsia="仿宋_GB2312" w:cs="宋体"/>
          <w:color w:val="000000"/>
          <w:spacing w:val="15"/>
          <w:kern w:val="0"/>
          <w:sz w:val="32"/>
          <w:szCs w:val="32"/>
          <w:lang w:val="en-US" w:eastAsia="zh-CN"/>
        </w:rPr>
        <w:t>1988.8568</w:t>
      </w:r>
      <w:r>
        <w:rPr>
          <w:rFonts w:hint="eastAsia" w:ascii="仿宋_GB2312" w:hAnsi="宋体" w:eastAsia="仿宋_GB2312" w:cs="宋体"/>
          <w:color w:val="000000"/>
          <w:spacing w:val="15"/>
          <w:kern w:val="0"/>
          <w:sz w:val="32"/>
          <w:szCs w:val="32"/>
        </w:rPr>
        <w:t>万元，减少</w:t>
      </w:r>
      <w:r>
        <w:rPr>
          <w:rFonts w:hint="eastAsia" w:ascii="仿宋_GB2312" w:hAnsi="宋体" w:eastAsia="仿宋_GB2312" w:cs="宋体"/>
          <w:color w:val="000000"/>
          <w:spacing w:val="15"/>
          <w:kern w:val="0"/>
          <w:sz w:val="32"/>
          <w:szCs w:val="32"/>
          <w:lang w:val="en-US" w:eastAsia="zh-CN"/>
        </w:rPr>
        <w:t>40.37</w:t>
      </w:r>
      <w:r>
        <w:rPr>
          <w:rFonts w:hint="eastAsia" w:ascii="仿宋_GB2312" w:hAnsi="宋体" w:eastAsia="仿宋_GB2312" w:cs="宋体"/>
          <w:color w:val="000000"/>
          <w:spacing w:val="15"/>
          <w:kern w:val="0"/>
          <w:sz w:val="32"/>
          <w:szCs w:val="32"/>
        </w:rPr>
        <w:t xml:space="preserve"> %，其中：财政拨款 </w:t>
      </w:r>
      <w:r>
        <w:rPr>
          <w:rFonts w:hint="eastAsia" w:ascii="仿宋_GB2312" w:hAnsi="宋体" w:eastAsia="仿宋_GB2312" w:cs="宋体"/>
          <w:color w:val="000000"/>
          <w:spacing w:val="15"/>
          <w:kern w:val="0"/>
          <w:sz w:val="32"/>
          <w:szCs w:val="32"/>
          <w:lang w:val="en-US" w:eastAsia="zh-CN"/>
        </w:rPr>
        <w:t>2819.4915</w:t>
      </w:r>
      <w:r>
        <w:rPr>
          <w:rFonts w:hint="eastAsia" w:ascii="仿宋_GB2312" w:hAnsi="宋体" w:eastAsia="仿宋_GB2312" w:cs="宋体"/>
          <w:color w:val="000000"/>
          <w:spacing w:val="15"/>
          <w:kern w:val="0"/>
          <w:sz w:val="32"/>
          <w:szCs w:val="32"/>
        </w:rPr>
        <w:t xml:space="preserve"> 万元，上年结转和结余</w:t>
      </w:r>
      <w:r>
        <w:rPr>
          <w:rFonts w:hint="eastAsia" w:ascii="仿宋_GB2312" w:hAnsi="宋体" w:eastAsia="仿宋_GB2312" w:cs="宋体"/>
          <w:color w:val="000000"/>
          <w:spacing w:val="15"/>
          <w:kern w:val="0"/>
          <w:sz w:val="32"/>
          <w:szCs w:val="32"/>
          <w:lang w:val="en-US" w:eastAsia="zh-CN"/>
        </w:rPr>
        <w:t>118.57</w:t>
      </w:r>
      <w:r>
        <w:rPr>
          <w:rFonts w:hint="eastAsia" w:ascii="仿宋_GB2312" w:hAnsi="宋体" w:eastAsia="仿宋_GB2312" w:cs="宋体"/>
          <w:color w:val="000000"/>
          <w:spacing w:val="15"/>
          <w:kern w:val="0"/>
          <w:sz w:val="32"/>
          <w:szCs w:val="32"/>
        </w:rPr>
        <w:t>万元。</w:t>
      </w:r>
    </w:p>
    <w:p>
      <w:pPr>
        <w:widowControl/>
        <w:adjustRightInd w:val="0"/>
        <w:spacing w:line="560" w:lineRule="exact"/>
        <w:ind w:firstLine="700" w:firstLineChars="200"/>
        <w:jc w:val="both"/>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202</w:t>
      </w:r>
      <w:r>
        <w:rPr>
          <w:rFonts w:hint="eastAsia" w:ascii="仿宋_GB2312" w:hAnsi="宋体" w:eastAsia="仿宋_GB2312" w:cs="宋体"/>
          <w:color w:val="000000"/>
          <w:spacing w:val="15"/>
          <w:kern w:val="0"/>
          <w:sz w:val="32"/>
          <w:szCs w:val="32"/>
          <w:lang w:val="en-US" w:eastAsia="zh-CN"/>
        </w:rPr>
        <w:t>1</w:t>
      </w:r>
      <w:r>
        <w:rPr>
          <w:rFonts w:hint="eastAsia" w:ascii="仿宋_GB2312" w:hAnsi="宋体" w:eastAsia="仿宋_GB2312" w:cs="宋体"/>
          <w:color w:val="000000"/>
          <w:spacing w:val="15"/>
          <w:kern w:val="0"/>
          <w:sz w:val="32"/>
          <w:szCs w:val="32"/>
        </w:rPr>
        <w:t>年部门支出预算2938</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061</w:t>
      </w:r>
      <w:r>
        <w:rPr>
          <w:rFonts w:hint="eastAsia" w:ascii="仿宋_GB2312" w:hAnsi="宋体" w:eastAsia="仿宋_GB2312" w:cs="宋体"/>
          <w:color w:val="000000"/>
          <w:spacing w:val="15"/>
          <w:kern w:val="0"/>
          <w:sz w:val="32"/>
          <w:szCs w:val="32"/>
          <w:lang w:val="en-US" w:eastAsia="zh-CN"/>
        </w:rPr>
        <w:t>5</w:t>
      </w:r>
      <w:r>
        <w:rPr>
          <w:rFonts w:hint="eastAsia" w:ascii="仿宋_GB2312" w:hAnsi="宋体" w:eastAsia="仿宋_GB2312" w:cs="宋体"/>
          <w:color w:val="000000"/>
          <w:spacing w:val="15"/>
          <w:kern w:val="0"/>
          <w:sz w:val="32"/>
          <w:szCs w:val="32"/>
        </w:rPr>
        <w:t>万元，比20</w:t>
      </w:r>
      <w:r>
        <w:rPr>
          <w:rFonts w:hint="eastAsia" w:ascii="仿宋_GB2312" w:hAnsi="宋体" w:eastAsia="仿宋_GB2312" w:cs="宋体"/>
          <w:color w:val="000000"/>
          <w:spacing w:val="15"/>
          <w:kern w:val="0"/>
          <w:sz w:val="32"/>
          <w:szCs w:val="32"/>
          <w:lang w:val="en-US" w:eastAsia="zh-CN"/>
        </w:rPr>
        <w:t>20</w:t>
      </w:r>
      <w:r>
        <w:rPr>
          <w:rFonts w:hint="eastAsia" w:ascii="仿宋_GB2312" w:hAnsi="宋体" w:eastAsia="仿宋_GB2312" w:cs="宋体"/>
          <w:color w:val="000000"/>
          <w:spacing w:val="15"/>
          <w:kern w:val="0"/>
          <w:sz w:val="32"/>
          <w:szCs w:val="32"/>
        </w:rPr>
        <w:t>年减少</w:t>
      </w:r>
      <w:r>
        <w:rPr>
          <w:rFonts w:hint="eastAsia" w:ascii="仿宋_GB2312" w:hAnsi="宋体" w:eastAsia="仿宋_GB2312" w:cs="宋体"/>
          <w:color w:val="000000"/>
          <w:spacing w:val="15"/>
          <w:kern w:val="0"/>
          <w:sz w:val="32"/>
          <w:szCs w:val="32"/>
          <w:lang w:val="en-US" w:eastAsia="zh-CN"/>
        </w:rPr>
        <w:t>1988.8568</w:t>
      </w:r>
      <w:r>
        <w:rPr>
          <w:rFonts w:hint="eastAsia" w:ascii="仿宋_GB2312" w:hAnsi="宋体" w:eastAsia="仿宋_GB2312" w:cs="宋体"/>
          <w:color w:val="000000"/>
          <w:spacing w:val="15"/>
          <w:kern w:val="0"/>
          <w:sz w:val="32"/>
          <w:szCs w:val="32"/>
        </w:rPr>
        <w:t>万元，减少</w:t>
      </w:r>
      <w:r>
        <w:rPr>
          <w:rFonts w:hint="eastAsia" w:ascii="仿宋_GB2312" w:hAnsi="宋体" w:eastAsia="仿宋_GB2312" w:cs="宋体"/>
          <w:color w:val="000000"/>
          <w:spacing w:val="15"/>
          <w:kern w:val="0"/>
          <w:sz w:val="32"/>
          <w:szCs w:val="32"/>
          <w:lang w:val="en-US" w:eastAsia="zh-CN"/>
        </w:rPr>
        <w:t>40.37</w:t>
      </w:r>
      <w:r>
        <w:rPr>
          <w:rFonts w:hint="eastAsia" w:ascii="仿宋_GB2312" w:hAnsi="宋体" w:eastAsia="仿宋_GB2312" w:cs="宋体"/>
          <w:color w:val="000000"/>
          <w:spacing w:val="15"/>
          <w:kern w:val="0"/>
          <w:sz w:val="32"/>
          <w:szCs w:val="32"/>
        </w:rPr>
        <w:t>%，其中基本支出预算1159</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4915万元，项目支出预算1778</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57万元。按支出功能分类，一般公共服务支出1560</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4449万元</w:t>
      </w:r>
      <w:r>
        <w:rPr>
          <w:rFonts w:hint="eastAsia" w:ascii="仿宋_GB2312" w:hAnsi="宋体" w:eastAsia="仿宋_GB2312" w:cs="宋体"/>
          <w:color w:val="000000"/>
          <w:spacing w:val="15"/>
          <w:kern w:val="0"/>
          <w:sz w:val="32"/>
          <w:szCs w:val="32"/>
          <w:lang w:val="en-US" w:eastAsia="zh-CN"/>
        </w:rPr>
        <w:t>,教育支出1.35万元，社会保障和就业支出122.5784万元，交通运输支出1100万元，住房保障支出153.6882万元</w:t>
      </w:r>
      <w:r>
        <w:rPr>
          <w:rFonts w:hint="eastAsia" w:ascii="仿宋_GB2312" w:hAnsi="宋体" w:eastAsia="仿宋_GB2312" w:cs="宋体"/>
          <w:color w:val="000000"/>
          <w:spacing w:val="15"/>
          <w:kern w:val="0"/>
          <w:sz w:val="32"/>
          <w:szCs w:val="32"/>
        </w:rPr>
        <w:t>。</w:t>
      </w:r>
    </w:p>
    <w:p>
      <w:pPr>
        <w:widowControl/>
        <w:adjustRightInd w:val="0"/>
        <w:spacing w:line="560" w:lineRule="exact"/>
        <w:ind w:firstLine="702" w:firstLineChars="200"/>
        <w:jc w:val="left"/>
        <w:rPr>
          <w:rFonts w:hint="eastAsia"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rPr>
        <w:t>三、主要支出内容</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上述支出中，主要用于以下内容：</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1、行政机关、事业单位人员工资及日常运转经费；</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2、行政机关</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事业单位一般公共服务经费；</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3、行政机关、事业单位人员教育经费；</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4、行政机关、事业单位工作项目经费。</w:t>
      </w:r>
    </w:p>
    <w:p>
      <w:pPr>
        <w:widowControl/>
        <w:adjustRightInd w:val="0"/>
        <w:spacing w:line="560" w:lineRule="exact"/>
        <w:ind w:firstLine="702" w:firstLineChars="200"/>
        <w:jc w:val="left"/>
        <w:rPr>
          <w:rFonts w:hint="eastAsia"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rPr>
        <w:t>四、政府采购情况说明</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202</w:t>
      </w:r>
      <w:r>
        <w:rPr>
          <w:rFonts w:hint="eastAsia" w:ascii="仿宋_GB2312" w:hAnsi="宋体" w:eastAsia="仿宋_GB2312" w:cs="宋体"/>
          <w:color w:val="000000"/>
          <w:spacing w:val="15"/>
          <w:kern w:val="0"/>
          <w:sz w:val="32"/>
          <w:szCs w:val="32"/>
          <w:lang w:val="en-US" w:eastAsia="zh-CN"/>
        </w:rPr>
        <w:t>1</w:t>
      </w:r>
      <w:r>
        <w:rPr>
          <w:rFonts w:hint="eastAsia" w:ascii="仿宋_GB2312" w:hAnsi="宋体" w:eastAsia="仿宋_GB2312" w:cs="宋体"/>
          <w:color w:val="000000"/>
          <w:spacing w:val="15"/>
          <w:kern w:val="0"/>
          <w:sz w:val="32"/>
          <w:szCs w:val="32"/>
        </w:rPr>
        <w:t>年政府采购预算总额为</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万元，其中：政府采购货物预算</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万元，政府采购工程预算</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万元，政府采购服务预算</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万元。</w:t>
      </w:r>
    </w:p>
    <w:p>
      <w:pPr>
        <w:widowControl/>
        <w:adjustRightInd w:val="0"/>
        <w:spacing w:line="560" w:lineRule="exact"/>
        <w:ind w:firstLine="702" w:firstLineChars="200"/>
        <w:jc w:val="left"/>
        <w:rPr>
          <w:rFonts w:hint="eastAsia"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rPr>
        <w:t>五、机关运行经费财政拨款预算安排说明</w:t>
      </w:r>
    </w:p>
    <w:p>
      <w:pPr>
        <w:widowControl/>
        <w:adjustRightInd w:val="0"/>
        <w:spacing w:line="560" w:lineRule="exact"/>
        <w:ind w:firstLine="700" w:firstLineChars="200"/>
        <w:jc w:val="both"/>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202</w:t>
      </w:r>
      <w:r>
        <w:rPr>
          <w:rFonts w:hint="eastAsia" w:ascii="仿宋_GB2312" w:hAnsi="宋体" w:eastAsia="仿宋_GB2312" w:cs="宋体"/>
          <w:color w:val="000000"/>
          <w:spacing w:val="15"/>
          <w:kern w:val="0"/>
          <w:sz w:val="32"/>
          <w:szCs w:val="32"/>
          <w:lang w:val="en-US" w:eastAsia="zh-CN"/>
        </w:rPr>
        <w:t>1</w:t>
      </w:r>
      <w:r>
        <w:rPr>
          <w:rFonts w:hint="eastAsia" w:ascii="仿宋_GB2312" w:hAnsi="宋体" w:eastAsia="仿宋_GB2312" w:cs="宋体"/>
          <w:color w:val="000000"/>
          <w:spacing w:val="15"/>
          <w:kern w:val="0"/>
          <w:sz w:val="32"/>
          <w:szCs w:val="32"/>
        </w:rPr>
        <w:t>年本部门行政单位（含参照公务员法管理事业单位）履行一般行政管理职能、维持机关运行，用财政拨款安排的基本支出中的日常公用经费合计</w:t>
      </w:r>
      <w:r>
        <w:rPr>
          <w:rFonts w:hint="eastAsia" w:ascii="仿宋_GB2312" w:hAnsi="宋体" w:eastAsia="仿宋_GB2312" w:cs="宋体"/>
          <w:color w:val="000000"/>
          <w:spacing w:val="15"/>
          <w:kern w:val="0"/>
          <w:sz w:val="32"/>
          <w:szCs w:val="32"/>
          <w:lang w:val="en-US" w:eastAsia="zh-CN"/>
        </w:rPr>
        <w:t>68.29</w:t>
      </w:r>
      <w:r>
        <w:rPr>
          <w:rFonts w:hint="eastAsia" w:ascii="仿宋_GB2312" w:hAnsi="宋体" w:eastAsia="仿宋_GB2312" w:cs="宋体"/>
          <w:color w:val="000000"/>
          <w:spacing w:val="15"/>
          <w:kern w:val="0"/>
          <w:sz w:val="32"/>
          <w:szCs w:val="32"/>
        </w:rPr>
        <w:t>万元，主要用于：办公费3.0</w:t>
      </w:r>
      <w:r>
        <w:rPr>
          <w:rFonts w:hint="eastAsia" w:ascii="仿宋_GB2312" w:hAnsi="宋体" w:eastAsia="仿宋_GB2312" w:cs="宋体"/>
          <w:color w:val="000000"/>
          <w:spacing w:val="15"/>
          <w:kern w:val="0"/>
          <w:sz w:val="32"/>
          <w:szCs w:val="32"/>
          <w:lang w:val="en-US" w:eastAsia="zh-CN"/>
        </w:rPr>
        <w:t>1</w:t>
      </w:r>
      <w:r>
        <w:rPr>
          <w:rFonts w:hint="eastAsia" w:ascii="仿宋_GB2312" w:hAnsi="宋体" w:eastAsia="仿宋_GB2312" w:cs="宋体"/>
          <w:color w:val="000000"/>
          <w:spacing w:val="15"/>
          <w:kern w:val="0"/>
          <w:sz w:val="32"/>
          <w:szCs w:val="32"/>
        </w:rPr>
        <w:t>万元，印刷费0.41万元，邮电费0.18万元，差旅费0.27万元，维护费0.27万元，会议费0.81万元，培训费1.35万元，工会经费1</w:t>
      </w:r>
      <w:r>
        <w:rPr>
          <w:rFonts w:hint="eastAsia" w:ascii="仿宋_GB2312" w:hAnsi="宋体" w:eastAsia="仿宋_GB2312" w:cs="宋体"/>
          <w:color w:val="000000"/>
          <w:spacing w:val="15"/>
          <w:kern w:val="0"/>
          <w:sz w:val="32"/>
          <w:szCs w:val="32"/>
          <w:lang w:val="en-US" w:eastAsia="zh-CN"/>
        </w:rPr>
        <w:t>4.34</w:t>
      </w:r>
      <w:r>
        <w:rPr>
          <w:rFonts w:hint="eastAsia" w:ascii="仿宋_GB2312" w:hAnsi="宋体" w:eastAsia="仿宋_GB2312" w:cs="宋体"/>
          <w:color w:val="000000"/>
          <w:spacing w:val="15"/>
          <w:kern w:val="0"/>
          <w:sz w:val="32"/>
          <w:szCs w:val="32"/>
        </w:rPr>
        <w:t>万元，福利费10.15万元，其他交通费用25.</w:t>
      </w:r>
      <w:r>
        <w:rPr>
          <w:rFonts w:hint="eastAsia" w:ascii="仿宋_GB2312" w:hAnsi="宋体" w:eastAsia="仿宋_GB2312" w:cs="宋体"/>
          <w:color w:val="000000"/>
          <w:spacing w:val="15"/>
          <w:kern w:val="0"/>
          <w:sz w:val="32"/>
          <w:szCs w:val="32"/>
          <w:lang w:val="en-US" w:eastAsia="zh-CN"/>
        </w:rPr>
        <w:t>49</w:t>
      </w:r>
      <w:r>
        <w:rPr>
          <w:rFonts w:hint="eastAsia" w:ascii="仿宋_GB2312" w:hAnsi="宋体" w:eastAsia="仿宋_GB2312" w:cs="宋体"/>
          <w:color w:val="000000"/>
          <w:spacing w:val="15"/>
          <w:kern w:val="0"/>
          <w:sz w:val="32"/>
          <w:szCs w:val="32"/>
        </w:rPr>
        <w:t>万元，其他商品和服务支出1</w:t>
      </w:r>
      <w:r>
        <w:rPr>
          <w:rFonts w:hint="eastAsia" w:ascii="仿宋_GB2312" w:hAnsi="宋体" w:eastAsia="仿宋_GB2312" w:cs="宋体"/>
          <w:color w:val="000000"/>
          <w:spacing w:val="15"/>
          <w:kern w:val="0"/>
          <w:sz w:val="32"/>
          <w:szCs w:val="32"/>
          <w:lang w:val="en-US" w:eastAsia="zh-CN"/>
        </w:rPr>
        <w:t>2.01</w:t>
      </w:r>
      <w:r>
        <w:rPr>
          <w:rFonts w:hint="eastAsia" w:ascii="仿宋_GB2312" w:hAnsi="宋体" w:eastAsia="仿宋_GB2312" w:cs="宋体"/>
          <w:color w:val="000000"/>
          <w:spacing w:val="15"/>
          <w:kern w:val="0"/>
          <w:sz w:val="32"/>
          <w:szCs w:val="32"/>
        </w:rPr>
        <w:t>万元。</w:t>
      </w:r>
    </w:p>
    <w:p>
      <w:pPr>
        <w:widowControl/>
        <w:adjustRightInd w:val="0"/>
        <w:spacing w:line="560" w:lineRule="exact"/>
        <w:ind w:firstLine="702" w:firstLineChars="200"/>
        <w:jc w:val="left"/>
        <w:rPr>
          <w:rFonts w:hint="eastAsia"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rPr>
        <w:t>六、行政事业性收费重点项目信息说明</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我单位不涉及此项内容。</w:t>
      </w:r>
    </w:p>
    <w:p>
      <w:pPr>
        <w:widowControl/>
        <w:adjustRightInd w:val="0"/>
        <w:spacing w:line="560" w:lineRule="exact"/>
        <w:ind w:firstLine="702" w:firstLineChars="200"/>
        <w:jc w:val="left"/>
        <w:rPr>
          <w:rFonts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rPr>
        <w:t>七、固定资产占</w:t>
      </w:r>
      <w:r>
        <w:rPr>
          <w:rFonts w:hint="eastAsia" w:ascii="黑体" w:hAnsi="宋体" w:eastAsia="黑体" w:cs="宋体"/>
          <w:b/>
          <w:color w:val="000000"/>
          <w:spacing w:val="15"/>
          <w:kern w:val="0"/>
          <w:sz w:val="32"/>
          <w:szCs w:val="32"/>
          <w:lang w:eastAsia="zh-CN"/>
        </w:rPr>
        <w:t>有</w:t>
      </w:r>
      <w:r>
        <w:rPr>
          <w:rFonts w:hint="eastAsia" w:ascii="黑体" w:hAnsi="宋体" w:eastAsia="黑体" w:cs="宋体"/>
          <w:b/>
          <w:color w:val="000000"/>
          <w:spacing w:val="15"/>
          <w:kern w:val="0"/>
          <w:sz w:val="32"/>
          <w:szCs w:val="32"/>
        </w:rPr>
        <w:t>使用情况说明</w:t>
      </w:r>
    </w:p>
    <w:p>
      <w:pPr>
        <w:widowControl/>
        <w:adjustRightInd w:val="0"/>
        <w:spacing w:line="560" w:lineRule="exact"/>
        <w:ind w:firstLine="700" w:firstLineChars="200"/>
        <w:jc w:val="left"/>
        <w:rPr>
          <w:rFonts w:hint="eastAsia" w:ascii="仿宋_GB2312" w:hAnsi="宋体" w:eastAsia="仿宋_GB2312" w:cs="宋体"/>
          <w:b/>
          <w:color w:val="000000"/>
          <w:spacing w:val="15"/>
          <w:kern w:val="0"/>
          <w:sz w:val="32"/>
          <w:szCs w:val="32"/>
        </w:rPr>
      </w:pPr>
      <w:r>
        <w:rPr>
          <w:rFonts w:hint="eastAsia" w:ascii="仿宋_GB2312" w:hAnsi="宋体" w:eastAsia="仿宋_GB2312" w:cs="宋体"/>
          <w:color w:val="000000"/>
          <w:spacing w:val="15"/>
          <w:kern w:val="0"/>
          <w:sz w:val="32"/>
          <w:szCs w:val="32"/>
        </w:rPr>
        <w:t>我单位在政府办公区办公，固有资产在机关事务管理服务中心统一核算。</w:t>
      </w:r>
    </w:p>
    <w:p>
      <w:pPr>
        <w:widowControl/>
        <w:numPr>
          <w:ilvl w:val="0"/>
          <w:numId w:val="0"/>
        </w:numPr>
        <w:adjustRightInd w:val="0"/>
        <w:spacing w:line="560" w:lineRule="exact"/>
        <w:ind w:firstLine="762"/>
        <w:jc w:val="left"/>
        <w:rPr>
          <w:rFonts w:hint="eastAsia" w:ascii="黑体" w:hAnsi="宋体" w:eastAsia="黑体" w:cs="黑体"/>
          <w:b/>
          <w:i w:val="0"/>
          <w:caps w:val="0"/>
          <w:color w:val="404040"/>
          <w:spacing w:val="0"/>
          <w:kern w:val="0"/>
          <w:sz w:val="32"/>
          <w:szCs w:val="32"/>
          <w:u w:val="none"/>
          <w:bdr w:val="none" w:color="auto" w:sz="0" w:space="0"/>
          <w:shd w:val="clear" w:fill="FFFFFF"/>
          <w:lang w:val="en-US" w:eastAsia="zh-CN" w:bidi="ar"/>
        </w:rPr>
      </w:pPr>
      <w:r>
        <w:rPr>
          <w:rFonts w:hint="eastAsia" w:ascii="黑体" w:hAnsi="宋体" w:eastAsia="黑体" w:cs="黑体"/>
          <w:b/>
          <w:i w:val="0"/>
          <w:caps w:val="0"/>
          <w:color w:val="404040"/>
          <w:spacing w:val="0"/>
          <w:kern w:val="0"/>
          <w:sz w:val="32"/>
          <w:szCs w:val="32"/>
          <w:u w:val="none"/>
          <w:bdr w:val="none" w:color="auto" w:sz="0" w:space="0"/>
          <w:shd w:val="clear" w:fill="FFFFFF"/>
          <w:lang w:val="en-US" w:eastAsia="zh-CN" w:bidi="ar"/>
        </w:rPr>
        <w:t>八、部门“三公”经费财政拨款预算说明</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2021年部门预算“三公”经费财政拨款预算安排0万元。比2020年“三公”经费财政拨款预算0万元增加（减少）0万元。其中：</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1.因公出国（境）费用。2021年财政拨款预算安排0万元，与2020年财政拨款预算安排持平。</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2.公务接待费。2021年财政拨款预算安排0万元，与2020年财政拨款预算安排持平。</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 xml:space="preserve">3.公务用车购置及运行维护费。2021年财政拨款预算安排0万元，与2020年财政拨款预算安排持平。    </w:t>
      </w:r>
    </w:p>
    <w:p>
      <w:pPr>
        <w:widowControl/>
        <w:adjustRightInd w:val="0"/>
        <w:spacing w:line="560" w:lineRule="exact"/>
        <w:ind w:firstLine="642" w:firstLineChars="200"/>
        <w:jc w:val="left"/>
        <w:rPr>
          <w:rFonts w:hint="eastAsia" w:ascii="黑体" w:hAnsi="宋体" w:eastAsia="黑体" w:cs="黑体"/>
          <w:b/>
          <w:i w:val="0"/>
          <w:caps w:val="0"/>
          <w:color w:val="404040"/>
          <w:spacing w:val="0"/>
          <w:kern w:val="0"/>
          <w:sz w:val="32"/>
          <w:szCs w:val="32"/>
          <w:u w:val="none"/>
          <w:shd w:val="clear" w:fill="FFFFFF"/>
          <w:lang w:val="en-US" w:eastAsia="zh-CN" w:bidi="ar"/>
        </w:rPr>
      </w:pPr>
      <w:r>
        <w:rPr>
          <w:rFonts w:hint="eastAsia" w:ascii="黑体" w:hAnsi="宋体" w:eastAsia="黑体" w:cs="黑体"/>
          <w:b/>
          <w:i w:val="0"/>
          <w:caps w:val="0"/>
          <w:color w:val="404040"/>
          <w:spacing w:val="0"/>
          <w:kern w:val="0"/>
          <w:sz w:val="32"/>
          <w:szCs w:val="32"/>
          <w:u w:val="none"/>
          <w:shd w:val="clear" w:fill="FFFFFF"/>
          <w:lang w:val="en-US" w:eastAsia="zh-CN" w:bidi="ar"/>
        </w:rPr>
        <w:t>九、预算绩效管理情况说明</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2021年区委政法委填报绩效目标的预算项目7个，占本部门全部预算项目13个的53.85%。填报绩效目标的项目支出预算1320.92万元，占本部门全部项目支出预算的74.27%。</w:t>
      </w:r>
    </w:p>
    <w:p>
      <w:pPr>
        <w:widowControl/>
        <w:adjustRightInd w:val="0"/>
        <w:spacing w:line="560" w:lineRule="exact"/>
        <w:ind w:firstLine="642" w:firstLineChars="200"/>
        <w:jc w:val="left"/>
        <w:rPr>
          <w:rFonts w:hint="eastAsia" w:ascii="黑体" w:hAnsi="宋体" w:eastAsia="黑体" w:cs="黑体"/>
          <w:b/>
          <w:i w:val="0"/>
          <w:caps w:val="0"/>
          <w:color w:val="404040"/>
          <w:spacing w:val="0"/>
          <w:kern w:val="0"/>
          <w:sz w:val="32"/>
          <w:szCs w:val="32"/>
          <w:u w:val="none"/>
          <w:shd w:val="clear" w:fill="FFFFFF"/>
          <w:lang w:val="en-US" w:eastAsia="zh-CN" w:bidi="ar"/>
        </w:rPr>
      </w:pPr>
      <w:r>
        <w:rPr>
          <w:rFonts w:hint="eastAsia" w:ascii="黑体" w:hAnsi="宋体" w:eastAsia="黑体" w:cs="黑体"/>
          <w:b/>
          <w:i w:val="0"/>
          <w:caps w:val="0"/>
          <w:color w:val="404040"/>
          <w:spacing w:val="0"/>
          <w:kern w:val="0"/>
          <w:sz w:val="32"/>
          <w:szCs w:val="32"/>
          <w:u w:val="none"/>
          <w:shd w:val="clear" w:fill="FFFFFF"/>
          <w:lang w:val="en-US" w:eastAsia="zh-CN" w:bidi="ar"/>
        </w:rPr>
        <w:t>十、其他事项说明</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无</w:t>
      </w:r>
    </w:p>
    <w:p>
      <w:pPr>
        <w:widowControl/>
        <w:adjustRightInd w:val="0"/>
        <w:spacing w:line="560" w:lineRule="exact"/>
        <w:ind w:firstLine="642" w:firstLineChars="200"/>
        <w:jc w:val="left"/>
        <w:rPr>
          <w:rFonts w:hint="default" w:ascii="黑体" w:hAnsi="宋体" w:eastAsia="黑体" w:cs="黑体"/>
          <w:b/>
          <w:i w:val="0"/>
          <w:caps w:val="0"/>
          <w:color w:val="404040"/>
          <w:spacing w:val="0"/>
          <w:kern w:val="0"/>
          <w:sz w:val="32"/>
          <w:szCs w:val="32"/>
          <w:u w:val="none"/>
          <w:shd w:val="clear" w:fill="FFFFFF"/>
          <w:lang w:val="en-US" w:eastAsia="zh-CN" w:bidi="ar"/>
        </w:rPr>
      </w:pPr>
      <w:r>
        <w:rPr>
          <w:rFonts w:hint="eastAsia" w:ascii="黑体" w:hAnsi="宋体" w:eastAsia="黑体" w:cs="黑体"/>
          <w:b/>
          <w:i w:val="0"/>
          <w:caps w:val="0"/>
          <w:color w:val="404040"/>
          <w:spacing w:val="0"/>
          <w:kern w:val="0"/>
          <w:sz w:val="32"/>
          <w:szCs w:val="32"/>
          <w:u w:val="none"/>
          <w:shd w:val="clear" w:fill="FFFFFF"/>
          <w:lang w:val="en-US" w:eastAsia="zh-CN" w:bidi="ar"/>
        </w:rPr>
        <w:t>十一、专业名词解释</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预算：</w:t>
      </w:r>
      <w:r>
        <w:rPr>
          <w:rFonts w:hint="eastAsia" w:ascii="仿宋_GB2312" w:hAnsi="Calibri" w:eastAsia="仿宋_GB2312"/>
          <w:sz w:val="30"/>
          <w:szCs w:val="30"/>
        </w:rPr>
        <w:t>指遵循统筹兼顾、勤俭节约、量力而行、讲求绩效和收支平衡的原则编制，经法定程序审核批准的国家年度集中性财政收支计划。政府的全部收入和支出都应当纳入预算，地方各级预算一般不列赤字。</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政府预算体系：</w:t>
      </w:r>
      <w:r>
        <w:rPr>
          <w:rFonts w:hint="eastAsia" w:ascii="仿宋_GB2312" w:hAnsi="Calibri" w:eastAsia="仿宋_GB2312"/>
          <w:sz w:val="30"/>
          <w:szCs w:val="30"/>
        </w:rPr>
        <w:t>由一般公共预算、政府性基金预算、国有资本经营预算和社会保险基金预算共同组成。四本预算保持完整、独立并相衔接，全面反映政府收支总量、结构和管理活动。</w:t>
      </w:r>
    </w:p>
    <w:p>
      <w:pPr>
        <w:spacing w:line="480" w:lineRule="exact"/>
        <w:ind w:firstLine="602" w:firstLineChars="200"/>
        <w:rPr>
          <w:rFonts w:hint="eastAsia" w:ascii="仿宋_GB2312" w:hAnsi="Calibri" w:eastAsia="仿宋_GB2312"/>
          <w:sz w:val="30"/>
          <w:szCs w:val="30"/>
        </w:rPr>
      </w:pPr>
      <w:r>
        <w:rPr>
          <w:rFonts w:hint="eastAsia" w:ascii="仿宋_GB2312" w:hAnsi="Calibri" w:eastAsia="仿宋_GB2312"/>
          <w:b/>
          <w:sz w:val="30"/>
          <w:szCs w:val="30"/>
        </w:rPr>
        <w:t>一般公共预算：</w:t>
      </w:r>
      <w:r>
        <w:rPr>
          <w:rFonts w:hint="eastAsia" w:ascii="仿宋_GB2312" w:hAnsi="Calibri" w:eastAsia="仿宋_GB2312"/>
          <w:sz w:val="30"/>
          <w:szCs w:val="30"/>
        </w:rPr>
        <w:t>对以税收为主体的财政收入，安排用于保障和改善民生、推动经济社会发展、维护国家安全、维持国家机构正常运转等方面的收支预算。</w:t>
      </w:r>
    </w:p>
    <w:p>
      <w:pPr>
        <w:tabs>
          <w:tab w:val="left" w:pos="2043"/>
        </w:tabs>
        <w:spacing w:line="480" w:lineRule="exact"/>
        <w:ind w:firstLine="602" w:firstLineChars="200"/>
        <w:rPr>
          <w:rFonts w:ascii="仿宋_GB2312" w:hAnsi="Calibri" w:eastAsia="仿宋_GB2312"/>
          <w:spacing w:val="-2"/>
          <w:sz w:val="30"/>
          <w:szCs w:val="30"/>
        </w:rPr>
      </w:pPr>
      <w:r>
        <w:rPr>
          <w:rFonts w:hint="eastAsia" w:ascii="仿宋_GB2312" w:hAnsi="Calibri" w:eastAsia="仿宋_GB2312"/>
          <w:b/>
          <w:sz w:val="30"/>
          <w:szCs w:val="30"/>
        </w:rPr>
        <w:t>一般性转移支付：</w:t>
      </w:r>
      <w:r>
        <w:rPr>
          <w:rFonts w:hint="eastAsia" w:ascii="仿宋_GB2312" w:hAnsi="Calibri" w:eastAsia="仿宋_GB2312"/>
          <w:spacing w:val="-2"/>
          <w:sz w:val="30"/>
          <w:szCs w:val="30"/>
        </w:rPr>
        <w:t>指上级政府为均衡地区间基本财力，根据下级政府在组织财政收入能力、必要支出需求、各地自然经济和社会条件差异等因素，按照基本标准和计算方法测算，将其无偿转作下级政府收入来源，并由下级政府统筹安排使用的转移支付。</w:t>
      </w:r>
    </w:p>
    <w:p>
      <w:pPr>
        <w:tabs>
          <w:tab w:val="left" w:pos="2043"/>
        </w:tabs>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专项转移支付：</w:t>
      </w:r>
      <w:r>
        <w:rPr>
          <w:rFonts w:hint="eastAsia" w:ascii="仿宋_GB2312" w:hAnsi="Calibri" w:eastAsia="仿宋_GB2312"/>
          <w:sz w:val="30"/>
          <w:szCs w:val="30"/>
        </w:rPr>
        <w:t>指上级政府对承担委托事务、共同事务的下级政府，给予的用于办理特定事项的转移支付。</w:t>
      </w:r>
    </w:p>
    <w:p>
      <w:pPr>
        <w:tabs>
          <w:tab w:val="left" w:pos="2043"/>
        </w:tabs>
        <w:spacing w:line="480" w:lineRule="exact"/>
        <w:ind w:firstLine="602" w:firstLineChars="200"/>
        <w:rPr>
          <w:rFonts w:hint="eastAsia" w:ascii="仿宋_GB2312" w:hAnsi="Calibri" w:eastAsia="仿宋_GB2312"/>
          <w:sz w:val="30"/>
          <w:szCs w:val="30"/>
        </w:rPr>
      </w:pPr>
      <w:r>
        <w:rPr>
          <w:rFonts w:hint="eastAsia" w:ascii="仿宋_GB2312" w:hAnsi="Calibri" w:eastAsia="仿宋_GB2312"/>
          <w:b/>
          <w:sz w:val="30"/>
          <w:szCs w:val="30"/>
        </w:rPr>
        <w:t>结余结转资金：</w:t>
      </w:r>
      <w:r>
        <w:rPr>
          <w:rFonts w:hint="eastAsia" w:ascii="仿宋_GB2312" w:hAnsi="Calibri" w:eastAsia="仿宋_GB2312"/>
          <w:sz w:val="30"/>
          <w:szCs w:val="30"/>
        </w:rPr>
        <w:t>指当年预算已执行但工作目标未完成，或者因故未执行，下一年度需要按原用途继续使用的资金。</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部门预算:</w:t>
      </w:r>
      <w:r>
        <w:rPr>
          <w:rFonts w:hint="eastAsia" w:ascii="仿宋_GB2312" w:hAnsi="Calibri" w:eastAsia="仿宋_GB2312"/>
          <w:sz w:val="30"/>
          <w:szCs w:val="30"/>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spacing w:line="480" w:lineRule="exact"/>
        <w:ind w:firstLine="602" w:firstLineChars="200"/>
        <w:rPr>
          <w:rFonts w:hint="eastAsia" w:ascii="仿宋_GB2312" w:hAnsi="Calibri" w:eastAsia="仿宋_GB2312"/>
          <w:sz w:val="30"/>
          <w:szCs w:val="30"/>
        </w:rPr>
      </w:pPr>
      <w:r>
        <w:rPr>
          <w:rFonts w:hint="eastAsia" w:ascii="仿宋_GB2312" w:hAnsi="Calibri" w:eastAsia="仿宋_GB2312"/>
          <w:b/>
          <w:sz w:val="30"/>
          <w:szCs w:val="30"/>
        </w:rPr>
        <w:t xml:space="preserve">国库集中收付: </w:t>
      </w:r>
      <w:r>
        <w:rPr>
          <w:rFonts w:hint="eastAsia" w:ascii="仿宋_GB2312" w:hAnsi="Calibri" w:eastAsia="仿宋_GB2312"/>
          <w:sz w:val="30"/>
          <w:szCs w:val="30"/>
        </w:rPr>
        <w:t>指所有财政性资金纳入国库单一账户体系管理，收入直接缴入国库或财政专户，支出在支付行为发生时通过国库单一账户体系以直接支付和授权支付方式支付到收款人或用款单位的现代国库管理制度。</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 xml:space="preserve">政府采购: </w:t>
      </w:r>
      <w:r>
        <w:rPr>
          <w:rFonts w:hint="eastAsia" w:ascii="仿宋_GB2312" w:hAnsi="Calibri" w:eastAsia="仿宋_GB2312"/>
          <w:sz w:val="30"/>
          <w:szCs w:val="30"/>
        </w:rPr>
        <w:t>指各级国家机关、事业单位和团体组织，使用财政性资金采购依法制定的集中采购目录以内的或者采购限额标准以上的货物、工程和服务的行为。政府采购是规范财政支出管理和强化预算约束的有效措施。</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预算绩效管理：</w:t>
      </w:r>
      <w:r>
        <w:rPr>
          <w:rFonts w:hint="eastAsia" w:ascii="仿宋_GB2312" w:hAnsi="Calibri" w:eastAsia="仿宋_GB2312"/>
          <w:sz w:val="30"/>
          <w:szCs w:val="30"/>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财政投资评审：</w:t>
      </w:r>
      <w:r>
        <w:rPr>
          <w:rFonts w:hint="eastAsia" w:ascii="仿宋_GB2312" w:hAnsi="Calibri" w:eastAsia="仿宋_GB2312"/>
          <w:sz w:val="30"/>
          <w:szCs w:val="30"/>
        </w:rPr>
        <w:t>指财政部门为加强财政资金管理，提高财政预算编制的科学性、准确性，运用技术手段对财政性资金投资项目预、决（结）算进行评价审查和专项检查的行为。财政投资评审是财政部门项目支出预算编制的重要环节和手段。</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“三公”经费：</w:t>
      </w:r>
      <w:r>
        <w:rPr>
          <w:rFonts w:hint="eastAsia" w:ascii="仿宋_GB2312" w:hAnsi="Calibri" w:eastAsia="仿宋_GB2312"/>
          <w:sz w:val="30"/>
          <w:szCs w:val="30"/>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政府购买服务：</w:t>
      </w:r>
      <w:r>
        <w:rPr>
          <w:rFonts w:hint="eastAsia" w:ascii="仿宋_GB2312" w:hAnsi="Calibri" w:eastAsia="仿宋_GB2312"/>
          <w:sz w:val="30"/>
          <w:szCs w:val="30"/>
        </w:rPr>
        <w:t>指通过发挥市场机制作用，把政府直接向社会公众提供的公共服务等事项，按照一定的方式和程序，交由具备条件的社会力量承担，并由政府根据服务数量和质量向其支付费用。</w:t>
      </w:r>
    </w:p>
    <w:p>
      <w:pPr>
        <w:spacing w:line="480" w:lineRule="exact"/>
        <w:ind w:firstLine="602" w:firstLineChars="200"/>
        <w:rPr>
          <w:rFonts w:hint="eastAsia" w:ascii="仿宋_GB2312" w:hAnsi="Calibri" w:eastAsia="仿宋_GB2312"/>
          <w:sz w:val="30"/>
          <w:szCs w:val="30"/>
        </w:rPr>
      </w:pPr>
      <w:r>
        <w:rPr>
          <w:rFonts w:hint="eastAsia" w:ascii="仿宋_GB2312" w:hAnsi="Calibri" w:eastAsia="仿宋_GB2312"/>
          <w:b/>
          <w:sz w:val="30"/>
          <w:szCs w:val="30"/>
        </w:rPr>
        <w:t>机关运行经费：</w:t>
      </w:r>
      <w:r>
        <w:rPr>
          <w:rFonts w:hint="eastAsia" w:ascii="仿宋_GB2312" w:hAnsi="Calibri" w:eastAsia="仿宋_GB2312"/>
          <w:sz w:val="30"/>
          <w:szCs w:val="30"/>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adjustRightInd w:val="0"/>
        <w:snapToGrid w:val="0"/>
        <w:spacing w:line="560" w:lineRule="exact"/>
        <w:ind w:firstLine="602" w:firstLineChars="200"/>
        <w:rPr>
          <w:rFonts w:hint="eastAsia" w:ascii="仿宋_GB2312" w:eastAsia="仿宋_GB2312" w:cs="仿宋_GB2312"/>
          <w:sz w:val="32"/>
          <w:szCs w:val="32"/>
        </w:rPr>
      </w:pPr>
      <w:r>
        <w:rPr>
          <w:rFonts w:hint="eastAsia" w:ascii="仿宋_GB2312" w:hAnsi="Calibri" w:eastAsia="仿宋_GB2312" w:cs="Times New Roman"/>
          <w:b/>
          <w:sz w:val="30"/>
          <w:szCs w:val="30"/>
        </w:rPr>
        <w:t>项目支出绩效目标</w:t>
      </w:r>
      <w:r>
        <w:rPr>
          <w:rFonts w:hint="eastAsia" w:ascii="仿宋_GB2312" w:hAnsi="Calibri" w:eastAsia="仿宋_GB2312" w:cs="Times New Roman"/>
          <w:b/>
          <w:sz w:val="30"/>
          <w:szCs w:val="30"/>
          <w:lang w:eastAsia="zh-CN"/>
        </w:rPr>
        <w:t>：</w:t>
      </w:r>
      <w:r>
        <w:rPr>
          <w:rFonts w:hint="eastAsia" w:ascii="仿宋_GB2312" w:eastAsia="仿宋_GB2312" w:cs="仿宋_GB2312"/>
          <w:sz w:val="32"/>
          <w:szCs w:val="32"/>
        </w:rPr>
        <w:t>指</w:t>
      </w:r>
      <w:r>
        <w:rPr>
          <w:rFonts w:hint="eastAsia" w:ascii="仿宋_GB2312" w:eastAsia="仿宋_GB2312" w:cs="仿宋_GB2312"/>
          <w:sz w:val="32"/>
          <w:szCs w:val="32"/>
          <w:lang w:eastAsia="zh-CN"/>
        </w:rPr>
        <w:t>区</w:t>
      </w:r>
      <w:r>
        <w:rPr>
          <w:rFonts w:hint="eastAsia" w:ascii="仿宋_GB2312" w:eastAsia="仿宋_GB2312" w:cs="仿宋_GB2312"/>
          <w:sz w:val="32"/>
          <w:szCs w:val="32"/>
        </w:rPr>
        <w:t>级预算部门或单位依据职责和事业发展要求，设立并通过预算安排的项目支出在一定期限内预期达到的产出和效果。</w:t>
      </w:r>
    </w:p>
    <w:p>
      <w:pPr>
        <w:adjustRightInd w:val="0"/>
        <w:snapToGrid w:val="0"/>
        <w:spacing w:line="560" w:lineRule="exact"/>
        <w:ind w:firstLine="642" w:firstLineChars="200"/>
        <w:rPr>
          <w:rFonts w:hint="eastAsia" w:ascii="仿宋_GB2312" w:eastAsia="仿宋_GB2312" w:cs="仿宋_GB2312"/>
          <w:sz w:val="32"/>
          <w:szCs w:val="32"/>
        </w:rPr>
      </w:pPr>
      <w:r>
        <w:rPr>
          <w:rFonts w:hint="eastAsia" w:ascii="仿宋_GB2312" w:eastAsia="仿宋_GB2312" w:cs="仿宋_GB2312"/>
          <w:b/>
          <w:bCs/>
          <w:sz w:val="32"/>
          <w:szCs w:val="32"/>
        </w:rPr>
        <w:t>部门（单位）整体支出绩效目标</w:t>
      </w:r>
      <w:r>
        <w:rPr>
          <w:rFonts w:hint="eastAsia" w:ascii="仿宋_GB2312" w:eastAsia="仿宋_GB2312" w:cs="仿宋_GB2312"/>
          <w:b/>
          <w:bCs/>
          <w:sz w:val="32"/>
          <w:szCs w:val="32"/>
          <w:lang w:eastAsia="zh-CN"/>
        </w:rPr>
        <w:t>：</w:t>
      </w:r>
      <w:r>
        <w:rPr>
          <w:rFonts w:hint="eastAsia" w:ascii="仿宋_GB2312" w:eastAsia="仿宋_GB2312" w:cs="仿宋_GB2312"/>
          <w:sz w:val="32"/>
          <w:szCs w:val="32"/>
        </w:rPr>
        <w:t>指</w:t>
      </w:r>
      <w:r>
        <w:rPr>
          <w:rFonts w:hint="eastAsia" w:ascii="仿宋_GB2312" w:eastAsia="仿宋_GB2312" w:cs="仿宋_GB2312"/>
          <w:sz w:val="32"/>
          <w:szCs w:val="32"/>
          <w:lang w:eastAsia="zh-CN"/>
        </w:rPr>
        <w:t>区</w:t>
      </w:r>
      <w:r>
        <w:rPr>
          <w:rFonts w:hint="eastAsia" w:ascii="仿宋_GB2312" w:eastAsia="仿宋_GB2312" w:cs="仿宋_GB2312"/>
          <w:sz w:val="32"/>
          <w:szCs w:val="32"/>
        </w:rPr>
        <w:t>级预算部门或单位按照确定的职责，利用全部部门预算资金在一定期限内预期达到的总体产出和效果。</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Arial Unicode MS"/>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方正小标宋_GBK"/>
    <w:panose1 w:val="02010601030101010101"/>
    <w:charset w:val="00"/>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方正小标宋_GBK">
    <w:panose1 w:val="03000509000000000000"/>
    <w:charset w:val="86"/>
    <w:family w:val="auto"/>
    <w:pitch w:val="default"/>
    <w:sig w:usb0="00000001" w:usb1="080E0000" w:usb2="00000000" w:usb3="00000000" w:csb0="00040000" w:csb1="00000000"/>
  </w:font>
  <w:font w:name="微软雅黑">
    <w:panose1 w:val="020B0604030504040204"/>
    <w:charset w:val="86"/>
    <w:family w:val="auto"/>
    <w:pitch w:val="default"/>
    <w:sig w:usb0="F7FFAEFF" w:usb1="F9DFFFFF" w:usb2="001FFDF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lang/>
      </w:rPr>
      <w:t>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6CA"/>
    <w:rsid w:val="00006093"/>
    <w:rsid w:val="0002206B"/>
    <w:rsid w:val="0005310A"/>
    <w:rsid w:val="00053526"/>
    <w:rsid w:val="000716D8"/>
    <w:rsid w:val="000753D3"/>
    <w:rsid w:val="000847A3"/>
    <w:rsid w:val="000A7926"/>
    <w:rsid w:val="000B45CC"/>
    <w:rsid w:val="000D4F2D"/>
    <w:rsid w:val="000D5B6A"/>
    <w:rsid w:val="000E2F77"/>
    <w:rsid w:val="000E7FB5"/>
    <w:rsid w:val="00117039"/>
    <w:rsid w:val="00121660"/>
    <w:rsid w:val="00123870"/>
    <w:rsid w:val="00124752"/>
    <w:rsid w:val="00142EB2"/>
    <w:rsid w:val="001462CB"/>
    <w:rsid w:val="00151199"/>
    <w:rsid w:val="00161E80"/>
    <w:rsid w:val="001C4FDB"/>
    <w:rsid w:val="001F2007"/>
    <w:rsid w:val="00212936"/>
    <w:rsid w:val="0023098B"/>
    <w:rsid w:val="00231621"/>
    <w:rsid w:val="00234471"/>
    <w:rsid w:val="002401C0"/>
    <w:rsid w:val="0024417E"/>
    <w:rsid w:val="00270FF9"/>
    <w:rsid w:val="00271EBC"/>
    <w:rsid w:val="00273DC9"/>
    <w:rsid w:val="00293FF3"/>
    <w:rsid w:val="002A69A3"/>
    <w:rsid w:val="002A6CAD"/>
    <w:rsid w:val="002A7284"/>
    <w:rsid w:val="0031191E"/>
    <w:rsid w:val="00324967"/>
    <w:rsid w:val="00343486"/>
    <w:rsid w:val="003B0F4C"/>
    <w:rsid w:val="003B247C"/>
    <w:rsid w:val="003C01E4"/>
    <w:rsid w:val="003C064B"/>
    <w:rsid w:val="003C1FE2"/>
    <w:rsid w:val="003D026D"/>
    <w:rsid w:val="003D174B"/>
    <w:rsid w:val="003E0662"/>
    <w:rsid w:val="003E3F40"/>
    <w:rsid w:val="004249F5"/>
    <w:rsid w:val="004257F5"/>
    <w:rsid w:val="00440E34"/>
    <w:rsid w:val="00440E8E"/>
    <w:rsid w:val="00447425"/>
    <w:rsid w:val="004709DD"/>
    <w:rsid w:val="00483669"/>
    <w:rsid w:val="00496C6B"/>
    <w:rsid w:val="004A470E"/>
    <w:rsid w:val="004F4E38"/>
    <w:rsid w:val="00506A0A"/>
    <w:rsid w:val="00554C47"/>
    <w:rsid w:val="005911E9"/>
    <w:rsid w:val="00597F2A"/>
    <w:rsid w:val="005A791A"/>
    <w:rsid w:val="005B2187"/>
    <w:rsid w:val="005B4B1C"/>
    <w:rsid w:val="005C7051"/>
    <w:rsid w:val="005D6229"/>
    <w:rsid w:val="005E420A"/>
    <w:rsid w:val="005E75AE"/>
    <w:rsid w:val="005F1980"/>
    <w:rsid w:val="006135D2"/>
    <w:rsid w:val="0066493A"/>
    <w:rsid w:val="006666B4"/>
    <w:rsid w:val="00675693"/>
    <w:rsid w:val="00682731"/>
    <w:rsid w:val="00684C8E"/>
    <w:rsid w:val="00694C46"/>
    <w:rsid w:val="006A4177"/>
    <w:rsid w:val="006B1EF0"/>
    <w:rsid w:val="006B3148"/>
    <w:rsid w:val="006D4BF4"/>
    <w:rsid w:val="006E0D3D"/>
    <w:rsid w:val="007006D0"/>
    <w:rsid w:val="00707A00"/>
    <w:rsid w:val="00720828"/>
    <w:rsid w:val="00732307"/>
    <w:rsid w:val="007335BC"/>
    <w:rsid w:val="007400E0"/>
    <w:rsid w:val="00741070"/>
    <w:rsid w:val="00747F9E"/>
    <w:rsid w:val="0075226A"/>
    <w:rsid w:val="00753A83"/>
    <w:rsid w:val="00763056"/>
    <w:rsid w:val="00790A99"/>
    <w:rsid w:val="007A2FFD"/>
    <w:rsid w:val="007A47FC"/>
    <w:rsid w:val="007B44E6"/>
    <w:rsid w:val="007C0A32"/>
    <w:rsid w:val="007C175F"/>
    <w:rsid w:val="007C7153"/>
    <w:rsid w:val="007D4A54"/>
    <w:rsid w:val="007D67BC"/>
    <w:rsid w:val="00822793"/>
    <w:rsid w:val="00830F65"/>
    <w:rsid w:val="0083537F"/>
    <w:rsid w:val="00861DE2"/>
    <w:rsid w:val="00870491"/>
    <w:rsid w:val="008738F8"/>
    <w:rsid w:val="008833B1"/>
    <w:rsid w:val="008B3FBB"/>
    <w:rsid w:val="00902E43"/>
    <w:rsid w:val="00916833"/>
    <w:rsid w:val="0093100A"/>
    <w:rsid w:val="009348A5"/>
    <w:rsid w:val="00945800"/>
    <w:rsid w:val="009500E8"/>
    <w:rsid w:val="00950600"/>
    <w:rsid w:val="009534F9"/>
    <w:rsid w:val="009737A6"/>
    <w:rsid w:val="00985CC1"/>
    <w:rsid w:val="009911EC"/>
    <w:rsid w:val="009934B2"/>
    <w:rsid w:val="009A2285"/>
    <w:rsid w:val="009A6932"/>
    <w:rsid w:val="009A7476"/>
    <w:rsid w:val="009B3EAF"/>
    <w:rsid w:val="009B6C26"/>
    <w:rsid w:val="009E443E"/>
    <w:rsid w:val="009E5351"/>
    <w:rsid w:val="009E7BE4"/>
    <w:rsid w:val="00A005AE"/>
    <w:rsid w:val="00A01F76"/>
    <w:rsid w:val="00A11341"/>
    <w:rsid w:val="00A44116"/>
    <w:rsid w:val="00A60B77"/>
    <w:rsid w:val="00A746E8"/>
    <w:rsid w:val="00A86284"/>
    <w:rsid w:val="00A868F4"/>
    <w:rsid w:val="00AA1784"/>
    <w:rsid w:val="00AA4A56"/>
    <w:rsid w:val="00AB2D9C"/>
    <w:rsid w:val="00AC26D8"/>
    <w:rsid w:val="00AC2D7D"/>
    <w:rsid w:val="00AD0EB4"/>
    <w:rsid w:val="00AD2AE5"/>
    <w:rsid w:val="00AD745E"/>
    <w:rsid w:val="00AF300D"/>
    <w:rsid w:val="00AF462E"/>
    <w:rsid w:val="00B04186"/>
    <w:rsid w:val="00B0727F"/>
    <w:rsid w:val="00B216CA"/>
    <w:rsid w:val="00B3738E"/>
    <w:rsid w:val="00B44F4B"/>
    <w:rsid w:val="00B66751"/>
    <w:rsid w:val="00B81B7E"/>
    <w:rsid w:val="00B82585"/>
    <w:rsid w:val="00B8684D"/>
    <w:rsid w:val="00B86AB2"/>
    <w:rsid w:val="00BA47E3"/>
    <w:rsid w:val="00BC7F77"/>
    <w:rsid w:val="00BD4403"/>
    <w:rsid w:val="00BE0D19"/>
    <w:rsid w:val="00BF2B46"/>
    <w:rsid w:val="00BF3019"/>
    <w:rsid w:val="00C01321"/>
    <w:rsid w:val="00C111E3"/>
    <w:rsid w:val="00C142E2"/>
    <w:rsid w:val="00C220C2"/>
    <w:rsid w:val="00C27ACE"/>
    <w:rsid w:val="00C32DF3"/>
    <w:rsid w:val="00C3437A"/>
    <w:rsid w:val="00C35B99"/>
    <w:rsid w:val="00C65F37"/>
    <w:rsid w:val="00C712E1"/>
    <w:rsid w:val="00C9244E"/>
    <w:rsid w:val="00CA6D6A"/>
    <w:rsid w:val="00CB76FF"/>
    <w:rsid w:val="00CE0DE2"/>
    <w:rsid w:val="00CE2E9A"/>
    <w:rsid w:val="00CF307C"/>
    <w:rsid w:val="00D06AAA"/>
    <w:rsid w:val="00D13B03"/>
    <w:rsid w:val="00D56B79"/>
    <w:rsid w:val="00D57ED7"/>
    <w:rsid w:val="00D6094E"/>
    <w:rsid w:val="00D70225"/>
    <w:rsid w:val="00DB24A4"/>
    <w:rsid w:val="00DC1647"/>
    <w:rsid w:val="00DC1D93"/>
    <w:rsid w:val="00DC6C1B"/>
    <w:rsid w:val="00DD0642"/>
    <w:rsid w:val="00DF7F3C"/>
    <w:rsid w:val="00E02DDB"/>
    <w:rsid w:val="00E20AD7"/>
    <w:rsid w:val="00E40E6F"/>
    <w:rsid w:val="00E41AAF"/>
    <w:rsid w:val="00E4570A"/>
    <w:rsid w:val="00E549B7"/>
    <w:rsid w:val="00E56BFB"/>
    <w:rsid w:val="00E61E3D"/>
    <w:rsid w:val="00E65E31"/>
    <w:rsid w:val="00E9181B"/>
    <w:rsid w:val="00E9454D"/>
    <w:rsid w:val="00E94588"/>
    <w:rsid w:val="00EA1A30"/>
    <w:rsid w:val="00EA7F9D"/>
    <w:rsid w:val="00EB317B"/>
    <w:rsid w:val="00EC2246"/>
    <w:rsid w:val="00EC7D78"/>
    <w:rsid w:val="00ED654F"/>
    <w:rsid w:val="00F22786"/>
    <w:rsid w:val="00F23B33"/>
    <w:rsid w:val="00F24415"/>
    <w:rsid w:val="00F429D8"/>
    <w:rsid w:val="00F701E1"/>
    <w:rsid w:val="00F90AE6"/>
    <w:rsid w:val="00F94CDD"/>
    <w:rsid w:val="00FB1E62"/>
    <w:rsid w:val="00FC3945"/>
    <w:rsid w:val="00FF5747"/>
    <w:rsid w:val="00FF767F"/>
    <w:rsid w:val="0FE26C41"/>
    <w:rsid w:val="116E5560"/>
    <w:rsid w:val="1701469B"/>
    <w:rsid w:val="1D2C7367"/>
    <w:rsid w:val="22BA4B4F"/>
    <w:rsid w:val="2C532DD3"/>
    <w:rsid w:val="2D0C1F94"/>
    <w:rsid w:val="2D1B713A"/>
    <w:rsid w:val="2EBF75C8"/>
    <w:rsid w:val="33FA1DC7"/>
    <w:rsid w:val="368C4B2B"/>
    <w:rsid w:val="3C915483"/>
    <w:rsid w:val="3FF925CC"/>
    <w:rsid w:val="401C4671"/>
    <w:rsid w:val="4F77069B"/>
    <w:rsid w:val="659B42F7"/>
    <w:rsid w:val="689E3BF4"/>
    <w:rsid w:val="6FB7078C"/>
    <w:rsid w:val="6FFC45B7"/>
    <w:rsid w:val="711F0EAF"/>
    <w:rsid w:val="756B90A6"/>
    <w:rsid w:val="F5FFED97"/>
    <w:rsid w:val="FEFF4E86"/>
    <w:rsid w:val="FFFB7521"/>
    <w:rsid w:val="FFFFD06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eastAsia="仿宋_GB2312"/>
      <w:szCs w:val="20"/>
    </w:rPr>
  </w:style>
  <w:style w:type="paragraph" w:styleId="3">
    <w:name w:val="Balloon Text"/>
    <w:basedOn w:val="1"/>
    <w:link w:val="10"/>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page number"/>
    <w:basedOn w:val="8"/>
    <w:uiPriority w:val="0"/>
  </w:style>
  <w:style w:type="character" w:customStyle="1" w:styleId="10">
    <w:name w:val="批注框文本 Char"/>
    <w:link w:val="3"/>
    <w:uiPriority w:val="0"/>
    <w:rPr>
      <w:kern w:val="2"/>
      <w:sz w:val="18"/>
      <w:szCs w:val="18"/>
    </w:rPr>
  </w:style>
  <w:style w:type="character" w:customStyle="1" w:styleId="11">
    <w:name w:val="页眉 Char"/>
    <w:link w:val="5"/>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132</Words>
  <Characters>755</Characters>
  <Lines>6</Lines>
  <Paragraphs>1</Paragraphs>
  <TotalTime>152</TotalTime>
  <ScaleCrop>false</ScaleCrop>
  <LinksUpToDate>false</LinksUpToDate>
  <CharactersWithSpaces>886</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2016-12-08T09:57:00Z</dcterms:created>
  <dc:creator>贾志芳</dc:creator>
  <cp:lastModifiedBy>uos</cp:lastModifiedBy>
  <cp:lastPrinted>2019-01-18T15:47:00Z</cp:lastPrinted>
  <dcterms:modified xsi:type="dcterms:W3CDTF">2022-09-08T18:00:31Z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