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640" w:firstLineChars="200"/>
        <w:rPr>
          <w:rFonts w:hint="eastAsia" w:ascii="方正小标宋_GBK" w:hAnsi="方正小标宋_GBK" w:eastAsia="方正小标宋_GBK" w:cs="方正小标宋_GBK"/>
          <w:b/>
          <w:w w:val="90"/>
          <w:kern w:val="0"/>
          <w:sz w:val="32"/>
          <w:szCs w:val="32"/>
          <w:lang w:eastAsia="zh-CN"/>
        </w:rPr>
      </w:pPr>
      <w:r>
        <w:rPr>
          <w:rFonts w:hint="eastAsia" w:ascii="仿宋_GB2312" w:hAnsi="仿宋_GB2312" w:eastAsia="仿宋_GB2312" w:cs="仿宋_GB2312"/>
          <w:bCs/>
          <w:kern w:val="0"/>
          <w:sz w:val="32"/>
          <w:szCs w:val="32"/>
        </w:rPr>
        <w:t>附件</w:t>
      </w:r>
    </w:p>
    <w:p>
      <w:pPr>
        <w:widowControl/>
        <w:spacing w:line="480" w:lineRule="exact"/>
        <w:ind w:left="210" w:leftChars="100"/>
        <w:jc w:val="center"/>
        <w:rPr>
          <w:rFonts w:hint="eastAsia" w:ascii="方正小标宋_GBK" w:hAnsi="方正小标宋_GBK" w:eastAsia="方正小标宋_GBK" w:cs="方正小标宋_GBK"/>
          <w:b/>
          <w:kern w:val="0"/>
          <w:sz w:val="44"/>
          <w:szCs w:val="44"/>
        </w:rPr>
      </w:pPr>
      <w:bookmarkStart w:id="0" w:name="_GoBack"/>
      <w:r>
        <w:rPr>
          <w:rFonts w:hint="eastAsia" w:ascii="方正小标宋_GBK" w:hAnsi="方正小标宋_GBK" w:eastAsia="方正小标宋_GBK" w:cs="方正小标宋_GBK"/>
          <w:b/>
          <w:w w:val="90"/>
          <w:kern w:val="0"/>
          <w:sz w:val="44"/>
          <w:szCs w:val="44"/>
        </w:rPr>
        <w:t>北京轨道交通新机场线一期工程草桥站项目公开选定房地产价格评估机构协商单</w:t>
      </w:r>
    </w:p>
    <w:bookmarkEnd w:id="0"/>
    <w:p>
      <w:pPr>
        <w:widowControl/>
        <w:spacing w:line="4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拟被征收人：</w:t>
      </w:r>
    </w:p>
    <w:tbl>
      <w:tblPr>
        <w:tblStyle w:val="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034"/>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135"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序号</w:t>
            </w:r>
          </w:p>
        </w:tc>
        <w:tc>
          <w:tcPr>
            <w:tcW w:w="8034"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评估公司名称</w:t>
            </w:r>
          </w:p>
        </w:tc>
        <w:tc>
          <w:tcPr>
            <w:tcW w:w="4600" w:type="dxa"/>
            <w:vAlign w:val="center"/>
          </w:tcPr>
          <w:p>
            <w:pPr>
              <w:widowControl/>
              <w:spacing w:line="288" w:lineRule="auto"/>
              <w:jc w:val="center"/>
              <w:rPr>
                <w:rFonts w:hint="eastAsia" w:ascii="宋体" w:hAnsi="宋体" w:cs="宋体"/>
                <w:b/>
                <w:bCs/>
                <w:kern w:val="0"/>
                <w:sz w:val="32"/>
                <w:szCs w:val="32"/>
              </w:rPr>
            </w:pPr>
            <w:r>
              <w:rPr>
                <w:rFonts w:hint="eastAsia" w:ascii="黑体" w:hAnsi="宋体" w:eastAsia="黑体" w:cs="宋体"/>
                <w:b/>
                <w:bCs/>
                <w:kern w:val="0"/>
                <w:sz w:val="32"/>
                <w:szCs w:val="32"/>
              </w:rPr>
              <w:t>协商选定意见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1</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北京华源龙泰房地产土地资产评估有限公司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2</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北京中海城房地产土地资产评估有限公司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3</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北京世诚嘉业房地产土地资产评估有限责任公司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4</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北京国地房地产土地评估有限公司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tcPr>
          <w:p>
            <w:pPr>
              <w:widowControl/>
              <w:spacing w:line="288" w:lineRule="auto"/>
              <w:jc w:val="center"/>
              <w:rPr>
                <w:rFonts w:hint="eastAsia" w:ascii="宋体" w:hAnsi="宋体" w:eastAsia="宋体" w:cs="宋体"/>
                <w:kern w:val="0"/>
                <w:sz w:val="24"/>
              </w:rPr>
            </w:pPr>
            <w:r>
              <w:rPr>
                <w:rFonts w:hint="eastAsia" w:ascii="宋体" w:hAnsi="宋体" w:eastAsia="宋体" w:cs="宋体"/>
                <w:kern w:val="0"/>
                <w:sz w:val="24"/>
              </w:rPr>
              <w:t>5</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北京盛嵘房地产评估有限公司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6</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北京康正宏基房地产评估有限公司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7</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中瑞国际房地产土地资产评估有限公司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8</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北京中地联合房地产评估有限公司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9</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北京建亚恒泰房地产土地资产评估有限公司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10</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北京京港房地产土地资产评估有限公司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w:t>
            </w:r>
            <w:r>
              <w:rPr>
                <w:rFonts w:hint="eastAsia" w:ascii="宋体" w:hAnsi="宋体" w:eastAsia="宋体" w:cs="宋体"/>
                <w:kern w:val="0"/>
                <w:sz w:val="24"/>
                <w:lang w:val="en-US" w:eastAsia="zh-CN"/>
              </w:rPr>
              <w:t>1</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宝业恒（北京）土地房地产资产评估咨询有限公司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12</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北京首佳房地产土地资产评估有限公司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13</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北京市国盛房地产评估有限责任公司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1</w:t>
            </w:r>
            <w:r>
              <w:rPr>
                <w:rFonts w:hint="eastAsia" w:ascii="宋体" w:hAnsi="宋体" w:eastAsia="宋体" w:cs="宋体"/>
                <w:kern w:val="0"/>
                <w:sz w:val="24"/>
                <w:lang w:val="en-US" w:eastAsia="zh-CN"/>
              </w:rPr>
              <w:t>4</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中安盛世（北京）土地房地产资产评估有限责任公司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vAlign w:val="top"/>
          </w:tcPr>
          <w:p>
            <w:pPr>
              <w:widowControl/>
              <w:spacing w:line="288"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15</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北京吉翔房地产土地资产评估有限公司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135" w:type="dxa"/>
          </w:tcPr>
          <w:p>
            <w:pPr>
              <w:widowControl/>
              <w:spacing w:line="288" w:lineRule="auto"/>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16</w:t>
            </w:r>
          </w:p>
        </w:tc>
        <w:tc>
          <w:tcPr>
            <w:tcW w:w="8034" w:type="dxa"/>
            <w:vAlign w:val="center"/>
          </w:tcPr>
          <w:p>
            <w:pPr>
              <w:keepNext w:val="0"/>
              <w:keepLines w:val="0"/>
              <w:widowControl/>
              <w:suppressLineNumbers w:val="0"/>
              <w:jc w:val="left"/>
              <w:textAlignment w:val="center"/>
              <w:rPr>
                <w:rFonts w:hint="eastAsia" w:ascii="宋体" w:hAnsi="宋体" w:eastAsia="宋体" w:cs="宋体"/>
                <w:color w:val="494949"/>
                <w:kern w:val="0"/>
                <w:sz w:val="24"/>
                <w:lang w:val="en-US" w:eastAsia="zh-CN"/>
              </w:rPr>
            </w:pPr>
            <w:r>
              <w:rPr>
                <w:rFonts w:hint="eastAsia" w:ascii="宋体" w:hAnsi="宋体" w:eastAsia="宋体" w:cs="宋体"/>
                <w:i w:val="0"/>
                <w:iCs w:val="0"/>
                <w:color w:val="000000"/>
                <w:kern w:val="0"/>
                <w:sz w:val="24"/>
                <w:szCs w:val="24"/>
                <w:u w:val="none"/>
                <w:lang w:val="en-US" w:eastAsia="zh-CN" w:bidi="ar"/>
              </w:rPr>
              <w:t>北京东华天业房地产评估有限公司</w:t>
            </w:r>
          </w:p>
        </w:tc>
        <w:tc>
          <w:tcPr>
            <w:tcW w:w="4600" w:type="dxa"/>
            <w:vAlign w:val="center"/>
          </w:tcPr>
          <w:p>
            <w:pPr>
              <w:widowControl/>
              <w:spacing w:line="288" w:lineRule="auto"/>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备注：</w:t>
      </w:r>
    </w:p>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1.请选择1家评估机构，在其后的“协商选定意见”栏中划“√”，多选、涂改、复印均无效；</w:t>
      </w:r>
    </w:p>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sectPr>
          <w:headerReference r:id="rId3" w:type="default"/>
          <w:footerReference r:id="rId4" w:type="default"/>
          <w:footerReference r:id="rId5" w:type="even"/>
          <w:pgSz w:w="16838" w:h="11906" w:orient="landscape"/>
          <w:pgMar w:top="400" w:right="1080" w:bottom="166" w:left="1080" w:header="851" w:footer="992" w:gutter="0"/>
          <w:cols w:space="720" w:num="1"/>
          <w:docGrid w:type="linesAndChars" w:linePitch="312" w:charSpace="0"/>
        </w:sectPr>
      </w:pPr>
    </w:p>
    <w:p>
      <w:pPr>
        <w:keepNext w:val="0"/>
        <w:keepLines w:val="0"/>
        <w:pageBreakBefore w:val="0"/>
        <w:widowControl/>
        <w:kinsoku/>
        <w:wordWrap/>
        <w:overflowPunct/>
        <w:topLinePunct w:val="0"/>
        <w:autoSpaceDE/>
        <w:autoSpaceDN/>
        <w:bidi w:val="0"/>
        <w:adjustRightInd/>
        <w:snapToGrid/>
        <w:spacing w:line="400" w:lineRule="exact"/>
        <w:ind w:firstLine="960" w:firstLineChars="3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2.未在规定时间内领取协商单或未按时投放协商单的，视同自动放弃协商选定权利；</w:t>
      </w:r>
    </w:p>
    <w:p>
      <w:pPr>
        <w:keepNext w:val="0"/>
        <w:keepLines w:val="0"/>
        <w:pageBreakBefore w:val="0"/>
        <w:kinsoku/>
        <w:wordWrap/>
        <w:overflowPunct/>
        <w:topLinePunct w:val="0"/>
        <w:autoSpaceDE/>
        <w:autoSpaceDN/>
        <w:bidi w:val="0"/>
        <w:adjustRightInd/>
        <w:snapToGrid/>
        <w:spacing w:line="400" w:lineRule="exact"/>
        <w:ind w:firstLine="960" w:firstLineChars="300"/>
        <w:textAlignment w:val="auto"/>
        <w:rPr>
          <w:rFonts w:hint="eastAsia" w:ascii="仿宋" w:hAnsi="仿宋" w:eastAsia="仿宋"/>
          <w:bCs/>
          <w:kern w:val="0"/>
          <w:sz w:val="32"/>
          <w:szCs w:val="32"/>
        </w:rPr>
      </w:pPr>
      <w:r>
        <w:rPr>
          <w:rFonts w:hint="eastAsia" w:ascii="仿宋_GB2312" w:hAnsi="仿宋_GB2312" w:eastAsia="仿宋_GB2312" w:cs="仿宋_GB2312"/>
          <w:bCs/>
          <w:kern w:val="0"/>
          <w:sz w:val="32"/>
          <w:szCs w:val="32"/>
        </w:rPr>
        <w:t>3.评估机构序号为报名参选顺序。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529A2"/>
    <w:rsid w:val="7AF52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2026-07-17T06:50:00Z</dcterms:created>
  <dc:creator>HL</dc:creator>
  <cp:lastModifiedBy>HL</cp:lastModifiedBy>
  <dcterms:modified xsi:type="dcterms:W3CDTF">2026-07-17T06:50:57Z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FACEEA607E9949039E15F42EED5B35F1</vt:lpwstr>
  </property>
</Properties>
</file>