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640" w:firstLineChars="200"/>
        <w:rPr>
          <w:rFonts w:hint="eastAsia" w:ascii="方正小标宋_GBK" w:hAnsi="方正小标宋_GBK" w:eastAsia="方正小标宋_GBK" w:cs="方正小标宋_GBK"/>
          <w:b/>
          <w:w w:val="90"/>
          <w:kern w:val="0"/>
          <w:sz w:val="32"/>
          <w:szCs w:val="32"/>
          <w:lang w:eastAsia="zh-CN"/>
        </w:rPr>
      </w:pPr>
      <w:r>
        <w:rPr>
          <w:rFonts w:hint="eastAsia" w:ascii="仿宋_GB2312" w:hAnsi="仿宋_GB2312" w:eastAsia="仿宋_GB2312" w:cs="仿宋_GB2312"/>
          <w:bCs/>
          <w:kern w:val="0"/>
          <w:sz w:val="32"/>
          <w:szCs w:val="32"/>
        </w:rPr>
        <w:t>附件</w:t>
      </w:r>
    </w:p>
    <w:p>
      <w:pPr>
        <w:widowControl/>
        <w:spacing w:line="480" w:lineRule="exact"/>
        <w:ind w:left="210" w:leftChars="100"/>
        <w:jc w:val="center"/>
        <w:rPr>
          <w:rFonts w:hint="eastAsia" w:ascii="方正小标宋_GBK" w:hAnsi="方正小标宋_GBK" w:eastAsia="方正小标宋_GBK" w:cs="方正小标宋_GBK"/>
          <w:b/>
          <w:kern w:val="0"/>
          <w:sz w:val="44"/>
          <w:szCs w:val="44"/>
        </w:rPr>
      </w:pPr>
      <w:bookmarkStart w:id="0" w:name="_GoBack"/>
      <w:r>
        <w:rPr>
          <w:rFonts w:hint="eastAsia" w:ascii="方正小标宋_GBK" w:hAnsi="方正小标宋_GBK" w:eastAsia="方正小标宋_GBK" w:cs="方正小标宋_GBK"/>
          <w:b/>
          <w:w w:val="90"/>
          <w:kern w:val="0"/>
          <w:sz w:val="44"/>
          <w:szCs w:val="44"/>
        </w:rPr>
        <w:t>北京丽泽金融商务区地下交通环廊工程公开选定房地产价格评估机构协商单</w:t>
      </w:r>
    </w:p>
    <w:bookmarkEnd w:id="0"/>
    <w:p>
      <w:pPr>
        <w:widowControl/>
        <w:spacing w:line="4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拟被征收人：</w:t>
      </w:r>
    </w:p>
    <w:tbl>
      <w:tblPr>
        <w:tblStyle w:val="4"/>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8034"/>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135" w:type="dxa"/>
            <w:vAlign w:val="center"/>
          </w:tcPr>
          <w:p>
            <w:pPr>
              <w:widowControl/>
              <w:spacing w:line="288" w:lineRule="auto"/>
              <w:jc w:val="center"/>
              <w:rPr>
                <w:rFonts w:hint="eastAsia" w:ascii="宋体" w:hAnsi="宋体" w:cs="宋体"/>
                <w:b/>
                <w:bCs/>
                <w:kern w:val="0"/>
                <w:sz w:val="32"/>
                <w:szCs w:val="32"/>
              </w:rPr>
            </w:pPr>
            <w:r>
              <w:rPr>
                <w:rFonts w:hint="eastAsia" w:ascii="黑体" w:hAnsi="宋体" w:eastAsia="黑体" w:cs="宋体"/>
                <w:b/>
                <w:bCs/>
                <w:kern w:val="0"/>
                <w:sz w:val="32"/>
                <w:szCs w:val="32"/>
              </w:rPr>
              <w:t>序号</w:t>
            </w:r>
          </w:p>
        </w:tc>
        <w:tc>
          <w:tcPr>
            <w:tcW w:w="8034" w:type="dxa"/>
            <w:vAlign w:val="center"/>
          </w:tcPr>
          <w:p>
            <w:pPr>
              <w:widowControl/>
              <w:spacing w:line="288" w:lineRule="auto"/>
              <w:jc w:val="center"/>
              <w:rPr>
                <w:rFonts w:hint="eastAsia" w:ascii="宋体" w:hAnsi="宋体" w:cs="宋体"/>
                <w:b/>
                <w:bCs/>
                <w:kern w:val="0"/>
                <w:sz w:val="32"/>
                <w:szCs w:val="32"/>
              </w:rPr>
            </w:pPr>
            <w:r>
              <w:rPr>
                <w:rFonts w:hint="eastAsia" w:ascii="黑体" w:hAnsi="宋体" w:eastAsia="黑体" w:cs="宋体"/>
                <w:b/>
                <w:bCs/>
                <w:kern w:val="0"/>
                <w:sz w:val="32"/>
                <w:szCs w:val="32"/>
              </w:rPr>
              <w:t>评估公司名称</w:t>
            </w:r>
          </w:p>
        </w:tc>
        <w:tc>
          <w:tcPr>
            <w:tcW w:w="4600" w:type="dxa"/>
            <w:vAlign w:val="center"/>
          </w:tcPr>
          <w:p>
            <w:pPr>
              <w:widowControl/>
              <w:spacing w:line="288" w:lineRule="auto"/>
              <w:jc w:val="center"/>
              <w:rPr>
                <w:rFonts w:hint="eastAsia" w:ascii="宋体" w:hAnsi="宋体" w:cs="宋体"/>
                <w:b/>
                <w:bCs/>
                <w:kern w:val="0"/>
                <w:sz w:val="32"/>
                <w:szCs w:val="32"/>
              </w:rPr>
            </w:pPr>
            <w:r>
              <w:rPr>
                <w:rFonts w:hint="eastAsia" w:ascii="黑体" w:hAnsi="宋体" w:eastAsia="黑体" w:cs="宋体"/>
                <w:b/>
                <w:bCs/>
                <w:kern w:val="0"/>
                <w:sz w:val="32"/>
                <w:szCs w:val="32"/>
              </w:rPr>
              <w:t>协商选定意见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宋体" w:hAnsi="宋体" w:eastAsia="宋体" w:cs="宋体"/>
                <w:kern w:val="0"/>
                <w:sz w:val="24"/>
              </w:rPr>
            </w:pPr>
            <w:r>
              <w:rPr>
                <w:rFonts w:hint="eastAsia" w:ascii="宋体" w:hAnsi="宋体" w:eastAsia="宋体" w:cs="宋体"/>
                <w:kern w:val="0"/>
                <w:sz w:val="24"/>
              </w:rPr>
              <w:t>1</w:t>
            </w:r>
          </w:p>
        </w:tc>
        <w:tc>
          <w:tcPr>
            <w:tcW w:w="8034" w:type="dxa"/>
            <w:vAlign w:val="center"/>
          </w:tcPr>
          <w:p>
            <w:pPr>
              <w:widowControl/>
              <w:spacing w:line="288" w:lineRule="auto"/>
              <w:jc w:val="left"/>
              <w:rPr>
                <w:rFonts w:hint="eastAsia" w:ascii="宋体" w:hAnsi="宋体" w:eastAsia="宋体" w:cs="宋体"/>
                <w:color w:val="494949"/>
                <w:kern w:val="0"/>
                <w:sz w:val="24"/>
                <w:lang w:val="en-US" w:eastAsia="zh-CN"/>
              </w:rPr>
            </w:pPr>
            <w:r>
              <w:rPr>
                <w:rFonts w:hint="eastAsia" w:ascii="宋体" w:hAnsi="宋体" w:eastAsia="宋体" w:cs="宋体"/>
                <w:color w:val="494949"/>
                <w:kern w:val="0"/>
                <w:sz w:val="24"/>
                <w:lang w:val="en-US" w:eastAsia="zh-CN"/>
              </w:rPr>
              <w:t>北京华源龙泰房地产土地资产评估有限公司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宋体" w:hAnsi="宋体" w:eastAsia="宋体" w:cs="宋体"/>
                <w:kern w:val="0"/>
                <w:sz w:val="24"/>
              </w:rPr>
            </w:pPr>
            <w:r>
              <w:rPr>
                <w:rFonts w:hint="eastAsia" w:ascii="宋体" w:hAnsi="宋体" w:eastAsia="宋体" w:cs="宋体"/>
                <w:kern w:val="0"/>
                <w:sz w:val="24"/>
              </w:rPr>
              <w:t>2</w:t>
            </w:r>
          </w:p>
        </w:tc>
        <w:tc>
          <w:tcPr>
            <w:tcW w:w="8034" w:type="dxa"/>
            <w:vAlign w:val="center"/>
          </w:tcPr>
          <w:p>
            <w:pPr>
              <w:widowControl/>
              <w:spacing w:line="288" w:lineRule="auto"/>
              <w:jc w:val="left"/>
              <w:rPr>
                <w:rFonts w:hint="eastAsia" w:ascii="宋体" w:hAnsi="宋体" w:eastAsia="宋体" w:cs="宋体"/>
                <w:color w:val="494949"/>
                <w:kern w:val="0"/>
                <w:sz w:val="24"/>
                <w:lang w:val="en-US" w:eastAsia="zh-CN"/>
              </w:rPr>
            </w:pPr>
            <w:r>
              <w:rPr>
                <w:rFonts w:hint="eastAsia" w:ascii="宋体" w:hAnsi="宋体" w:eastAsia="宋体" w:cs="宋体"/>
                <w:color w:val="494949"/>
                <w:kern w:val="0"/>
                <w:sz w:val="24"/>
                <w:lang w:val="en-US" w:eastAsia="zh-CN"/>
              </w:rPr>
              <w:t>北京中海城房地产土地资产评估有限公司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宋体" w:hAnsi="宋体" w:eastAsia="宋体" w:cs="宋体"/>
                <w:kern w:val="0"/>
                <w:sz w:val="24"/>
              </w:rPr>
            </w:pPr>
            <w:r>
              <w:rPr>
                <w:rFonts w:hint="eastAsia" w:ascii="宋体" w:hAnsi="宋体" w:eastAsia="宋体" w:cs="宋体"/>
                <w:kern w:val="0"/>
                <w:sz w:val="24"/>
              </w:rPr>
              <w:t>3</w:t>
            </w:r>
          </w:p>
        </w:tc>
        <w:tc>
          <w:tcPr>
            <w:tcW w:w="8034" w:type="dxa"/>
            <w:vAlign w:val="center"/>
          </w:tcPr>
          <w:p>
            <w:pPr>
              <w:widowControl/>
              <w:spacing w:line="288" w:lineRule="auto"/>
              <w:jc w:val="left"/>
              <w:rPr>
                <w:rFonts w:hint="eastAsia" w:ascii="宋体" w:hAnsi="宋体" w:eastAsia="宋体" w:cs="宋体"/>
                <w:color w:val="494949"/>
                <w:kern w:val="0"/>
                <w:sz w:val="24"/>
                <w:lang w:val="en-US" w:eastAsia="zh-CN"/>
              </w:rPr>
            </w:pPr>
            <w:r>
              <w:rPr>
                <w:rFonts w:hint="eastAsia" w:ascii="宋体" w:hAnsi="宋体" w:eastAsia="宋体" w:cs="宋体"/>
                <w:color w:val="494949"/>
                <w:kern w:val="0"/>
                <w:sz w:val="24"/>
                <w:lang w:val="en-US" w:eastAsia="zh-CN"/>
              </w:rPr>
              <w:t>北京世诚嘉业房地产土地资产评估有限责任公司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1135" w:type="dxa"/>
          </w:tcPr>
          <w:p>
            <w:pPr>
              <w:widowControl/>
              <w:spacing w:line="288" w:lineRule="auto"/>
              <w:jc w:val="center"/>
              <w:rPr>
                <w:rFonts w:hint="eastAsia" w:ascii="宋体" w:hAnsi="宋体" w:eastAsia="宋体" w:cs="宋体"/>
                <w:kern w:val="0"/>
                <w:sz w:val="24"/>
              </w:rPr>
            </w:pPr>
            <w:r>
              <w:rPr>
                <w:rFonts w:hint="eastAsia" w:ascii="宋体" w:hAnsi="宋体" w:eastAsia="宋体" w:cs="宋体"/>
                <w:kern w:val="0"/>
                <w:sz w:val="24"/>
              </w:rPr>
              <w:t>4</w:t>
            </w:r>
          </w:p>
        </w:tc>
        <w:tc>
          <w:tcPr>
            <w:tcW w:w="8034" w:type="dxa"/>
            <w:vAlign w:val="center"/>
          </w:tcPr>
          <w:p>
            <w:pPr>
              <w:widowControl/>
              <w:spacing w:line="288" w:lineRule="auto"/>
              <w:jc w:val="left"/>
              <w:rPr>
                <w:rFonts w:hint="eastAsia" w:ascii="宋体" w:hAnsi="宋体" w:eastAsia="宋体" w:cs="宋体"/>
                <w:color w:val="494949"/>
                <w:kern w:val="0"/>
                <w:sz w:val="24"/>
                <w:lang w:val="en-US" w:eastAsia="zh-CN"/>
              </w:rPr>
            </w:pPr>
            <w:r>
              <w:rPr>
                <w:rFonts w:hint="eastAsia" w:ascii="宋体" w:hAnsi="宋体" w:eastAsia="宋体" w:cs="宋体"/>
                <w:color w:val="494949"/>
                <w:kern w:val="0"/>
                <w:sz w:val="24"/>
                <w:lang w:val="en-US" w:eastAsia="zh-CN"/>
              </w:rPr>
              <w:t>北京国地房地产土地评估有限公司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135" w:type="dxa"/>
          </w:tcPr>
          <w:p>
            <w:pPr>
              <w:widowControl/>
              <w:spacing w:line="288" w:lineRule="auto"/>
              <w:jc w:val="center"/>
              <w:rPr>
                <w:rFonts w:hint="eastAsia" w:ascii="宋体" w:hAnsi="宋体" w:eastAsia="宋体" w:cs="宋体"/>
                <w:kern w:val="0"/>
                <w:sz w:val="24"/>
              </w:rPr>
            </w:pPr>
            <w:r>
              <w:rPr>
                <w:rFonts w:hint="eastAsia" w:ascii="宋体" w:hAnsi="宋体" w:eastAsia="宋体" w:cs="宋体"/>
                <w:kern w:val="0"/>
                <w:sz w:val="24"/>
              </w:rPr>
              <w:t>5</w:t>
            </w:r>
          </w:p>
        </w:tc>
        <w:tc>
          <w:tcPr>
            <w:tcW w:w="8034" w:type="dxa"/>
            <w:vAlign w:val="center"/>
          </w:tcPr>
          <w:p>
            <w:pPr>
              <w:widowControl/>
              <w:spacing w:line="288" w:lineRule="auto"/>
              <w:jc w:val="left"/>
              <w:rPr>
                <w:rFonts w:hint="eastAsia" w:ascii="宋体" w:hAnsi="宋体" w:eastAsia="宋体" w:cs="宋体"/>
                <w:color w:val="494949"/>
                <w:kern w:val="0"/>
                <w:sz w:val="24"/>
                <w:lang w:val="en-US" w:eastAsia="zh-CN"/>
              </w:rPr>
            </w:pPr>
            <w:r>
              <w:rPr>
                <w:rFonts w:hint="eastAsia" w:ascii="宋体" w:hAnsi="宋体" w:eastAsia="宋体" w:cs="宋体"/>
                <w:color w:val="494949"/>
                <w:kern w:val="0"/>
                <w:sz w:val="24"/>
                <w:lang w:val="en-US" w:eastAsia="zh-CN"/>
              </w:rPr>
              <w:t>北京盛嵘房地产评估有限公司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6</w:t>
            </w:r>
          </w:p>
        </w:tc>
        <w:tc>
          <w:tcPr>
            <w:tcW w:w="8034" w:type="dxa"/>
            <w:vAlign w:val="center"/>
          </w:tcPr>
          <w:p>
            <w:pPr>
              <w:widowControl/>
              <w:spacing w:line="288" w:lineRule="auto"/>
              <w:jc w:val="left"/>
              <w:rPr>
                <w:rFonts w:hint="eastAsia" w:ascii="宋体" w:hAnsi="宋体" w:eastAsia="宋体" w:cs="宋体"/>
                <w:color w:val="494949"/>
                <w:kern w:val="0"/>
                <w:sz w:val="24"/>
                <w:lang w:val="en-US" w:eastAsia="zh-CN"/>
              </w:rPr>
            </w:pPr>
            <w:r>
              <w:rPr>
                <w:rFonts w:hint="eastAsia" w:ascii="宋体" w:hAnsi="宋体" w:eastAsia="宋体" w:cs="宋体"/>
                <w:color w:val="494949"/>
                <w:kern w:val="0"/>
                <w:sz w:val="24"/>
                <w:lang w:val="en-US" w:eastAsia="zh-CN"/>
              </w:rPr>
              <w:t>北京康正宏基房地产评估有限公司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7</w:t>
            </w:r>
          </w:p>
        </w:tc>
        <w:tc>
          <w:tcPr>
            <w:tcW w:w="8034" w:type="dxa"/>
            <w:vAlign w:val="center"/>
          </w:tcPr>
          <w:p>
            <w:pPr>
              <w:widowControl/>
              <w:spacing w:line="288" w:lineRule="auto"/>
              <w:jc w:val="left"/>
              <w:rPr>
                <w:rFonts w:hint="eastAsia" w:ascii="宋体" w:hAnsi="宋体" w:eastAsia="宋体" w:cs="宋体"/>
                <w:color w:val="494949"/>
                <w:kern w:val="0"/>
                <w:sz w:val="24"/>
                <w:lang w:val="en-US" w:eastAsia="zh-CN"/>
              </w:rPr>
            </w:pPr>
            <w:r>
              <w:rPr>
                <w:rFonts w:hint="eastAsia" w:ascii="宋体" w:hAnsi="宋体" w:eastAsia="宋体" w:cs="宋体"/>
                <w:color w:val="494949"/>
                <w:kern w:val="0"/>
                <w:sz w:val="24"/>
                <w:lang w:val="en-US" w:eastAsia="zh-CN"/>
              </w:rPr>
              <w:t>北京中地联合房地产评估有限公司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8</w:t>
            </w:r>
          </w:p>
        </w:tc>
        <w:tc>
          <w:tcPr>
            <w:tcW w:w="8034" w:type="dxa"/>
            <w:vAlign w:val="center"/>
          </w:tcPr>
          <w:p>
            <w:pPr>
              <w:widowControl/>
              <w:spacing w:line="288" w:lineRule="auto"/>
              <w:jc w:val="left"/>
              <w:rPr>
                <w:rFonts w:hint="eastAsia" w:ascii="宋体" w:hAnsi="宋体" w:eastAsia="宋体" w:cs="宋体"/>
                <w:color w:val="494949"/>
                <w:kern w:val="0"/>
                <w:sz w:val="24"/>
                <w:lang w:val="en-US" w:eastAsia="zh-CN"/>
              </w:rPr>
            </w:pPr>
            <w:r>
              <w:rPr>
                <w:rFonts w:hint="eastAsia" w:ascii="宋体" w:hAnsi="宋体" w:eastAsia="宋体" w:cs="宋体"/>
                <w:color w:val="494949"/>
                <w:kern w:val="0"/>
                <w:sz w:val="24"/>
                <w:lang w:val="en-US" w:eastAsia="zh-CN"/>
              </w:rPr>
              <w:t>北京建亚恒泰房地产土地资产评估有限公司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9</w:t>
            </w:r>
          </w:p>
        </w:tc>
        <w:tc>
          <w:tcPr>
            <w:tcW w:w="8034" w:type="dxa"/>
            <w:vAlign w:val="center"/>
          </w:tcPr>
          <w:p>
            <w:pPr>
              <w:widowControl/>
              <w:spacing w:line="288" w:lineRule="auto"/>
              <w:jc w:val="left"/>
              <w:rPr>
                <w:rFonts w:hint="eastAsia" w:ascii="宋体" w:hAnsi="宋体" w:eastAsia="宋体" w:cs="宋体"/>
                <w:color w:val="494949"/>
                <w:kern w:val="0"/>
                <w:sz w:val="24"/>
                <w:lang w:val="en-US" w:eastAsia="zh-CN"/>
              </w:rPr>
            </w:pPr>
            <w:r>
              <w:rPr>
                <w:rFonts w:hint="eastAsia" w:ascii="宋体" w:hAnsi="宋体" w:eastAsia="宋体" w:cs="宋体"/>
                <w:color w:val="494949"/>
                <w:kern w:val="0"/>
                <w:sz w:val="24"/>
                <w:lang w:val="en-US" w:eastAsia="zh-CN"/>
              </w:rPr>
              <w:t>北京京港房地产土地资产评估有限公司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10</w:t>
            </w:r>
          </w:p>
        </w:tc>
        <w:tc>
          <w:tcPr>
            <w:tcW w:w="8034" w:type="dxa"/>
            <w:vAlign w:val="center"/>
          </w:tcPr>
          <w:p>
            <w:pPr>
              <w:widowControl/>
              <w:spacing w:line="288" w:lineRule="auto"/>
              <w:jc w:val="left"/>
              <w:rPr>
                <w:rFonts w:hint="eastAsia" w:ascii="宋体" w:hAnsi="宋体" w:eastAsia="宋体" w:cs="宋体"/>
                <w:color w:val="494949"/>
                <w:kern w:val="0"/>
                <w:sz w:val="24"/>
                <w:lang w:val="en-US" w:eastAsia="zh-CN"/>
              </w:rPr>
            </w:pPr>
            <w:r>
              <w:rPr>
                <w:rFonts w:hint="eastAsia" w:ascii="宋体" w:hAnsi="宋体" w:eastAsia="宋体" w:cs="宋体"/>
                <w:color w:val="494949"/>
                <w:kern w:val="0"/>
                <w:sz w:val="24"/>
                <w:lang w:val="en-US" w:eastAsia="zh-CN"/>
              </w:rPr>
              <w:t>宝业恒（北京）土地房地产资产评估咨询有限公司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1</w:t>
            </w:r>
            <w:r>
              <w:rPr>
                <w:rFonts w:hint="eastAsia" w:ascii="宋体" w:hAnsi="宋体" w:eastAsia="宋体" w:cs="宋体"/>
                <w:kern w:val="0"/>
                <w:sz w:val="24"/>
                <w:lang w:val="en-US" w:eastAsia="zh-CN"/>
              </w:rPr>
              <w:t>1</w:t>
            </w:r>
          </w:p>
        </w:tc>
        <w:tc>
          <w:tcPr>
            <w:tcW w:w="8034" w:type="dxa"/>
            <w:vAlign w:val="center"/>
          </w:tcPr>
          <w:p>
            <w:pPr>
              <w:widowControl/>
              <w:spacing w:line="288" w:lineRule="auto"/>
              <w:jc w:val="left"/>
              <w:rPr>
                <w:rFonts w:hint="eastAsia" w:ascii="宋体" w:hAnsi="宋体" w:eastAsia="宋体" w:cs="宋体"/>
                <w:color w:val="494949"/>
                <w:kern w:val="0"/>
                <w:sz w:val="24"/>
                <w:lang w:val="en-US" w:eastAsia="zh-CN"/>
              </w:rPr>
            </w:pPr>
            <w:r>
              <w:rPr>
                <w:rFonts w:hint="eastAsia" w:ascii="宋体" w:hAnsi="宋体" w:eastAsia="宋体" w:cs="宋体"/>
                <w:color w:val="494949"/>
                <w:kern w:val="0"/>
                <w:sz w:val="24"/>
                <w:lang w:val="en-US" w:eastAsia="zh-CN"/>
              </w:rPr>
              <w:t>北京大地盛业房地产土地评估有限公司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lang w:val="en-US" w:eastAsia="zh-CN"/>
              </w:rPr>
              <w:t>12</w:t>
            </w:r>
          </w:p>
        </w:tc>
        <w:tc>
          <w:tcPr>
            <w:tcW w:w="8034" w:type="dxa"/>
            <w:vAlign w:val="center"/>
          </w:tcPr>
          <w:p>
            <w:pPr>
              <w:widowControl/>
              <w:spacing w:line="288" w:lineRule="auto"/>
              <w:jc w:val="left"/>
              <w:rPr>
                <w:rFonts w:hint="eastAsia" w:ascii="宋体" w:hAnsi="宋体" w:eastAsia="宋体" w:cs="宋体"/>
                <w:color w:val="494949"/>
                <w:kern w:val="0"/>
                <w:sz w:val="24"/>
                <w:lang w:val="en-US" w:eastAsia="zh-CN"/>
              </w:rPr>
            </w:pPr>
            <w:r>
              <w:rPr>
                <w:rFonts w:hint="eastAsia" w:ascii="宋体" w:hAnsi="宋体" w:eastAsia="宋体" w:cs="宋体"/>
                <w:color w:val="494949"/>
                <w:kern w:val="0"/>
                <w:sz w:val="24"/>
                <w:lang w:val="en-US" w:eastAsia="zh-CN"/>
              </w:rPr>
              <w:t>北京首佳房地产土地资产评估有限公司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lang w:val="en-US" w:eastAsia="zh-CN"/>
              </w:rPr>
              <w:t>13</w:t>
            </w:r>
          </w:p>
        </w:tc>
        <w:tc>
          <w:tcPr>
            <w:tcW w:w="8034" w:type="dxa"/>
            <w:vAlign w:val="center"/>
          </w:tcPr>
          <w:p>
            <w:pPr>
              <w:widowControl/>
              <w:spacing w:line="288" w:lineRule="auto"/>
              <w:jc w:val="left"/>
              <w:rPr>
                <w:rFonts w:hint="eastAsia" w:ascii="宋体" w:hAnsi="宋体" w:eastAsia="宋体" w:cs="宋体"/>
                <w:color w:val="494949"/>
                <w:kern w:val="0"/>
                <w:sz w:val="24"/>
                <w:lang w:val="en-US" w:eastAsia="zh-CN"/>
              </w:rPr>
            </w:pPr>
            <w:r>
              <w:rPr>
                <w:rFonts w:hint="eastAsia" w:ascii="宋体" w:hAnsi="宋体" w:eastAsia="宋体" w:cs="宋体"/>
                <w:color w:val="494949"/>
                <w:kern w:val="0"/>
                <w:sz w:val="24"/>
                <w:lang w:val="en-US" w:eastAsia="zh-CN"/>
              </w:rPr>
              <w:t>北京市国盛房地产评估有限责任公司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1</w:t>
            </w:r>
            <w:r>
              <w:rPr>
                <w:rFonts w:hint="eastAsia" w:ascii="宋体" w:hAnsi="宋体" w:eastAsia="宋体" w:cs="宋体"/>
                <w:kern w:val="0"/>
                <w:sz w:val="24"/>
                <w:lang w:val="en-US" w:eastAsia="zh-CN"/>
              </w:rPr>
              <w:t>4</w:t>
            </w:r>
          </w:p>
        </w:tc>
        <w:tc>
          <w:tcPr>
            <w:tcW w:w="8034" w:type="dxa"/>
            <w:vAlign w:val="center"/>
          </w:tcPr>
          <w:p>
            <w:pPr>
              <w:widowControl/>
              <w:spacing w:line="288" w:lineRule="auto"/>
              <w:jc w:val="left"/>
              <w:rPr>
                <w:rFonts w:hint="eastAsia" w:ascii="宋体" w:hAnsi="宋体" w:eastAsia="宋体" w:cs="宋体"/>
                <w:color w:val="494949"/>
                <w:kern w:val="0"/>
                <w:sz w:val="24"/>
                <w:lang w:val="en-US" w:eastAsia="zh-CN"/>
              </w:rPr>
            </w:pPr>
            <w:r>
              <w:rPr>
                <w:rFonts w:hint="eastAsia" w:ascii="宋体" w:hAnsi="宋体" w:eastAsia="宋体" w:cs="宋体"/>
                <w:color w:val="494949"/>
                <w:kern w:val="0"/>
                <w:sz w:val="24"/>
                <w:lang w:val="en-US" w:eastAsia="zh-CN"/>
              </w:rPr>
              <w:t>中安盛世（北京）土地房地产资产评估有限责任公司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lang w:val="en-US" w:eastAsia="zh-CN"/>
              </w:rPr>
              <w:t>15</w:t>
            </w:r>
          </w:p>
        </w:tc>
        <w:tc>
          <w:tcPr>
            <w:tcW w:w="8034" w:type="dxa"/>
            <w:vAlign w:val="center"/>
          </w:tcPr>
          <w:p>
            <w:pPr>
              <w:widowControl/>
              <w:spacing w:line="288" w:lineRule="auto"/>
              <w:jc w:val="left"/>
              <w:rPr>
                <w:rFonts w:hint="eastAsia" w:ascii="宋体" w:hAnsi="宋体" w:eastAsia="宋体" w:cs="宋体"/>
                <w:color w:val="494949"/>
                <w:kern w:val="0"/>
                <w:sz w:val="24"/>
                <w:lang w:val="en-US" w:eastAsia="zh-CN"/>
              </w:rPr>
            </w:pPr>
            <w:r>
              <w:rPr>
                <w:rFonts w:hint="eastAsia" w:ascii="宋体" w:hAnsi="宋体" w:eastAsia="宋体" w:cs="宋体"/>
                <w:color w:val="494949"/>
                <w:kern w:val="0"/>
                <w:sz w:val="24"/>
                <w:lang w:val="en-US" w:eastAsia="zh-CN"/>
              </w:rPr>
              <w:t>北京吉翔房地产土地资产评估有限公司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135" w:type="dxa"/>
          </w:tcPr>
          <w:p>
            <w:pPr>
              <w:widowControl/>
              <w:spacing w:line="288" w:lineRule="auto"/>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16</w:t>
            </w:r>
          </w:p>
        </w:tc>
        <w:tc>
          <w:tcPr>
            <w:tcW w:w="8034" w:type="dxa"/>
            <w:vAlign w:val="center"/>
          </w:tcPr>
          <w:p>
            <w:pPr>
              <w:widowControl/>
              <w:spacing w:line="288" w:lineRule="auto"/>
              <w:jc w:val="left"/>
              <w:rPr>
                <w:rFonts w:hint="eastAsia" w:ascii="宋体" w:hAnsi="宋体" w:eastAsia="宋体" w:cs="宋体"/>
                <w:color w:val="494949"/>
                <w:kern w:val="0"/>
                <w:sz w:val="24"/>
                <w:lang w:val="en-US" w:eastAsia="zh-CN"/>
              </w:rPr>
            </w:pPr>
            <w:r>
              <w:rPr>
                <w:rFonts w:hint="eastAsia" w:ascii="宋体" w:hAnsi="宋体" w:eastAsia="宋体" w:cs="宋体"/>
                <w:color w:val="494949"/>
                <w:kern w:val="0"/>
                <w:sz w:val="24"/>
                <w:lang w:val="en-US" w:eastAsia="zh-CN"/>
              </w:rPr>
              <w:t>北京东华天业房地产评估有限公司</w:t>
            </w:r>
          </w:p>
        </w:tc>
        <w:tc>
          <w:tcPr>
            <w:tcW w:w="4600" w:type="dxa"/>
            <w:vAlign w:val="center"/>
          </w:tcPr>
          <w:p>
            <w:pPr>
              <w:widowControl/>
              <w:spacing w:line="288" w:lineRule="auto"/>
              <w:rPr>
                <w:rFonts w:hint="eastAsia" w:ascii="宋体" w:hAnsi="宋体" w:cs="宋体"/>
                <w:kern w:val="0"/>
                <w:sz w:val="22"/>
                <w:szCs w:val="22"/>
              </w:rPr>
            </w:pPr>
          </w:p>
        </w:tc>
      </w:tr>
    </w:tbl>
    <w:p>
      <w:pPr>
        <w:keepNext w:val="0"/>
        <w:keepLines w:val="0"/>
        <w:pageBreakBefore w:val="0"/>
        <w:widowControl/>
        <w:kinsoku/>
        <w:wordWrap/>
        <w:overflowPunct/>
        <w:topLinePunct w:val="0"/>
        <w:autoSpaceDE/>
        <w:autoSpaceDN/>
        <w:bidi w:val="0"/>
        <w:adjustRightInd/>
        <w:snapToGrid/>
        <w:spacing w:line="400" w:lineRule="exact"/>
        <w:ind w:firstLine="960" w:firstLineChars="3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备注：</w:t>
      </w:r>
    </w:p>
    <w:p>
      <w:pPr>
        <w:keepNext w:val="0"/>
        <w:keepLines w:val="0"/>
        <w:pageBreakBefore w:val="0"/>
        <w:widowControl/>
        <w:kinsoku/>
        <w:wordWrap/>
        <w:overflowPunct/>
        <w:topLinePunct w:val="0"/>
        <w:autoSpaceDE/>
        <w:autoSpaceDN/>
        <w:bidi w:val="0"/>
        <w:adjustRightInd/>
        <w:snapToGrid/>
        <w:spacing w:line="400" w:lineRule="exact"/>
        <w:ind w:firstLine="960" w:firstLineChars="3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1.请选择1家评估机构，在其后的“协商选定意见”栏中划“√”，多选、涂改、复印均无效；</w:t>
      </w:r>
    </w:p>
    <w:p>
      <w:pPr>
        <w:keepNext w:val="0"/>
        <w:keepLines w:val="0"/>
        <w:pageBreakBefore w:val="0"/>
        <w:widowControl/>
        <w:kinsoku/>
        <w:wordWrap/>
        <w:overflowPunct/>
        <w:topLinePunct w:val="0"/>
        <w:autoSpaceDE/>
        <w:autoSpaceDN/>
        <w:bidi w:val="0"/>
        <w:adjustRightInd/>
        <w:snapToGrid/>
        <w:spacing w:line="400" w:lineRule="exact"/>
        <w:ind w:firstLine="960" w:firstLineChars="3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2.未在规定时间内领取协商单或未按时投放协商单的，视同自动放弃协商选定权利；</w:t>
      </w:r>
    </w:p>
    <w:p>
      <w:pPr>
        <w:keepNext w:val="0"/>
        <w:keepLines w:val="0"/>
        <w:pageBreakBefore w:val="0"/>
        <w:kinsoku/>
        <w:wordWrap/>
        <w:overflowPunct/>
        <w:topLinePunct w:val="0"/>
        <w:autoSpaceDE/>
        <w:autoSpaceDN/>
        <w:bidi w:val="0"/>
        <w:adjustRightInd/>
        <w:snapToGrid/>
        <w:spacing w:line="400" w:lineRule="exact"/>
        <w:ind w:firstLine="960" w:firstLineChars="300"/>
        <w:textAlignment w:val="auto"/>
        <w:rPr>
          <w:rFonts w:hint="eastAsia" w:ascii="仿宋" w:hAnsi="仿宋" w:eastAsia="仿宋"/>
          <w:bCs/>
          <w:kern w:val="0"/>
          <w:sz w:val="32"/>
          <w:szCs w:val="32"/>
        </w:rPr>
      </w:pPr>
      <w:r>
        <w:rPr>
          <w:rFonts w:hint="eastAsia" w:ascii="仿宋_GB2312" w:hAnsi="仿宋_GB2312" w:eastAsia="仿宋_GB2312" w:cs="仿宋_GB2312"/>
          <w:bCs/>
          <w:kern w:val="0"/>
          <w:sz w:val="32"/>
          <w:szCs w:val="32"/>
        </w:rPr>
        <w:t>3.评估机构序号为报名参选顺序。</w:t>
      </w:r>
    </w:p>
    <w:p>
      <w:pPr>
        <w:widowControl/>
        <w:spacing w:line="400" w:lineRule="exact"/>
        <w:ind w:firstLine="1120" w:firstLineChars="400"/>
        <w:rPr>
          <w:rFonts w:hint="eastAsia" w:ascii="仿宋" w:hAnsi="仿宋" w:eastAsia="仿宋"/>
          <w:bCs/>
          <w:kern w:val="0"/>
          <w:sz w:val="28"/>
        </w:rPr>
      </w:pPr>
    </w:p>
    <w:p/>
    <w:sectPr>
      <w:headerReference r:id="rId3" w:type="default"/>
      <w:footerReference r:id="rId4" w:type="default"/>
      <w:footerReference r:id="rId5" w:type="even"/>
      <w:pgSz w:w="16838" w:h="11906" w:orient="landscape"/>
      <w:pgMar w:top="400" w:right="1080" w:bottom="166" w:left="108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2</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D77BA2"/>
    <w:rsid w:val="5CD77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2026-06-30T09:42:00Z</dcterms:created>
  <dc:creator>HL</dc:creator>
  <cp:lastModifiedBy>HL</cp:lastModifiedBy>
  <dcterms:modified xsi:type="dcterms:W3CDTF">2026-06-30T09:42:30Z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1813F06A08E74E24A9B96617C5C0944D</vt:lpwstr>
  </property>
</Properties>
</file>