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75FD1">
      <w:pPr>
        <w:spacing w:line="560" w:lineRule="exact"/>
        <w:jc w:val="center"/>
        <w:rPr>
          <w:rFonts w:hint="eastAsia" w:ascii="方正小标宋简体" w:hAnsi="方正小标宋简体" w:eastAsia="方正小标宋简体" w:cs="方正小标宋简体"/>
          <w:sz w:val="44"/>
          <w:szCs w:val="44"/>
          <w:highlight w:val="none"/>
        </w:rPr>
      </w:pPr>
    </w:p>
    <w:p w14:paraId="14CE8E4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highlight w:val="none"/>
          <w:lang w:val="en-US" w:eastAsia="zh-CN"/>
        </w:rPr>
        <w:t>北京市丰台区人民政府宛平街道办事处</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bookmarkStart w:id="0" w:name="_GoBack"/>
      <w:bookmarkEnd w:id="0"/>
    </w:p>
    <w:p w14:paraId="39BD99AB">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67898473">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47C5005C">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5404425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（一）主动公开情况</w:t>
      </w:r>
    </w:p>
    <w:p w14:paraId="5860FE2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宛平街道办事处进一步完善政府网站信息内容更新保障机制，制作信息公开全清单。2025年共主动公开政府信息408条；政务微博公开政府信息345条，政</w:t>
      </w:r>
      <w:r>
        <w:rPr>
          <w:rFonts w:hint="eastAsia" w:ascii="仿宋_GB2312" w:hAnsi="宋体" w:eastAsia="仿宋_GB2312" w:cs="宋体"/>
          <w:spacing w:val="8"/>
          <w:kern w:val="0"/>
          <w:sz w:val="32"/>
          <w:szCs w:val="32"/>
          <w:highlight w:val="none"/>
          <w:lang w:val="en-US" w:eastAsia="zh-CN" w:bidi="ar-SA"/>
        </w:rPr>
        <w:t>务微信公开政府信息</w:t>
      </w:r>
      <w:r>
        <w:rPr>
          <w:rFonts w:hint="eastAsia" w:ascii="仿宋_GB2312" w:hAnsi="宋体" w:eastAsia="仿宋_GB2312" w:cs="宋体"/>
          <w:spacing w:val="8"/>
          <w:kern w:val="0"/>
          <w:sz w:val="32"/>
          <w:szCs w:val="32"/>
          <w:lang w:val="en-US" w:eastAsia="zh-CN" w:bidi="ar-SA"/>
        </w:rPr>
        <w:t>351条，按时主动公开办事处2024年度财政决算、2025年度预算。</w:t>
      </w:r>
    </w:p>
    <w:p w14:paraId="17B5C64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default"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（二）依申请公开情况</w:t>
      </w:r>
    </w:p>
    <w:p w14:paraId="39A19F2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2025年度，我街道办事处共收到政府信息公开申请</w:t>
      </w:r>
      <w:r>
        <w:rPr>
          <w:rFonts w:hint="eastAsia" w:ascii="仿宋_GB2312" w:hAnsi="宋体" w:eastAsia="仿宋_GB2312" w:cs="宋体"/>
          <w:spacing w:val="8"/>
          <w:kern w:val="0"/>
          <w:sz w:val="32"/>
          <w:szCs w:val="32"/>
          <w:highlight w:val="none"/>
          <w:lang w:val="en-US" w:eastAsia="zh-CN" w:bidi="ar-SA"/>
        </w:rPr>
        <w:t>14件，其中12件已办结，2件</w:t>
      </w:r>
      <w:r>
        <w:rPr>
          <w:rFonts w:hint="eastAsia" w:ascii="仿宋_GB2312" w:hAnsi="宋体" w:eastAsia="仿宋_GB2312" w:cs="宋体"/>
          <w:spacing w:val="8"/>
          <w:kern w:val="0"/>
          <w:sz w:val="32"/>
          <w:szCs w:val="32"/>
          <w:lang w:val="en-US" w:eastAsia="zh-CN" w:bidi="ar-SA"/>
        </w:rPr>
        <w:t>结转下年度继续办理，</w:t>
      </w:r>
      <w:r>
        <w:rPr>
          <w:rFonts w:hint="eastAsia" w:ascii="仿宋_GB2312" w:hAnsi="宋体" w:eastAsia="仿宋_GB2312" w:cs="宋体"/>
          <w:spacing w:val="8"/>
          <w:kern w:val="0"/>
          <w:sz w:val="32"/>
          <w:szCs w:val="32"/>
          <w:highlight w:val="none"/>
          <w:lang w:val="en-US" w:eastAsia="zh-CN" w:bidi="ar-SA"/>
        </w:rPr>
        <w:t>在信</w:t>
      </w:r>
      <w:r>
        <w:rPr>
          <w:rFonts w:hint="eastAsia" w:ascii="仿宋_GB2312" w:hAnsi="宋体" w:eastAsia="仿宋_GB2312" w:cs="宋体"/>
          <w:spacing w:val="8"/>
          <w:kern w:val="0"/>
          <w:sz w:val="32"/>
          <w:szCs w:val="32"/>
          <w:lang w:val="en-US" w:eastAsia="zh-CN" w:bidi="ar-SA"/>
        </w:rPr>
        <w:t>息公开工作中未出现任何泄密事件。</w:t>
      </w:r>
    </w:p>
    <w:p w14:paraId="291C86E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default" w:ascii="楷体_GB2312" w:hAnsi="楷体_GB2312" w:eastAsia="楷体_GB2312" w:cs="楷体_GB2312"/>
          <w:spacing w:val="8"/>
          <w:kern w:val="0"/>
          <w:sz w:val="32"/>
          <w:szCs w:val="32"/>
          <w:highlight w:val="none"/>
          <w:lang w:val="en-US" w:eastAsia="zh-CN" w:bidi="ar-SA"/>
        </w:rPr>
      </w:pPr>
      <w:r>
        <w:rPr>
          <w:rFonts w:hint="eastAsia" w:ascii="楷体_GB2312" w:hAnsi="楷体_GB2312" w:eastAsia="楷体_GB2312" w:cs="楷体_GB2312"/>
          <w:spacing w:val="8"/>
          <w:kern w:val="0"/>
          <w:sz w:val="32"/>
          <w:szCs w:val="32"/>
          <w:highlight w:val="none"/>
          <w:lang w:val="en-US" w:eastAsia="zh-CN" w:bidi="ar-SA"/>
        </w:rPr>
        <w:t>（三）政府信息资源的规范化、标准化管理情况</w:t>
      </w:r>
    </w:p>
    <w:p w14:paraId="074C054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一是健全管理责任与工</w:t>
      </w:r>
      <w:r>
        <w:rPr>
          <w:rFonts w:hint="eastAsia" w:ascii="仿宋_GB2312" w:hAnsi="宋体" w:eastAsia="仿宋_GB2312" w:cs="宋体"/>
          <w:spacing w:val="8"/>
          <w:kern w:val="0"/>
          <w:sz w:val="32"/>
          <w:szCs w:val="32"/>
          <w:highlight w:val="none"/>
          <w:lang w:val="en-US" w:eastAsia="zh-CN" w:bidi="ar-SA"/>
        </w:rPr>
        <w:t>作体系</w:t>
      </w:r>
      <w:r>
        <w:rPr>
          <w:rFonts w:hint="eastAsia" w:ascii="仿宋_GB2312" w:hAnsi="宋体" w:eastAsia="仿宋_GB2312" w:cs="宋体"/>
          <w:spacing w:val="8"/>
          <w:kern w:val="0"/>
          <w:sz w:val="32"/>
          <w:szCs w:val="32"/>
          <w:lang w:val="en-US" w:eastAsia="zh-CN" w:bidi="ar-SA"/>
        </w:rPr>
        <w:t>。明确由综合办公室总牵头负责街道政府信息公开工作的统筹协调、督促落实与日常监管，强化各科室协同联动，确保信息管理职责清晰、运转有序。</w:t>
      </w:r>
    </w:p>
    <w:p w14:paraId="1D151CF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二是严格制度约束与流程管控。全面落实信息公开保密审查制度，规范信息采集、审核、发布全流程，严格执行信息公开目录标准，确保各个环节责任到人、规范操作，切实筑牢信息发布安全防线。</w:t>
      </w:r>
    </w:p>
    <w:p w14:paraId="0B1EF8B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default"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（四）政府信息公开平台建设情况</w:t>
      </w:r>
    </w:p>
    <w:p w14:paraId="59B10B5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default" w:ascii="仿宋_GB2312" w:hAnsi="宋体" w:eastAsia="仿宋_GB2312" w:cs="宋体"/>
          <w:spacing w:val="8"/>
          <w:kern w:val="0"/>
          <w:sz w:val="32"/>
          <w:szCs w:val="32"/>
          <w:highlight w:val="none"/>
          <w:lang w:val="en-US" w:eastAsia="zh-CN" w:bidi="ar-SA"/>
        </w:rPr>
      </w:pPr>
      <w:r>
        <w:rPr>
          <w:rFonts w:hint="default" w:ascii="仿宋_GB2312" w:hAnsi="宋体" w:eastAsia="仿宋_GB2312" w:cs="宋体"/>
          <w:spacing w:val="8"/>
          <w:kern w:val="0"/>
          <w:sz w:val="32"/>
          <w:szCs w:val="32"/>
          <w:highlight w:val="none"/>
          <w:lang w:val="en-US" w:eastAsia="zh-CN" w:bidi="ar-SA"/>
        </w:rPr>
        <w:t>一是深化信息公开标准化与规范化建设。本年度重点完善了信息公开目录体系与内容标准，对机构职能、政策文件、规划计划等栏目实施分类精细化管理，建立了信息发布前审核、发布后巡检的双重质量保障机制，确保平台发布信息的准确性、规范性与时效性。</w:t>
      </w:r>
    </w:p>
    <w:p w14:paraId="7C41F6E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default" w:ascii="仿宋_GB2312" w:hAnsi="宋体" w:eastAsia="仿宋_GB2312" w:cs="宋体"/>
          <w:spacing w:val="8"/>
          <w:kern w:val="0"/>
          <w:sz w:val="32"/>
          <w:szCs w:val="32"/>
          <w:highlight w:val="none"/>
          <w:lang w:val="en-US" w:eastAsia="zh-CN" w:bidi="ar-SA"/>
        </w:rPr>
      </w:pPr>
      <w:r>
        <w:rPr>
          <w:rFonts w:hint="default" w:ascii="仿宋_GB2312" w:hAnsi="宋体" w:eastAsia="仿宋_GB2312" w:cs="宋体"/>
          <w:spacing w:val="8"/>
          <w:kern w:val="0"/>
          <w:sz w:val="32"/>
          <w:szCs w:val="32"/>
          <w:highlight w:val="none"/>
          <w:lang w:val="en-US" w:eastAsia="zh-CN" w:bidi="ar-SA"/>
        </w:rPr>
        <w:t>二是优化依申请公开服务流程与公众互动体验。</w:t>
      </w:r>
      <w:r>
        <w:rPr>
          <w:rFonts w:hint="eastAsia" w:ascii="仿宋_GB2312" w:hAnsi="宋体" w:eastAsia="仿宋_GB2312" w:cs="宋体"/>
          <w:spacing w:val="8"/>
          <w:kern w:val="0"/>
          <w:sz w:val="32"/>
          <w:szCs w:val="32"/>
          <w:highlight w:val="none"/>
          <w:lang w:val="en-US" w:eastAsia="zh-CN" w:bidi="ar-SA"/>
        </w:rPr>
        <w:t>优化</w:t>
      </w:r>
      <w:r>
        <w:rPr>
          <w:rFonts w:hint="default" w:ascii="仿宋_GB2312" w:hAnsi="宋体" w:eastAsia="仿宋_GB2312" w:cs="宋体"/>
          <w:spacing w:val="8"/>
          <w:kern w:val="0"/>
          <w:sz w:val="32"/>
          <w:szCs w:val="32"/>
          <w:highlight w:val="none"/>
          <w:lang w:val="en-US" w:eastAsia="zh-CN" w:bidi="ar-SA"/>
        </w:rPr>
        <w:t>内部办理环节、明确各阶段办理时限，提升申请事项的流转与响应效率。同时，加强工作人员业务培训，并面向公众开展常态化申请指引与政策解读服务，致力于构建更为清晰、便捷、人性化的信息公开服务闭环。</w:t>
      </w:r>
    </w:p>
    <w:p w14:paraId="630A32C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default" w:ascii="楷体_GB2312" w:hAnsi="楷体_GB2312" w:eastAsia="楷体_GB2312" w:cs="楷体_GB2312"/>
          <w:spacing w:val="8"/>
          <w:kern w:val="0"/>
          <w:sz w:val="32"/>
          <w:szCs w:val="32"/>
          <w:highlight w:val="none"/>
          <w:lang w:val="en-US" w:eastAsia="zh-CN" w:bidi="ar-SA"/>
        </w:rPr>
      </w:pPr>
      <w:r>
        <w:rPr>
          <w:rFonts w:hint="eastAsia" w:ascii="楷体_GB2312" w:hAnsi="楷体_GB2312" w:eastAsia="楷体_GB2312" w:cs="楷体_GB2312"/>
          <w:spacing w:val="8"/>
          <w:kern w:val="0"/>
          <w:sz w:val="32"/>
          <w:szCs w:val="32"/>
          <w:highlight w:val="none"/>
          <w:lang w:val="en-US" w:eastAsia="zh-CN" w:bidi="ar-SA"/>
        </w:rPr>
        <w:t>（五）政府信息公开监督保障及教育培训情况</w:t>
      </w:r>
    </w:p>
    <w:p w14:paraId="455ECF9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bidi="ar-SA"/>
        </w:rPr>
      </w:pPr>
      <w:r>
        <w:rPr>
          <w:rFonts w:hint="default" w:ascii="仿宋_GB2312" w:hAnsi="宋体" w:eastAsia="仿宋_GB2312" w:cs="宋体"/>
          <w:spacing w:val="8"/>
          <w:kern w:val="0"/>
          <w:sz w:val="32"/>
          <w:szCs w:val="32"/>
          <w:highlight w:val="none"/>
          <w:lang w:bidi="ar-SA"/>
        </w:rPr>
        <w:t>持续健全监督指导与长效学习机制。通过制定年度培训计划、开展分层分类业务轮训，并将理论学习与实际案例解析相结合，引导工作人员不断提升政策理解力与实务操作水平。同步完善内部督查与定期通报制度，强化过程管理与责任落实，切实保障信息公开工作的规范性、协同性与公众满意度。</w:t>
      </w:r>
    </w:p>
    <w:p w14:paraId="72ECCB0A">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2C68C6E7">
      <w:pPr>
        <w:pStyle w:val="2"/>
        <w:spacing w:line="560" w:lineRule="exact"/>
        <w:rPr>
          <w:rFonts w:hint="eastAsia"/>
        </w:rPr>
      </w:pP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255C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2921C18E">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5207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D23AE7E">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14:paraId="029CAFBF">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14:paraId="2262DDEC">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14:paraId="738E5B3D">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0C7B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802200B">
            <w:pPr>
              <w:widowControl/>
              <w:spacing w:line="560" w:lineRule="exact"/>
              <w:jc w:val="left"/>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14:paraId="6C260FB0">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764D30C6">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3ACF1193">
            <w:pPr>
              <w:widowControl/>
              <w:spacing w:line="560" w:lineRule="exact"/>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14:paraId="048C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72876CD">
            <w:pPr>
              <w:widowControl/>
              <w:spacing w:line="560" w:lineRule="exact"/>
              <w:jc w:val="left"/>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14:paraId="19F36AD2">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24D9356D">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03959DBE">
            <w:pPr>
              <w:widowControl/>
              <w:spacing w:line="560" w:lineRule="exact"/>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14:paraId="43DD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55438F1C">
            <w:pPr>
              <w:widowControl/>
              <w:spacing w:line="560" w:lineRule="exact"/>
              <w:jc w:val="center"/>
            </w:pPr>
            <w:r>
              <w:rPr>
                <w:rFonts w:hint="eastAsia" w:ascii="宋体" w:hAnsi="宋体" w:cs="宋体"/>
                <w:color w:val="000000"/>
                <w:kern w:val="0"/>
                <w:sz w:val="20"/>
                <w:szCs w:val="20"/>
                <w:lang w:bidi="ar"/>
              </w:rPr>
              <w:t>第二十条第（五）项</w:t>
            </w:r>
          </w:p>
        </w:tc>
      </w:tr>
      <w:tr w14:paraId="37ED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B9A86EC">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4055EE71">
            <w:pPr>
              <w:widowControl/>
              <w:spacing w:line="560" w:lineRule="exact"/>
              <w:jc w:val="center"/>
            </w:pPr>
            <w:r>
              <w:rPr>
                <w:rFonts w:hint="eastAsia" w:ascii="宋体" w:hAnsi="宋体" w:cs="宋体"/>
                <w:color w:val="000000"/>
                <w:kern w:val="0"/>
                <w:sz w:val="20"/>
                <w:szCs w:val="20"/>
                <w:lang w:bidi="ar"/>
              </w:rPr>
              <w:t>本年处理决定数量</w:t>
            </w:r>
          </w:p>
        </w:tc>
      </w:tr>
      <w:tr w14:paraId="31AF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9F6CDA1">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shd w:val="clear" w:color="auto" w:fill="auto"/>
            <w:noWrap w:val="0"/>
            <w:tcMar>
              <w:left w:w="57" w:type="dxa"/>
              <w:right w:w="57" w:type="dxa"/>
            </w:tcMar>
            <w:vAlign w:val="center"/>
          </w:tcPr>
          <w:p w14:paraId="11492261">
            <w:pPr>
              <w:widowControl/>
              <w:spacing w:line="560" w:lineRule="exact"/>
              <w:jc w:val="left"/>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14:paraId="6736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733818B6">
            <w:pPr>
              <w:widowControl/>
              <w:spacing w:line="560" w:lineRule="exact"/>
              <w:jc w:val="center"/>
            </w:pPr>
            <w:r>
              <w:rPr>
                <w:rFonts w:hint="eastAsia" w:ascii="宋体" w:hAnsi="宋体" w:cs="宋体"/>
                <w:color w:val="000000"/>
                <w:kern w:val="0"/>
                <w:sz w:val="20"/>
                <w:szCs w:val="20"/>
                <w:lang w:bidi="ar"/>
              </w:rPr>
              <w:t>第二十条第（六）项</w:t>
            </w:r>
          </w:p>
        </w:tc>
      </w:tr>
      <w:tr w14:paraId="38D4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0F1DFA74">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785ABE60">
            <w:pPr>
              <w:widowControl/>
              <w:spacing w:line="560" w:lineRule="exact"/>
              <w:jc w:val="center"/>
            </w:pPr>
            <w:r>
              <w:rPr>
                <w:rFonts w:hint="eastAsia" w:ascii="宋体" w:hAnsi="宋体" w:cs="宋体"/>
                <w:color w:val="000000"/>
                <w:kern w:val="0"/>
                <w:sz w:val="20"/>
                <w:szCs w:val="20"/>
                <w:lang w:bidi="ar"/>
              </w:rPr>
              <w:t>本年处理决定数量</w:t>
            </w:r>
          </w:p>
        </w:tc>
      </w:tr>
      <w:tr w14:paraId="7F3F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FDD0BFB">
            <w:pPr>
              <w:widowControl/>
              <w:spacing w:line="560" w:lineRule="exact"/>
              <w:jc w:val="left"/>
            </w:pPr>
            <w:r>
              <w:rPr>
                <w:rFonts w:hint="eastAsia" w:ascii="宋体" w:hAnsi="宋体" w:cs="宋体"/>
                <w:color w:val="000000"/>
                <w:kern w:val="0"/>
                <w:sz w:val="20"/>
                <w:szCs w:val="20"/>
                <w:highlight w:val="none"/>
                <w:lang w:bidi="ar"/>
              </w:rPr>
              <w:t>行政处罚</w:t>
            </w:r>
          </w:p>
        </w:tc>
        <w:tc>
          <w:tcPr>
            <w:tcW w:w="7305" w:type="dxa"/>
            <w:gridSpan w:val="3"/>
            <w:noWrap w:val="0"/>
            <w:tcMar>
              <w:left w:w="57" w:type="dxa"/>
              <w:right w:w="57" w:type="dxa"/>
            </w:tcMar>
            <w:vAlign w:val="center"/>
          </w:tcPr>
          <w:p w14:paraId="5EF68590">
            <w:pPr>
              <w:widowControl/>
              <w:spacing w:line="560" w:lineRule="exact"/>
              <w:jc w:val="left"/>
              <w:rPr>
                <w:rFonts w:hint="default"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424</w:t>
            </w:r>
          </w:p>
        </w:tc>
      </w:tr>
      <w:tr w14:paraId="40B2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5066016">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shd w:val="clear" w:color="auto" w:fill="auto"/>
            <w:noWrap w:val="0"/>
            <w:tcMar>
              <w:left w:w="57" w:type="dxa"/>
              <w:right w:w="57" w:type="dxa"/>
            </w:tcMar>
            <w:vAlign w:val="center"/>
          </w:tcPr>
          <w:p w14:paraId="1B6FAC6D">
            <w:pPr>
              <w:widowControl/>
              <w:spacing w:line="560" w:lineRule="exact"/>
              <w:jc w:val="left"/>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14:paraId="4E09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5273902F">
            <w:pPr>
              <w:widowControl/>
              <w:spacing w:line="560" w:lineRule="exact"/>
              <w:jc w:val="center"/>
            </w:pPr>
            <w:r>
              <w:rPr>
                <w:rFonts w:hint="eastAsia" w:ascii="宋体" w:hAnsi="宋体" w:cs="宋体"/>
                <w:color w:val="000000"/>
                <w:kern w:val="0"/>
                <w:sz w:val="20"/>
                <w:szCs w:val="20"/>
                <w:lang w:bidi="ar"/>
              </w:rPr>
              <w:t>第二十条第（八）项</w:t>
            </w:r>
          </w:p>
        </w:tc>
      </w:tr>
      <w:tr w14:paraId="26C8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1F0C2EB">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6F95372F">
            <w:pPr>
              <w:widowControl/>
              <w:spacing w:line="560" w:lineRule="exact"/>
              <w:jc w:val="center"/>
            </w:pPr>
            <w:r>
              <w:rPr>
                <w:rFonts w:hint="eastAsia" w:ascii="宋体" w:hAnsi="宋体" w:cs="宋体"/>
                <w:color w:val="000000"/>
                <w:kern w:val="0"/>
                <w:sz w:val="20"/>
                <w:szCs w:val="20"/>
                <w:lang w:bidi="ar"/>
              </w:rPr>
              <w:t>本年收费金额（单位：万元）</w:t>
            </w:r>
          </w:p>
        </w:tc>
      </w:tr>
      <w:tr w14:paraId="3DA9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E0B1FAC">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shd w:val="clear" w:color="auto" w:fill="auto"/>
            <w:noWrap w:val="0"/>
            <w:tcMar>
              <w:left w:w="57" w:type="dxa"/>
              <w:right w:w="57" w:type="dxa"/>
            </w:tcMar>
            <w:vAlign w:val="center"/>
          </w:tcPr>
          <w:p w14:paraId="5B8B588B">
            <w:pPr>
              <w:widowControl/>
              <w:spacing w:line="560" w:lineRule="exact"/>
              <w:jc w:val="left"/>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bl>
    <w:p w14:paraId="5B70F798">
      <w:pPr>
        <w:pStyle w:val="2"/>
        <w:spacing w:line="560" w:lineRule="exact"/>
        <w:rPr>
          <w:rFonts w:hint="eastAsia"/>
        </w:rPr>
      </w:pPr>
    </w:p>
    <w:p w14:paraId="10071AA0">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709D3B25">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14:paraId="31338E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6"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791B6B8">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2"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9C8D9A">
            <w:pPr>
              <w:widowControl/>
              <w:spacing w:line="560" w:lineRule="exact"/>
              <w:jc w:val="center"/>
            </w:pPr>
            <w:r>
              <w:rPr>
                <w:rFonts w:hint="eastAsia" w:ascii="宋体" w:hAnsi="宋体" w:cs="宋体"/>
                <w:kern w:val="0"/>
                <w:sz w:val="20"/>
                <w:szCs w:val="20"/>
                <w:lang w:bidi="ar"/>
              </w:rPr>
              <w:t>申请人情况</w:t>
            </w:r>
          </w:p>
        </w:tc>
      </w:tr>
      <w:tr w14:paraId="2EC6F1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125DA5B">
            <w:pPr>
              <w:spacing w:line="560" w:lineRule="exact"/>
              <w:rPr>
                <w:rFonts w:hint="eastAsia" w:ascii="宋体"/>
                <w:sz w:val="24"/>
              </w:rPr>
            </w:pPr>
          </w:p>
        </w:tc>
        <w:tc>
          <w:tcPr>
            <w:tcW w:w="69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8DC138">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A974E5">
            <w:pPr>
              <w:widowControl/>
              <w:spacing w:line="560" w:lineRule="exact"/>
              <w:jc w:val="center"/>
            </w:pPr>
            <w:r>
              <w:rPr>
                <w:rFonts w:hint="eastAsia" w:ascii="宋体" w:hAnsi="宋体" w:cs="宋体"/>
                <w:kern w:val="0"/>
                <w:sz w:val="20"/>
                <w:szCs w:val="20"/>
                <w:lang w:bidi="ar"/>
              </w:rPr>
              <w:t>法人或其他组织</w:t>
            </w:r>
          </w:p>
        </w:tc>
        <w:tc>
          <w:tcPr>
            <w:tcW w:w="69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04A92D">
            <w:pPr>
              <w:widowControl/>
              <w:spacing w:line="560" w:lineRule="exact"/>
              <w:jc w:val="center"/>
            </w:pPr>
            <w:r>
              <w:rPr>
                <w:rFonts w:hint="eastAsia" w:ascii="宋体" w:hAnsi="宋体" w:cs="宋体"/>
                <w:kern w:val="0"/>
                <w:sz w:val="20"/>
                <w:szCs w:val="20"/>
                <w:lang w:bidi="ar"/>
              </w:rPr>
              <w:t>总计</w:t>
            </w:r>
          </w:p>
        </w:tc>
      </w:tr>
      <w:tr w14:paraId="2BEA85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369C042">
            <w:pPr>
              <w:spacing w:line="560" w:lineRule="exact"/>
              <w:rPr>
                <w:rFonts w:hint="eastAsia" w:ascii="宋体"/>
                <w:sz w:val="24"/>
              </w:rPr>
            </w:pPr>
          </w:p>
        </w:tc>
        <w:tc>
          <w:tcPr>
            <w:tcW w:w="69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2DF02C">
            <w:pPr>
              <w:spacing w:line="560" w:lineRule="exact"/>
              <w:rPr>
                <w:rFonts w:hint="eastAsia" w:ascii="宋体"/>
                <w:sz w:val="24"/>
              </w:rPr>
            </w:pP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19DDEA">
            <w:pPr>
              <w:widowControl/>
              <w:spacing w:line="560" w:lineRule="exact"/>
              <w:jc w:val="center"/>
            </w:pPr>
            <w:r>
              <w:rPr>
                <w:rFonts w:hint="eastAsia" w:ascii="宋体" w:hAnsi="宋体" w:cs="宋体"/>
                <w:kern w:val="0"/>
                <w:sz w:val="20"/>
                <w:szCs w:val="20"/>
                <w:lang w:bidi="ar"/>
              </w:rPr>
              <w:t>商业</w:t>
            </w:r>
          </w:p>
          <w:p w14:paraId="3C8B49E4">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6D111C">
            <w:pPr>
              <w:widowControl/>
              <w:spacing w:line="560" w:lineRule="exact"/>
              <w:jc w:val="center"/>
            </w:pPr>
            <w:r>
              <w:rPr>
                <w:rFonts w:hint="eastAsia" w:ascii="宋体" w:hAnsi="宋体" w:cs="宋体"/>
                <w:kern w:val="0"/>
                <w:sz w:val="20"/>
                <w:szCs w:val="20"/>
                <w:lang w:bidi="ar"/>
              </w:rPr>
              <w:t>科研</w:t>
            </w:r>
          </w:p>
          <w:p w14:paraId="41524E47">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0252CE">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04E968">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0CC22C">
            <w:pPr>
              <w:widowControl/>
              <w:spacing w:line="560" w:lineRule="exact"/>
              <w:jc w:val="center"/>
            </w:pPr>
            <w:r>
              <w:rPr>
                <w:rFonts w:hint="eastAsia" w:ascii="宋体" w:hAnsi="宋体" w:cs="宋体"/>
                <w:kern w:val="0"/>
                <w:sz w:val="20"/>
                <w:szCs w:val="20"/>
                <w:lang w:bidi="ar"/>
              </w:rPr>
              <w:t>其他</w:t>
            </w:r>
          </w:p>
        </w:tc>
        <w:tc>
          <w:tcPr>
            <w:tcW w:w="69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D915C2">
            <w:pPr>
              <w:spacing w:line="560" w:lineRule="exact"/>
              <w:rPr>
                <w:rFonts w:hint="eastAsia" w:ascii="宋体"/>
                <w:sz w:val="24"/>
              </w:rPr>
            </w:pPr>
          </w:p>
        </w:tc>
      </w:tr>
      <w:tr w14:paraId="7D1D16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AE5DBC">
            <w:pPr>
              <w:widowControl/>
              <w:spacing w:line="560" w:lineRule="exact"/>
              <w:jc w:val="left"/>
            </w:pPr>
            <w:r>
              <w:rPr>
                <w:rFonts w:hint="eastAsia" w:ascii="宋体" w:hAnsi="宋体" w:cs="宋体"/>
                <w:kern w:val="0"/>
                <w:sz w:val="20"/>
                <w:szCs w:val="20"/>
                <w:lang w:bidi="ar"/>
              </w:rPr>
              <w:t>一、本年新收政府信息公开申请数量</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51C8A7">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14</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C7A6D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7FF1E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CE594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91A04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E39C9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2B4763D">
            <w:pPr>
              <w:widowControl/>
              <w:spacing w:line="560" w:lineRule="exact"/>
              <w:jc w:val="center"/>
              <w:rPr>
                <w:rFonts w:hint="default"/>
                <w:lang w:val="en-US"/>
              </w:rPr>
            </w:pPr>
            <w:r>
              <w:rPr>
                <w:rFonts w:hint="eastAsia" w:ascii="Calibri" w:hAnsi="Calibri" w:cs="Calibri"/>
                <w:kern w:val="0"/>
                <w:sz w:val="20"/>
                <w:szCs w:val="20"/>
                <w:lang w:val="en-US" w:eastAsia="zh-CN" w:bidi="ar"/>
              </w:rPr>
              <w:t>14</w:t>
            </w:r>
          </w:p>
        </w:tc>
      </w:tr>
      <w:tr w14:paraId="48E431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B7EEAF">
            <w:pPr>
              <w:widowControl/>
              <w:spacing w:line="560" w:lineRule="exact"/>
              <w:jc w:val="left"/>
            </w:pPr>
            <w:r>
              <w:rPr>
                <w:rFonts w:hint="eastAsia" w:ascii="宋体" w:hAnsi="宋体" w:cs="宋体"/>
                <w:kern w:val="0"/>
                <w:sz w:val="20"/>
                <w:szCs w:val="20"/>
                <w:lang w:bidi="ar"/>
              </w:rPr>
              <w:t>二、上年结转政府信息公开申请数量</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C3E44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30E69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417A1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19A71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2DBD1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B4C77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F7F5DE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r>
      <w:tr w14:paraId="3069B1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59207B">
            <w:pPr>
              <w:widowControl/>
              <w:spacing w:line="560" w:lineRule="exact"/>
              <w:jc w:val="left"/>
            </w:pPr>
            <w:r>
              <w:rPr>
                <w:rFonts w:hint="eastAsia" w:ascii="宋体" w:hAnsi="宋体" w:cs="宋体"/>
                <w:kern w:val="0"/>
                <w:sz w:val="20"/>
                <w:szCs w:val="20"/>
                <w:lang w:bidi="ar"/>
              </w:rPr>
              <w:t>三、本年度办理结果</w:t>
            </w:r>
          </w:p>
        </w:tc>
        <w:tc>
          <w:tcPr>
            <w:tcW w:w="4160"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3EE9AF">
            <w:pPr>
              <w:widowControl/>
              <w:spacing w:line="560" w:lineRule="exact"/>
              <w:jc w:val="left"/>
            </w:pPr>
            <w:r>
              <w:rPr>
                <w:rFonts w:hint="eastAsia" w:ascii="宋体" w:hAnsi="宋体" w:cs="宋体"/>
                <w:kern w:val="0"/>
                <w:sz w:val="20"/>
                <w:szCs w:val="20"/>
                <w:lang w:bidi="ar"/>
              </w:rPr>
              <w:t>（一）予以公开</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872D3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B8C35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CC05B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A5678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E951C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9907F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A5FE4E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r>
      <w:tr w14:paraId="47AF9D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841FD2">
            <w:pPr>
              <w:spacing w:line="560" w:lineRule="exact"/>
              <w:rPr>
                <w:rFonts w:hint="eastAsia" w:ascii="宋体"/>
                <w:sz w:val="24"/>
              </w:rPr>
            </w:pPr>
          </w:p>
        </w:tc>
        <w:tc>
          <w:tcPr>
            <w:tcW w:w="4160"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1255AC">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1D8B7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AC657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3030F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0F657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B7AD3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7FDA9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DC24A2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r>
      <w:tr w14:paraId="757060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940865">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7F5D9B">
            <w:pPr>
              <w:widowControl/>
              <w:spacing w:line="560" w:lineRule="exact"/>
              <w:jc w:val="left"/>
            </w:pPr>
            <w:r>
              <w:rPr>
                <w:rFonts w:hint="eastAsia" w:ascii="宋体" w:hAnsi="宋体" w:cs="宋体"/>
                <w:kern w:val="0"/>
                <w:sz w:val="20"/>
                <w:szCs w:val="20"/>
                <w:lang w:bidi="ar"/>
              </w:rPr>
              <w:t>（三）不予公开</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AEBE537">
            <w:pPr>
              <w:widowControl/>
              <w:spacing w:line="560" w:lineRule="exact"/>
              <w:jc w:val="left"/>
            </w:pPr>
            <w:r>
              <w:rPr>
                <w:rFonts w:hint="eastAsia" w:ascii="宋体" w:hAnsi="宋体" w:cs="宋体"/>
                <w:kern w:val="0"/>
                <w:sz w:val="20"/>
                <w:szCs w:val="20"/>
                <w:lang w:bidi="ar"/>
              </w:rPr>
              <w:t>1.属于国家秘密</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4B970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BED60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E2DAD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19664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DC4E7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B83CB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C891B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56174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75BCCA">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FC7CA6">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7D2FE08">
            <w:pPr>
              <w:widowControl/>
              <w:spacing w:line="560" w:lineRule="exact"/>
              <w:jc w:val="left"/>
            </w:pPr>
            <w:r>
              <w:rPr>
                <w:rFonts w:hint="eastAsia" w:ascii="宋体" w:hAnsi="宋体" w:cs="宋体"/>
                <w:kern w:val="0"/>
                <w:sz w:val="20"/>
                <w:szCs w:val="20"/>
                <w:lang w:bidi="ar"/>
              </w:rPr>
              <w:t>2.其他法律行政法规禁止公开</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E9F1B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E584A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0837C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09F71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F073C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95B48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7CD75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712717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0745F9">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90D343">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A3441F8">
            <w:pPr>
              <w:widowControl/>
              <w:spacing w:line="560" w:lineRule="exact"/>
              <w:jc w:val="left"/>
            </w:pPr>
            <w:r>
              <w:rPr>
                <w:rFonts w:hint="eastAsia" w:ascii="宋体" w:hAnsi="宋体" w:cs="宋体"/>
                <w:kern w:val="0"/>
                <w:sz w:val="20"/>
                <w:szCs w:val="20"/>
                <w:lang w:bidi="ar"/>
              </w:rPr>
              <w:t>3.危及“三安全一稳定”</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141C3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45A1A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3D293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1D96F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0A692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F1584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EAF54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B4CB4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BFDEBC">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99C0D3">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7AD4BDB">
            <w:pPr>
              <w:widowControl/>
              <w:spacing w:line="560" w:lineRule="exact"/>
              <w:jc w:val="left"/>
            </w:pPr>
            <w:r>
              <w:rPr>
                <w:rFonts w:hint="eastAsia" w:ascii="宋体" w:hAnsi="宋体" w:cs="宋体"/>
                <w:kern w:val="0"/>
                <w:sz w:val="20"/>
                <w:szCs w:val="20"/>
                <w:lang w:bidi="ar"/>
              </w:rPr>
              <w:t>4.保护第三方合法权益</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6C206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7097C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31A38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D7AA0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58899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A9450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4ED18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BB5A9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1BF245">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0B12F3">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81B17BD">
            <w:pPr>
              <w:widowControl/>
              <w:spacing w:line="560" w:lineRule="exact"/>
              <w:jc w:val="left"/>
            </w:pPr>
            <w:r>
              <w:rPr>
                <w:rFonts w:hint="eastAsia" w:ascii="宋体" w:hAnsi="宋体" w:cs="宋体"/>
                <w:kern w:val="0"/>
                <w:sz w:val="20"/>
                <w:szCs w:val="20"/>
                <w:lang w:bidi="ar"/>
              </w:rPr>
              <w:t>5.属于三类内部事务信息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A74823F">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B4A99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4D3A5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974B6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2189B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55F2C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22317EB">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r>
      <w:tr w14:paraId="5D625A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DB4382">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3BF347">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906F32B">
            <w:pPr>
              <w:widowControl/>
              <w:spacing w:line="560" w:lineRule="exact"/>
              <w:jc w:val="left"/>
            </w:pPr>
            <w:r>
              <w:rPr>
                <w:rFonts w:hint="eastAsia" w:ascii="宋体" w:hAnsi="宋体" w:cs="宋体"/>
                <w:kern w:val="0"/>
                <w:sz w:val="20"/>
                <w:szCs w:val="20"/>
                <w:lang w:bidi="ar"/>
              </w:rPr>
              <w:t>6.属于四类过程性信息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41D17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A9F9E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B68BD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7EBDA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4219F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6445E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7AC9D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0D311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05AE11">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C6E435">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BD0BFA0">
            <w:pPr>
              <w:widowControl/>
              <w:spacing w:line="560" w:lineRule="exact"/>
              <w:jc w:val="left"/>
            </w:pPr>
            <w:r>
              <w:rPr>
                <w:rFonts w:hint="eastAsia" w:ascii="宋体" w:hAnsi="宋体" w:cs="宋体"/>
                <w:kern w:val="0"/>
                <w:sz w:val="20"/>
                <w:szCs w:val="20"/>
                <w:lang w:bidi="ar"/>
              </w:rPr>
              <w:t>7.属于行政执法案卷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477C9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7DDF0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A1ACA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6A609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9D932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51E2F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9468E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B484A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657262">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F37C40">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D1DD489">
            <w:pPr>
              <w:widowControl/>
              <w:spacing w:line="560" w:lineRule="exact"/>
              <w:jc w:val="left"/>
            </w:pPr>
            <w:r>
              <w:rPr>
                <w:rFonts w:hint="eastAsia" w:ascii="宋体" w:hAnsi="宋体" w:cs="宋体"/>
                <w:kern w:val="0"/>
                <w:sz w:val="20"/>
                <w:szCs w:val="20"/>
                <w:lang w:bidi="ar"/>
              </w:rPr>
              <w:t>8.属于行政查询事项</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8D418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62B1B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1A60D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B028C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2FBCA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61AC5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09376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E11EC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9B4AB0">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22C21E">
            <w:pPr>
              <w:widowControl/>
              <w:spacing w:line="560" w:lineRule="exact"/>
              <w:jc w:val="left"/>
            </w:pPr>
            <w:r>
              <w:rPr>
                <w:rFonts w:hint="eastAsia" w:ascii="宋体" w:hAnsi="宋体" w:cs="宋体"/>
                <w:kern w:val="0"/>
                <w:sz w:val="20"/>
                <w:szCs w:val="20"/>
                <w:lang w:bidi="ar"/>
              </w:rPr>
              <w:t>（四）无法提供</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C66FD01">
            <w:pPr>
              <w:widowControl/>
              <w:spacing w:line="560" w:lineRule="exact"/>
              <w:jc w:val="left"/>
            </w:pPr>
            <w:r>
              <w:rPr>
                <w:rFonts w:hint="eastAsia" w:ascii="宋体" w:hAnsi="宋体" w:cs="宋体"/>
                <w:kern w:val="0"/>
                <w:sz w:val="20"/>
                <w:szCs w:val="20"/>
                <w:lang w:bidi="ar"/>
              </w:rPr>
              <w:t>1.本机关不掌握相关政府信息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F22FF81">
            <w:pPr>
              <w:widowControl/>
              <w:spacing w:line="560" w:lineRule="exact"/>
              <w:jc w:val="center"/>
            </w:pPr>
            <w:r>
              <w:rPr>
                <w:rFonts w:hint="eastAsia" w:ascii="Calibri" w:hAnsi="Calibri" w:cs="Calibri"/>
                <w:kern w:val="0"/>
                <w:sz w:val="20"/>
                <w:szCs w:val="20"/>
                <w:lang w:val="en-US" w:eastAsia="zh-CN" w:bidi="ar"/>
              </w:rPr>
              <w:t>7</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96D95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4695E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137AA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099AE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F9D81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E7126A5">
            <w:pPr>
              <w:widowControl/>
              <w:spacing w:line="560" w:lineRule="exact"/>
              <w:jc w:val="center"/>
            </w:pPr>
            <w:r>
              <w:rPr>
                <w:rFonts w:hint="eastAsia" w:ascii="Calibri" w:hAnsi="Calibri" w:cs="Calibri"/>
                <w:kern w:val="0"/>
                <w:sz w:val="20"/>
                <w:szCs w:val="20"/>
                <w:lang w:val="en-US" w:eastAsia="zh-CN" w:bidi="ar"/>
              </w:rPr>
              <w:t>7</w:t>
            </w:r>
          </w:p>
        </w:tc>
      </w:tr>
      <w:tr w14:paraId="252344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7FD68F">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2E3B77">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A612CD9">
            <w:pPr>
              <w:widowControl/>
              <w:spacing w:line="560" w:lineRule="exact"/>
              <w:jc w:val="left"/>
            </w:pPr>
            <w:r>
              <w:rPr>
                <w:rFonts w:hint="eastAsia" w:ascii="宋体" w:hAnsi="宋体" w:cs="宋体"/>
                <w:kern w:val="0"/>
                <w:sz w:val="20"/>
                <w:szCs w:val="20"/>
                <w:lang w:bidi="ar"/>
              </w:rPr>
              <w:t>2.没有现成信息需要另行制作</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912E5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9B5FD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DCA4B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A6E90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71E5D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474CF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D1DD1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BE766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E90E47">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DF5290">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456A17D">
            <w:pPr>
              <w:widowControl/>
              <w:spacing w:line="560" w:lineRule="exact"/>
              <w:jc w:val="left"/>
            </w:pPr>
            <w:r>
              <w:rPr>
                <w:rFonts w:hint="eastAsia" w:ascii="宋体" w:hAnsi="宋体" w:cs="宋体"/>
                <w:kern w:val="0"/>
                <w:sz w:val="20"/>
                <w:szCs w:val="20"/>
                <w:lang w:bidi="ar"/>
              </w:rPr>
              <w:t>3.补正后申请内容仍不明确</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DAEB1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A28E2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B23FC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EF5BA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7BB3F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18E2C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B07DF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CC9E0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46CC35">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15295C">
            <w:pPr>
              <w:widowControl/>
              <w:spacing w:line="560" w:lineRule="exact"/>
              <w:jc w:val="left"/>
            </w:pPr>
            <w:r>
              <w:rPr>
                <w:rFonts w:hint="eastAsia" w:ascii="宋体" w:hAnsi="宋体" w:cs="宋体"/>
                <w:kern w:val="0"/>
                <w:sz w:val="20"/>
                <w:szCs w:val="20"/>
                <w:lang w:bidi="ar"/>
              </w:rPr>
              <w:t>（五）不予处理</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7691FB1">
            <w:pPr>
              <w:widowControl/>
              <w:spacing w:line="560" w:lineRule="exact"/>
              <w:jc w:val="left"/>
            </w:pPr>
            <w:r>
              <w:rPr>
                <w:rFonts w:hint="eastAsia" w:ascii="宋体" w:hAnsi="宋体" w:cs="宋体"/>
                <w:kern w:val="0"/>
                <w:sz w:val="20"/>
                <w:szCs w:val="20"/>
                <w:lang w:bidi="ar"/>
              </w:rPr>
              <w:t>1.信访举报投诉类申请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BBE6F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732AA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ADCA9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2C9D1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5266A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A6821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948F0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6208A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C6D27F">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F906B3">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6E770F1">
            <w:pPr>
              <w:widowControl/>
              <w:spacing w:line="560" w:lineRule="exact"/>
              <w:jc w:val="left"/>
            </w:pPr>
            <w:r>
              <w:rPr>
                <w:rFonts w:hint="eastAsia" w:ascii="宋体" w:hAnsi="宋体" w:cs="宋体"/>
                <w:kern w:val="0"/>
                <w:sz w:val="20"/>
                <w:szCs w:val="20"/>
                <w:lang w:bidi="ar"/>
              </w:rPr>
              <w:t>2.重复申请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25D59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2DBDD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E8597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AA582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98AD9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21416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42761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752BD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16BB4E">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B5E543">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4CFADE6">
            <w:pPr>
              <w:widowControl/>
              <w:spacing w:line="560" w:lineRule="exact"/>
              <w:jc w:val="left"/>
            </w:pPr>
            <w:r>
              <w:rPr>
                <w:rFonts w:hint="eastAsia" w:ascii="宋体" w:hAnsi="宋体" w:cs="宋体"/>
                <w:kern w:val="0"/>
                <w:sz w:val="20"/>
                <w:szCs w:val="20"/>
                <w:lang w:bidi="ar"/>
              </w:rPr>
              <w:t>3.要求提供公开出版物</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D5F8E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CFB7A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352FC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A9460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D952B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F29E5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380E7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9911B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1762CA">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E2896A">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44BC601">
            <w:pPr>
              <w:widowControl/>
              <w:spacing w:line="560" w:lineRule="exact"/>
              <w:jc w:val="left"/>
            </w:pPr>
            <w:r>
              <w:rPr>
                <w:rFonts w:hint="eastAsia" w:ascii="宋体" w:hAnsi="宋体" w:cs="宋体"/>
                <w:kern w:val="0"/>
                <w:sz w:val="20"/>
                <w:szCs w:val="20"/>
                <w:lang w:bidi="ar"/>
              </w:rPr>
              <w:t>4.无正当理由大量反复申请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CC611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D2BEA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78666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280F8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69938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159A5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3BFEE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95165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63A0DC">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0189D9">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6A6B3E">
            <w:pPr>
              <w:widowControl/>
              <w:spacing w:line="560" w:lineRule="exact"/>
            </w:pPr>
            <w:r>
              <w:rPr>
                <w:rFonts w:hint="eastAsia" w:ascii="宋体" w:hAnsi="宋体" w:cs="宋体"/>
                <w:kern w:val="0"/>
                <w:sz w:val="20"/>
                <w:szCs w:val="20"/>
                <w:lang w:bidi="ar"/>
              </w:rPr>
              <w:t>5.要求行政机关确认或重新出具已获取信息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D947B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6D44E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D5267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D089F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47AE3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43DA1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920F5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C528D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9946A7">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18AB46">
            <w:pPr>
              <w:widowControl/>
              <w:spacing w:line="560" w:lineRule="exact"/>
              <w:jc w:val="left"/>
            </w:pPr>
            <w:r>
              <w:rPr>
                <w:rFonts w:hint="eastAsia" w:ascii="宋体" w:hAnsi="宋体" w:cs="宋体"/>
                <w:kern w:val="0"/>
                <w:sz w:val="20"/>
                <w:szCs w:val="20"/>
                <w:lang w:bidi="ar"/>
              </w:rPr>
              <w:t>（六）其他处理</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05B133">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DCB82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8A965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D3CDF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F17A3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FBCB1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52561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C8F7A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696CD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F22F95">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DAD487">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AC0766">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C5269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3B58B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722C0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5B14B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FF290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2EF24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966C8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15516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FCBA62">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3B89F0">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522D2E">
            <w:pPr>
              <w:widowControl/>
              <w:spacing w:line="560" w:lineRule="exact"/>
              <w:jc w:val="left"/>
            </w:pPr>
            <w:r>
              <w:rPr>
                <w:rFonts w:hint="eastAsia" w:ascii="宋体" w:hAnsi="宋体" w:cs="宋体"/>
                <w:kern w:val="0"/>
                <w:sz w:val="20"/>
                <w:szCs w:val="20"/>
                <w:lang w:bidi="ar"/>
              </w:rPr>
              <w:t>3.其他</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26F9C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B92CF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9EB54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D458C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1EA5D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9734C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4BAF76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r>
      <w:tr w14:paraId="4D48E9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17558E">
            <w:pPr>
              <w:spacing w:line="560" w:lineRule="exact"/>
              <w:rPr>
                <w:rFonts w:hint="eastAsia" w:ascii="宋体"/>
                <w:sz w:val="24"/>
              </w:rPr>
            </w:pPr>
          </w:p>
        </w:tc>
        <w:tc>
          <w:tcPr>
            <w:tcW w:w="4160"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490A6A">
            <w:pPr>
              <w:widowControl/>
              <w:spacing w:line="560" w:lineRule="exact"/>
              <w:jc w:val="left"/>
            </w:pPr>
            <w:r>
              <w:rPr>
                <w:rFonts w:hint="eastAsia" w:ascii="宋体" w:hAnsi="宋体" w:cs="宋体"/>
                <w:kern w:val="0"/>
                <w:sz w:val="20"/>
                <w:szCs w:val="20"/>
                <w:highlight w:val="none"/>
                <w:lang w:bidi="ar"/>
              </w:rPr>
              <w:t>（七）总计</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EA1F78">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14</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183A5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B4BEB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17CB0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C24E5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CD52D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226BEF9">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14</w:t>
            </w:r>
          </w:p>
        </w:tc>
      </w:tr>
      <w:tr w14:paraId="3371DF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2D2097">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A9FA44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E5E6294">
            <w:pPr>
              <w:widowControl/>
              <w:spacing w:line="560" w:lineRule="exact"/>
              <w:jc w:val="center"/>
              <w:rPr>
                <w:rFonts w:hint="eastAsia"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F10BF09">
            <w:pPr>
              <w:widowControl/>
              <w:spacing w:line="560" w:lineRule="exact"/>
              <w:jc w:val="center"/>
              <w:rPr>
                <w:rFonts w:hint="eastAsia"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EC5657F">
            <w:pPr>
              <w:widowControl/>
              <w:spacing w:line="560" w:lineRule="exact"/>
              <w:jc w:val="center"/>
              <w:rPr>
                <w:rFonts w:hint="eastAsia"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D220E61">
            <w:pPr>
              <w:widowControl/>
              <w:spacing w:line="560" w:lineRule="exact"/>
              <w:jc w:val="center"/>
              <w:rPr>
                <w:rFonts w:hint="eastAsia"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8FEC017">
            <w:pPr>
              <w:widowControl/>
              <w:spacing w:line="560" w:lineRule="exact"/>
              <w:jc w:val="center"/>
              <w:rPr>
                <w:rFonts w:hint="eastAsia"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8D24BF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r>
    </w:tbl>
    <w:p w14:paraId="4780D8F8">
      <w:pPr>
        <w:pStyle w:val="2"/>
        <w:spacing w:line="560" w:lineRule="exact"/>
        <w:ind w:left="420" w:leftChars="200"/>
        <w:rPr>
          <w:rFonts w:hint="eastAsia"/>
        </w:rPr>
      </w:pPr>
    </w:p>
    <w:p w14:paraId="487C2915">
      <w:pPr>
        <w:pStyle w:val="2"/>
        <w:spacing w:line="560" w:lineRule="exact"/>
        <w:ind w:left="420" w:leftChars="200"/>
        <w:rPr>
          <w:rFonts w:hint="eastAsia"/>
        </w:rPr>
      </w:pPr>
    </w:p>
    <w:p w14:paraId="23D3820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1F9907D5">
      <w:pPr>
        <w:widowControl/>
        <w:spacing w:line="560" w:lineRule="exact"/>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DCBB4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F497DE9">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65CF25">
            <w:pPr>
              <w:widowControl/>
              <w:spacing w:line="560" w:lineRule="exact"/>
              <w:jc w:val="center"/>
            </w:pPr>
            <w:r>
              <w:rPr>
                <w:rFonts w:hint="eastAsia" w:ascii="宋体" w:hAnsi="宋体" w:cs="宋体"/>
                <w:kern w:val="0"/>
                <w:sz w:val="20"/>
                <w:szCs w:val="20"/>
                <w:lang w:bidi="ar"/>
              </w:rPr>
              <w:t>行政诉讼</w:t>
            </w:r>
          </w:p>
        </w:tc>
      </w:tr>
      <w:tr w14:paraId="573BCC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269D8B3">
            <w:pPr>
              <w:widowControl/>
              <w:spacing w:line="560" w:lineRule="exact"/>
              <w:jc w:val="center"/>
            </w:pPr>
            <w:r>
              <w:rPr>
                <w:rFonts w:hint="eastAsia" w:ascii="宋体" w:hAnsi="宋体" w:cs="宋体"/>
                <w:kern w:val="0"/>
                <w:sz w:val="20"/>
                <w:szCs w:val="20"/>
                <w:lang w:bidi="ar"/>
              </w:rPr>
              <w:t>结果维持</w:t>
            </w:r>
          </w:p>
        </w:tc>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CB4CBE">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20DF07">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9A9FEE0">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E129A9">
            <w:pPr>
              <w:widowControl/>
              <w:spacing w:line="560" w:lineRule="exact"/>
              <w:jc w:val="center"/>
            </w:pPr>
            <w:r>
              <w:rPr>
                <w:rFonts w:hint="eastAsia" w:ascii="宋体" w:hAnsi="宋体" w:cs="宋体"/>
                <w:kern w:val="0"/>
                <w:sz w:val="20"/>
                <w:szCs w:val="20"/>
                <w:lang w:bidi="ar"/>
              </w:rPr>
              <w:t>总计</w:t>
            </w:r>
          </w:p>
        </w:tc>
        <w:tc>
          <w:tcPr>
            <w:tcW w:w="3248"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2BA62A2">
            <w:pPr>
              <w:widowControl/>
              <w:spacing w:line="560" w:lineRule="exact"/>
              <w:jc w:val="center"/>
            </w:pPr>
            <w:r>
              <w:rPr>
                <w:rFonts w:hint="eastAsia" w:ascii="宋体" w:hAnsi="宋体" w:cs="宋体"/>
                <w:kern w:val="0"/>
                <w:sz w:val="20"/>
                <w:szCs w:val="20"/>
                <w:lang w:bidi="ar"/>
              </w:rPr>
              <w:t>未经复议直接起诉</w:t>
            </w:r>
          </w:p>
        </w:tc>
        <w:tc>
          <w:tcPr>
            <w:tcW w:w="325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486E98">
            <w:pPr>
              <w:widowControl/>
              <w:spacing w:line="560" w:lineRule="exact"/>
              <w:jc w:val="center"/>
            </w:pPr>
            <w:r>
              <w:rPr>
                <w:rFonts w:hint="eastAsia" w:ascii="宋体" w:hAnsi="宋体" w:cs="宋体"/>
                <w:kern w:val="0"/>
                <w:sz w:val="20"/>
                <w:szCs w:val="20"/>
                <w:lang w:bidi="ar"/>
              </w:rPr>
              <w:t>复议后起诉</w:t>
            </w:r>
          </w:p>
        </w:tc>
      </w:tr>
      <w:tr w14:paraId="59DAA5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0079B1">
            <w:pPr>
              <w:spacing w:line="560" w:lineRule="exact"/>
              <w:rPr>
                <w:rFonts w:hint="eastAsia"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1C1178">
            <w:pPr>
              <w:spacing w:line="560" w:lineRule="exact"/>
              <w:rPr>
                <w:rFonts w:hint="eastAsia"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FF1F15C">
            <w:pPr>
              <w:spacing w:line="560" w:lineRule="exact"/>
              <w:rPr>
                <w:rFonts w:hint="eastAsia"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94A919">
            <w:pPr>
              <w:spacing w:line="560" w:lineRule="exact"/>
              <w:rPr>
                <w:rFonts w:hint="eastAsia"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F7EC1C">
            <w:pPr>
              <w:spacing w:line="560" w:lineRule="exact"/>
              <w:rPr>
                <w:rFonts w:hint="eastAsia" w:ascii="宋体"/>
                <w:sz w:val="24"/>
              </w:rPr>
            </w:pP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0291D54">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F2E7BDF">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2CF501">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24CBC00">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E65AAB0">
            <w:pPr>
              <w:widowControl/>
              <w:spacing w:line="560" w:lineRule="exact"/>
              <w:jc w:val="center"/>
            </w:pPr>
            <w:r>
              <w:rPr>
                <w:rFonts w:hint="eastAsia" w:ascii="宋体" w:hAnsi="宋体" w:cs="宋体"/>
                <w:color w:val="000000"/>
                <w:kern w:val="0"/>
                <w:sz w:val="20"/>
                <w:szCs w:val="20"/>
                <w:lang w:bidi="ar"/>
              </w:rPr>
              <w:t>总计</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7693DD5">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F9B244">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B6793B8">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7F63BBD">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286C5A3">
            <w:pPr>
              <w:widowControl/>
              <w:spacing w:line="560" w:lineRule="exact"/>
              <w:jc w:val="center"/>
            </w:pPr>
            <w:r>
              <w:rPr>
                <w:rFonts w:hint="eastAsia" w:ascii="宋体" w:hAnsi="宋体" w:cs="宋体"/>
                <w:color w:val="000000"/>
                <w:kern w:val="0"/>
                <w:sz w:val="20"/>
                <w:szCs w:val="20"/>
                <w:lang w:bidi="ar"/>
              </w:rPr>
              <w:t>总计</w:t>
            </w:r>
          </w:p>
        </w:tc>
      </w:tr>
      <w:tr w14:paraId="4DA5D8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42DA6AC8">
            <w:pPr>
              <w:widowControl/>
              <w:spacing w:line="560" w:lineRule="exact"/>
              <w:jc w:val="center"/>
              <w:rPr>
                <w:rFonts w:hint="default" w:ascii="Times New Roman" w:hAnsi="Times New Roman" w:eastAsia="宋体" w:cs="Times New Roman"/>
                <w:kern w:val="2"/>
                <w:sz w:val="21"/>
                <w:szCs w:val="22"/>
                <w:lang w:val="en-US" w:eastAsia="zh-CN" w:bidi="ar-SA"/>
              </w:rPr>
            </w:pPr>
            <w:r>
              <w:rPr>
                <w:rFonts w:hint="eastAsia"/>
                <w:lang w:val="en-US" w:eastAsia="zh-CN"/>
              </w:rPr>
              <w:t xml:space="preserve"> 1                                                                                                                                                                                                                                                                   </w:t>
            </w:r>
          </w:p>
        </w:tc>
        <w:tc>
          <w:tcPr>
            <w:tcW w:w="649"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6013386B">
            <w:pPr>
              <w:widowControl/>
              <w:spacing w:line="560" w:lineRule="exact"/>
              <w:jc w:val="center"/>
              <w:rPr>
                <w:rFonts w:hint="default" w:ascii="Times New Roman" w:hAnsi="Times New Roman" w:eastAsia="宋体" w:cs="Times New Roman"/>
                <w:kern w:val="2"/>
                <w:sz w:val="21"/>
                <w:szCs w:val="22"/>
                <w:lang w:val="en-US" w:eastAsia="zh-CN" w:bidi="ar-SA"/>
              </w:rPr>
            </w:pPr>
            <w:r>
              <w:rPr>
                <w:rFonts w:hint="eastAsia"/>
                <w:lang w:val="en-US" w:eastAsia="zh-CN"/>
              </w:rPr>
              <w:t>0</w:t>
            </w:r>
          </w:p>
        </w:tc>
        <w:tc>
          <w:tcPr>
            <w:tcW w:w="649"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7B120FA8">
            <w:pPr>
              <w:widowControl/>
              <w:spacing w:line="560" w:lineRule="exact"/>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49"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7BCA8AEB">
            <w:pPr>
              <w:widowControl/>
              <w:spacing w:line="560" w:lineRule="exact"/>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49"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56B277E3">
            <w:pPr>
              <w:widowControl/>
              <w:spacing w:line="560" w:lineRule="exact"/>
              <w:jc w:val="center"/>
              <w:rPr>
                <w:rFonts w:hint="default" w:ascii="Times New Roman" w:hAnsi="Times New Roman" w:eastAsia="宋体" w:cs="Times New Roman"/>
                <w:kern w:val="2"/>
                <w:sz w:val="21"/>
                <w:szCs w:val="22"/>
                <w:lang w:val="en-US" w:eastAsia="zh-CN" w:bidi="ar-SA"/>
              </w:rPr>
            </w:pPr>
            <w:r>
              <w:rPr>
                <w:rFonts w:hint="eastAsia"/>
                <w:lang w:val="en-US" w:eastAsia="zh-CN"/>
              </w:rPr>
              <w:t>1</w:t>
            </w:r>
          </w:p>
        </w:tc>
        <w:tc>
          <w:tcPr>
            <w:tcW w:w="649"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730BB6C1">
            <w:pPr>
              <w:widowControl/>
              <w:spacing w:line="560" w:lineRule="exact"/>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49"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60974D2C">
            <w:pPr>
              <w:widowControl/>
              <w:spacing w:line="560" w:lineRule="exact"/>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50"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13405C97">
            <w:pPr>
              <w:widowControl/>
              <w:spacing w:line="560" w:lineRule="exact"/>
              <w:jc w:val="center"/>
              <w:rPr>
                <w:rFonts w:hint="default" w:ascii="Times New Roman" w:hAnsi="Times New Roman" w:eastAsia="宋体" w:cs="Times New Roman"/>
                <w:kern w:val="2"/>
                <w:sz w:val="21"/>
                <w:szCs w:val="22"/>
                <w:lang w:val="en-US" w:eastAsia="zh-CN" w:bidi="ar-SA"/>
              </w:rPr>
            </w:pPr>
            <w:r>
              <w:rPr>
                <w:rFonts w:hint="eastAsia"/>
                <w:lang w:val="en-US" w:eastAsia="zh-CN"/>
              </w:rPr>
              <w:t>0</w:t>
            </w:r>
          </w:p>
        </w:tc>
        <w:tc>
          <w:tcPr>
            <w:tcW w:w="650"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5BA8442A">
            <w:pPr>
              <w:widowControl/>
              <w:spacing w:line="560" w:lineRule="exact"/>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50"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51CC8552">
            <w:pPr>
              <w:widowControl/>
              <w:spacing w:line="560" w:lineRule="exact"/>
              <w:jc w:val="center"/>
              <w:rPr>
                <w:rFonts w:hint="default" w:ascii="Times New Roman" w:hAnsi="Times New Roman" w:eastAsia="宋体" w:cs="Times New Roman"/>
                <w:kern w:val="2"/>
                <w:sz w:val="21"/>
                <w:szCs w:val="22"/>
                <w:lang w:val="en-US" w:eastAsia="zh-CN" w:bidi="ar-SA"/>
              </w:rPr>
            </w:pPr>
            <w:r>
              <w:rPr>
                <w:rFonts w:hint="eastAsia"/>
                <w:lang w:val="en-US" w:eastAsia="zh-CN"/>
              </w:rPr>
              <w:t>0</w:t>
            </w:r>
          </w:p>
        </w:tc>
        <w:tc>
          <w:tcPr>
            <w:tcW w:w="651"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205F7BE2">
            <w:pPr>
              <w:widowControl/>
              <w:spacing w:line="560" w:lineRule="exact"/>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51"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0B8D86C7">
            <w:pPr>
              <w:widowControl/>
              <w:spacing w:line="560" w:lineRule="exact"/>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51"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1E058EE2">
            <w:pPr>
              <w:widowControl/>
              <w:spacing w:line="560" w:lineRule="exact"/>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51"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499308EF">
            <w:pPr>
              <w:widowControl/>
              <w:spacing w:line="560" w:lineRule="exact"/>
              <w:jc w:val="center"/>
              <w:rPr>
                <w:rFonts w:hint="eastAsia" w:ascii="Times New Roman" w:hAnsi="Times New Roman" w:eastAsia="黑体" w:cs="Times New Roman"/>
                <w:kern w:val="2"/>
                <w:sz w:val="21"/>
                <w:szCs w:val="22"/>
                <w:lang w:val="en-US" w:eastAsia="zh-CN" w:bidi="ar-SA"/>
              </w:rPr>
            </w:pPr>
            <w:r>
              <w:rPr>
                <w:rFonts w:hint="eastAsia"/>
                <w:lang w:val="en-US" w:eastAsia="zh-CN"/>
              </w:rPr>
              <w:t>0</w:t>
            </w:r>
          </w:p>
        </w:tc>
        <w:tc>
          <w:tcPr>
            <w:tcW w:w="651"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3A67B2E5">
            <w:pPr>
              <w:widowControl/>
              <w:spacing w:line="560" w:lineRule="exact"/>
              <w:jc w:val="center"/>
              <w:rPr>
                <w:rFonts w:hint="eastAsia" w:ascii="宋体" w:hAnsi="Times New Roman" w:eastAsia="宋体" w:cs="Times New Roman"/>
                <w:kern w:val="2"/>
                <w:sz w:val="24"/>
                <w:szCs w:val="22"/>
                <w:lang w:val="en-US" w:eastAsia="zh-CN" w:bidi="ar-SA"/>
              </w:rPr>
            </w:pPr>
            <w:r>
              <w:rPr>
                <w:rFonts w:hint="eastAsia"/>
                <w:lang w:val="en-US" w:eastAsia="zh-CN"/>
              </w:rPr>
              <w:t>0</w:t>
            </w:r>
          </w:p>
        </w:tc>
      </w:tr>
    </w:tbl>
    <w:p w14:paraId="644B4FA2">
      <w:pPr>
        <w:widowControl/>
        <w:spacing w:line="560" w:lineRule="exact"/>
        <w:jc w:val="left"/>
      </w:pPr>
    </w:p>
    <w:p w14:paraId="0F5B964F">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39903A5F">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 w:hAnsi="仿宋" w:eastAsia="仿宋" w:cs="仿宋"/>
          <w:spacing w:val="8"/>
          <w:kern w:val="0"/>
          <w:sz w:val="32"/>
          <w:szCs w:val="32"/>
        </w:rPr>
      </w:pPr>
      <w:r>
        <w:rPr>
          <w:rFonts w:hint="eastAsia" w:ascii="仿宋" w:hAnsi="仿宋" w:eastAsia="仿宋" w:cs="仿宋"/>
          <w:spacing w:val="8"/>
          <w:kern w:val="0"/>
          <w:sz w:val="32"/>
          <w:szCs w:val="32"/>
        </w:rPr>
        <w:t>一是在信息分类与呈现方式上，精细化和便捷性仍有提升空间。后续将结合公众反馈与使用习惯，进一步优化门户网站栏目布局，探索采用图表、图解等更直观形式解读政策文件，增强信息的可读性和获取便利性。</w:t>
      </w:r>
    </w:p>
    <w:p w14:paraId="7DFDE9CB">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 w:hAnsi="仿宋" w:eastAsia="仿宋" w:cs="仿宋"/>
          <w:spacing w:val="8"/>
          <w:kern w:val="0"/>
          <w:sz w:val="32"/>
          <w:szCs w:val="32"/>
        </w:rPr>
      </w:pPr>
      <w:r>
        <w:rPr>
          <w:rFonts w:hint="eastAsia" w:ascii="仿宋" w:hAnsi="仿宋" w:eastAsia="仿宋" w:cs="仿宋"/>
          <w:spacing w:val="8"/>
          <w:kern w:val="0"/>
          <w:sz w:val="32"/>
          <w:szCs w:val="32"/>
        </w:rPr>
        <w:t>二是政策解读与公众关切回应的联动可进一步强化。将推动政策制定与解读材料同步准备、同步发布，并尝试以问答、案例等形式开展针对性解读。同时，计划定期梳理咨询频率较高的问题，形成专题解读内容予以主动公开。</w:t>
      </w:r>
    </w:p>
    <w:p w14:paraId="79C09CD6">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 w:hAnsi="仿宋" w:eastAsia="仿宋" w:cs="仿宋"/>
          <w:spacing w:val="8"/>
          <w:kern w:val="0"/>
          <w:sz w:val="32"/>
          <w:szCs w:val="32"/>
        </w:rPr>
      </w:pPr>
      <w:r>
        <w:rPr>
          <w:rFonts w:hint="eastAsia" w:ascii="仿宋" w:hAnsi="仿宋" w:eastAsia="仿宋" w:cs="仿宋"/>
          <w:spacing w:val="8"/>
          <w:kern w:val="0"/>
          <w:sz w:val="32"/>
          <w:szCs w:val="32"/>
        </w:rPr>
        <w:t>三是常态化听取公众意见的机制有待健全。下一步拟在确保平台规范运行的基础上，探索通过简易问卷调查、意见征集专栏等方式，收集公众对信息公开内容与形式的意见建议，并将其作为改进工作的重要参考，提升服务的针对性与满意度。</w:t>
      </w:r>
    </w:p>
    <w:p w14:paraId="261082FE">
      <w:pPr>
        <w:widowControl/>
        <w:spacing w:line="560" w:lineRule="exact"/>
        <w:ind w:firstLine="675"/>
        <w:jc w:val="left"/>
        <w:rPr>
          <w:rFonts w:hint="eastAsia" w:ascii="仿宋" w:hAnsi="仿宋" w:eastAsia="仿宋" w:cs="仿宋"/>
          <w:b w:val="0"/>
          <w:bCs w:val="0"/>
          <w:i w:val="0"/>
          <w:caps w:val="0"/>
          <w:color w:val="000000" w:themeColor="text1"/>
          <w:spacing w:val="0"/>
          <w:kern w:val="0"/>
          <w:sz w:val="32"/>
          <w:szCs w:val="32"/>
          <w:u w:val="none"/>
          <w:shd w:val="clear" w:color="auto" w:fill="FFFFFF"/>
          <w:lang w:val="en-US" w:eastAsia="zh-CN" w:bidi="ar"/>
          <w14:textFill>
            <w14:solidFill>
              <w14:schemeClr w14:val="tx1"/>
            </w14:solidFill>
          </w14:textFill>
        </w:rPr>
      </w:pPr>
      <w:r>
        <w:rPr>
          <w:rFonts w:ascii="黑体" w:hAnsi="黑体" w:eastAsia="黑体" w:cs="宋体"/>
          <w:spacing w:val="8"/>
          <w:kern w:val="0"/>
          <w:sz w:val="32"/>
          <w:szCs w:val="32"/>
        </w:rPr>
        <w:t>六、其他需要报告的事项</w:t>
      </w:r>
    </w:p>
    <w:p w14:paraId="329872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u w:val="none"/>
          <w:shd w:val="clear" w:color="auto" w:fill="FFFFFF"/>
          <w:lang w:val="en-US" w:eastAsia="zh-CN" w:bidi="ar"/>
          <w14:textFill>
            <w14:solidFill>
              <w14:schemeClr w14:val="tx1"/>
            </w14:solidFill>
          </w14:textFill>
        </w:rPr>
        <w:t>2025年未发出收费通知。本报告中所列数据的统计期限自2025年1月1日起，至2025年12月31日止。本报告的电子版可在北京市人民政府门户网站丰台区政府信息公开专栏下载。</w:t>
      </w:r>
    </w:p>
    <w:p w14:paraId="58FA1221">
      <w:pPr>
        <w:widowControl/>
        <w:spacing w:line="560" w:lineRule="exact"/>
        <w:jc w:val="left"/>
        <w:rPr>
          <w:rFonts w:hint="eastAsia" w:ascii="仿宋_GB2312" w:hAnsi="宋体" w:eastAsia="仿宋_GB2312" w:cs="宋体"/>
          <w:color w:val="9BC2E6"/>
          <w:spacing w:val="8"/>
          <w:kern w:val="0"/>
          <w:sz w:val="32"/>
          <w:szCs w:val="32"/>
        </w:rPr>
      </w:pPr>
    </w:p>
    <w:p w14:paraId="7949F9B3">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14:paraId="159851A2">
      <w:pPr>
        <w:pStyle w:val="2"/>
        <w:spacing w:line="560" w:lineRule="exact"/>
        <w:rPr>
          <w:rFonts w:hint="eastAsia"/>
          <w:highlight w:val="none"/>
        </w:rPr>
      </w:pPr>
    </w:p>
    <w:p w14:paraId="187E7A74">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AD1B89-639C-4B8E-85CE-A3801A3EC7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54D757F-721F-4EA8-AC20-8390D59BDD08}"/>
  </w:font>
  <w:font w:name="方正小标宋简体">
    <w:panose1 w:val="02000000000000000000"/>
    <w:charset w:val="86"/>
    <w:family w:val="auto"/>
    <w:pitch w:val="default"/>
    <w:sig w:usb0="00000001" w:usb1="08000000" w:usb2="00000000" w:usb3="00000000" w:csb0="00040000" w:csb1="00000000"/>
    <w:embedRegular r:id="rId3" w:fontKey="{C502531F-92F3-4000-B86F-118C2B9F3AC3}"/>
  </w:font>
  <w:font w:name="微软雅黑">
    <w:panose1 w:val="020B0503020204020204"/>
    <w:charset w:val="86"/>
    <w:family w:val="swiss"/>
    <w:pitch w:val="default"/>
    <w:sig w:usb0="80000287" w:usb1="2ACF3C50" w:usb2="00000016" w:usb3="00000000" w:csb0="0004001F" w:csb1="00000000"/>
    <w:embedRegular r:id="rId4" w:fontKey="{6DF020C0-BA30-4901-B30B-6EDFE783FCE0}"/>
  </w:font>
  <w:font w:name="仿宋_GB2312">
    <w:altName w:val="仿宋"/>
    <w:panose1 w:val="02010609030101010101"/>
    <w:charset w:val="86"/>
    <w:family w:val="modern"/>
    <w:pitch w:val="default"/>
    <w:sig w:usb0="00000000" w:usb1="00000000" w:usb2="00000000" w:usb3="00000000" w:csb0="00040000" w:csb1="00000000"/>
    <w:embedRegular r:id="rId5" w:fontKey="{DE4BC4C8-C8D8-4D09-95B1-DEA8890AF0FF}"/>
  </w:font>
  <w:font w:name="仿宋">
    <w:panose1 w:val="02010609060101010101"/>
    <w:charset w:val="86"/>
    <w:family w:val="auto"/>
    <w:pitch w:val="default"/>
    <w:sig w:usb0="800002BF" w:usb1="38CF7CFA" w:usb2="00000016" w:usb3="00000000" w:csb0="00040001" w:csb1="00000000"/>
    <w:embedRegular r:id="rId6" w:fontKey="{914B5B3D-A787-4BE1-BF07-DBF1F3421583}"/>
  </w:font>
  <w:font w:name="楷体_GB2312">
    <w:altName w:val="楷体"/>
    <w:panose1 w:val="02010609030101010101"/>
    <w:charset w:val="86"/>
    <w:family w:val="auto"/>
    <w:pitch w:val="default"/>
    <w:sig w:usb0="00000000" w:usb1="00000000" w:usb2="00000000" w:usb3="00000000" w:csb0="00040000" w:csb1="00000000"/>
    <w:embedRegular r:id="rId7" w:fontKey="{89540C3B-FC8D-4EDE-8C42-97C12954D928}"/>
  </w:font>
  <w:font w:name="楷体">
    <w:panose1 w:val="02010609060101010101"/>
    <w:charset w:val="86"/>
    <w:family w:val="modern"/>
    <w:pitch w:val="default"/>
    <w:sig w:usb0="800002BF" w:usb1="38CF7CFA" w:usb2="00000016" w:usb3="00000000" w:csb0="00040001" w:csb1="00000000"/>
    <w:embedRegular r:id="rId8" w:fontKey="{1672F7CF-90F6-4749-A192-9A56CD74D67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3335E64"/>
    <w:rsid w:val="109822D7"/>
    <w:rsid w:val="15F733A2"/>
    <w:rsid w:val="1D85059A"/>
    <w:rsid w:val="204B7DC2"/>
    <w:rsid w:val="20F175B4"/>
    <w:rsid w:val="21A87E06"/>
    <w:rsid w:val="252C3B2D"/>
    <w:rsid w:val="277561FC"/>
    <w:rsid w:val="34403F81"/>
    <w:rsid w:val="45B10229"/>
    <w:rsid w:val="5FC92F80"/>
    <w:rsid w:val="60BF001D"/>
    <w:rsid w:val="61FC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980</Words>
  <Characters>1005</Characters>
  <Lines>0</Lines>
  <Paragraphs>0</Paragraphs>
  <TotalTime>0</TotalTime>
  <ScaleCrop>false</ScaleCrop>
  <LinksUpToDate>false</LinksUpToDate>
  <CharactersWithSpaces>1021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李晓萱</cp:lastModifiedBy>
  <cp:lastPrinted>2026-01-05T06:29:00Z</cp:lastPrinted>
  <dcterms:modified xsi:type="dcterms:W3CDTF">2026-01-19T01:12:00Z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6875E895816C4DC79A3DCE4CEC33A7CE</vt:lpwstr>
  </property>
  <property fmtid="{D5CDD505-2E9C-101B-9397-08002B2CF9AE}" pid="4" name="KSOTemplateDocerSaveRecord">
    <vt:lpwstr>eyJoZGlkIjoiNDgzMDg1MzM3YjE3YjFkMjIwODgxNDY5NWMyOTRjYWUiLCJ1c2VySWQiOiIxNjcxODQ2OTQwIn0=</vt:lpwstr>
  </property>
</Properties>
</file>