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北京市丰台区人民政府和义街道办事处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和义街道在区委、区政府坚强领导下，承压奋进、开拓新局。一年来，和义街道坚持以习近平新时代中国特色社会主义思想为指导，深入贯彻党的二十大及二十届历次全会精神，严格落实《政府信息公开条例》，统筹推进政府信息公开制度化、规范化、信息化建设，以信息公开工作的有力开展赋能街道城市管理、民生保障、合作发展等各方面工作提质增效。</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是组织领导。和义街道高度重视政府信息公开工作，加强组织领导，由分管综合办公室的办事处副主任作为指导政府信息公开工作的主管领导，综合办公室牵头负责信息公开工作有序开展。各分管领导和业务科室各司其职、积极配合，充分发挥职能领域优势，为综合办公室开展信息公开工作提供有力支持。</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spacing w:val="8"/>
          <w:kern w:val="0"/>
          <w:sz w:val="32"/>
          <w:szCs w:val="32"/>
          <w:lang w:eastAsia="zh-CN"/>
        </w:rPr>
      </w:pPr>
      <w:r>
        <w:rPr>
          <w:rFonts w:hint="eastAsia" w:ascii="仿宋_GB2312" w:hAnsi="宋体" w:eastAsia="仿宋_GB2312" w:cs="宋体"/>
          <w:spacing w:val="8"/>
          <w:kern w:val="0"/>
          <w:sz w:val="32"/>
          <w:szCs w:val="32"/>
          <w:lang w:val="en-US" w:eastAsia="zh-CN"/>
        </w:rPr>
        <w:t>二是主动公开。和义街道扎实推进政府信息主动公开，依托丰台区政府网站信息发布系统，围绕党建活动、街道工作、民生实事等多个领域，定期发布街镇动态，帮助群众全方面了解街道工作。</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
          <w:kern w:val="0"/>
          <w:sz w:val="32"/>
          <w:szCs w:val="32"/>
          <w:lang w:val="en-US" w:eastAsia="zh-CN"/>
        </w:rPr>
        <w:t>三是依申请公开。和义街道依法依规受理来自自然人、法人的政府信息公开申请，通过电子邮箱、信件邮寄以及当场填写等多渠道获取政府信息公开申请表，按时规范出具登记回执，第一时间开展</w:t>
      </w:r>
      <w:r>
        <w:rPr>
          <w:rFonts w:hint="eastAsia" w:ascii="仿宋_GB2312" w:hAnsi="仿宋_GB2312" w:eastAsia="仿宋_GB2312" w:cs="仿宋_GB2312"/>
          <w:sz w:val="32"/>
          <w:szCs w:val="32"/>
          <w:lang w:val="en-US" w:eastAsia="zh-CN"/>
        </w:rPr>
        <w:t>部门协调联动查找相关文件，与申请人保持沟通联络，紧扣“以公开为常态、不公开为例外”原则，均依照法定程序及时予以答复，切实保障人民群众的知情权。</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spacing w:val="8"/>
          <w:kern w:val="0"/>
          <w:sz w:val="32"/>
          <w:szCs w:val="32"/>
          <w:lang w:eastAsia="zh-CN"/>
        </w:rPr>
      </w:pPr>
      <w:r>
        <w:rPr>
          <w:rFonts w:hint="eastAsia" w:ascii="仿宋_GB2312" w:hAnsi="仿宋_GB2312" w:eastAsia="仿宋_GB2312" w:cs="仿宋_GB2312"/>
          <w:spacing w:val="8"/>
          <w:kern w:val="0"/>
          <w:sz w:val="32"/>
          <w:szCs w:val="32"/>
          <w:lang w:val="en-US" w:eastAsia="zh-CN"/>
        </w:rPr>
        <w:t>四是政府信息管理。和义街道</w:t>
      </w:r>
      <w:r>
        <w:rPr>
          <w:rFonts w:hint="eastAsia" w:ascii="仿宋_GB2312" w:hAnsi="宋体" w:eastAsia="仿宋_GB2312" w:cs="宋体"/>
          <w:spacing w:val="8"/>
          <w:kern w:val="0"/>
          <w:sz w:val="32"/>
          <w:szCs w:val="32"/>
          <w:lang w:val="en-US" w:eastAsia="zh-CN"/>
        </w:rPr>
        <w:t>按时</w:t>
      </w:r>
      <w:r>
        <w:rPr>
          <w:rFonts w:hint="eastAsia" w:ascii="仿宋_GB2312" w:hAnsi="仿宋_GB2312" w:eastAsia="仿宋_GB2312" w:cs="仿宋_GB2312"/>
          <w:spacing w:val="8"/>
          <w:kern w:val="0"/>
          <w:sz w:val="32"/>
          <w:szCs w:val="32"/>
          <w:lang w:eastAsia="zh-CN"/>
        </w:rPr>
        <w:t>编制发布政府信息公开全清单、公开年报、基本信息、公开招聘、年度预决算、政府公告等内容，根据机构设置和领导变化同步调整街道信息，确保政府信息更新及时、准确无误。</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
          <w:kern w:val="0"/>
          <w:sz w:val="32"/>
          <w:szCs w:val="32"/>
          <w:lang w:val="en-US" w:eastAsia="zh-CN"/>
        </w:rPr>
        <w:t>五是政府信息公开平台建设。和义街道官方微信公众号</w:t>
      </w:r>
      <w:r>
        <w:rPr>
          <w:rFonts w:hint="eastAsia" w:ascii="仿宋_GB2312" w:hAnsi="仿宋_GB2312" w:eastAsia="仿宋_GB2312" w:cs="仿宋_GB2312"/>
          <w:sz w:val="32"/>
          <w:szCs w:val="32"/>
          <w:lang w:val="en-US" w:eastAsia="zh-CN"/>
        </w:rPr>
        <w:t>“北京和义”持续更新，每日由专人负责运维，依托该政务新媒体平台，发挥正向宣传作用，正面引导舆论，按上级要求发布和转载相关信息，同时拓宽向辖区居民和企业发布通知、解读政策的渠道。</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教育培训。和义街道注重提升政府信息公开工作质效，主动开展《政府信息公开条例》等法律法规的集体研学，积极参加区政务服务和数据管理局组织开展的政府信息公开培训，并将培训内容在街道传达到位。</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七是监督保障。和义街道持续压紧压实政府信息公开工作责任，明确责任部门和负责人，建立政府信息公开审核机制，确保信息公开程序规范合法、信息公开内容准确有效。</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rPr>
                <w:highlight w:val="none"/>
              </w:rPr>
            </w:pPr>
            <w:r>
              <w:rPr>
                <w:rFonts w:hint="eastAsia" w:ascii="宋体" w:hAnsi="宋体" w:cs="宋体"/>
                <w:color w:val="000000"/>
                <w:kern w:val="0"/>
                <w:sz w:val="20"/>
                <w:szCs w:val="20"/>
                <w:highlight w:val="none"/>
                <w:lang w:bidi="ar"/>
              </w:rPr>
              <w:t>规章</w:t>
            </w:r>
          </w:p>
        </w:tc>
        <w:tc>
          <w:tcPr>
            <w:tcW w:w="2435" w:type="dxa"/>
            <w:noWrap w:val="0"/>
            <w:tcMar>
              <w:left w:w="57" w:type="dxa"/>
              <w:right w:w="57" w:type="dxa"/>
            </w:tcMar>
            <w:vAlign w:val="center"/>
          </w:tcPr>
          <w:p>
            <w:pPr>
              <w:widowControl/>
              <w:spacing w:line="560" w:lineRule="exact"/>
              <w:jc w:val="left"/>
            </w:pPr>
            <w:r>
              <w:rPr>
                <w:rFonts w:hint="default" w:ascii="Times New Roman" w:hAnsi="Times New Roman" w:cs="Times New Roman"/>
                <w:color w:val="000000"/>
                <w:kern w:val="0"/>
                <w:sz w:val="20"/>
                <w:szCs w:val="20"/>
                <w:lang w:val="en-US" w:eastAsia="zh-CN" w:bidi="ar"/>
              </w:rPr>
              <w:t>0</w:t>
            </w:r>
            <w:r>
              <w:rPr>
                <w:rFonts w:hint="eastAsia" w:ascii="宋体" w:hAnsi="宋体" w:cs="宋体"/>
                <w:color w:val="000000"/>
                <w:kern w:val="0"/>
                <w:sz w:val="20"/>
                <w:szCs w:val="20"/>
                <w:lang w:bidi="ar"/>
              </w:rPr>
              <w:t>　　</w:t>
            </w:r>
          </w:p>
        </w:tc>
        <w:tc>
          <w:tcPr>
            <w:tcW w:w="2435" w:type="dxa"/>
            <w:noWrap w:val="0"/>
            <w:tcMar>
              <w:left w:w="57" w:type="dxa"/>
              <w:right w:w="57" w:type="dxa"/>
            </w:tcMar>
            <w:vAlign w:val="center"/>
          </w:tcPr>
          <w:p>
            <w:pPr>
              <w:widowControl/>
              <w:spacing w:line="560" w:lineRule="exact"/>
              <w:jc w:val="left"/>
              <w:rPr>
                <w:rFonts w:hint="default"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　</w:t>
            </w:r>
          </w:p>
        </w:tc>
        <w:tc>
          <w:tcPr>
            <w:tcW w:w="2435" w:type="dxa"/>
            <w:noWrap w:val="0"/>
            <w:tcMar>
              <w:left w:w="57" w:type="dxa"/>
              <w:right w:w="57" w:type="dxa"/>
            </w:tcMar>
            <w:vAlign w:val="center"/>
          </w:tcPr>
          <w:p>
            <w:pPr>
              <w:widowControl/>
              <w:spacing w:line="560" w:lineRule="exact"/>
              <w:jc w:val="left"/>
              <w:rPr>
                <w:rFonts w:hint="default"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rPr>
                <w:highlight w:val="none"/>
              </w:rPr>
            </w:pPr>
            <w:r>
              <w:rPr>
                <w:rFonts w:hint="eastAsia" w:ascii="宋体" w:hAnsi="宋体" w:cs="宋体"/>
                <w:color w:val="000000"/>
                <w:kern w:val="0"/>
                <w:sz w:val="20"/>
                <w:szCs w:val="20"/>
                <w:highlight w:val="none"/>
                <w:lang w:bidi="ar"/>
              </w:rPr>
              <w:t>行政规范性文件</w:t>
            </w:r>
          </w:p>
        </w:tc>
        <w:tc>
          <w:tcPr>
            <w:tcW w:w="2435" w:type="dxa"/>
            <w:noWrap w:val="0"/>
            <w:tcMar>
              <w:left w:w="57" w:type="dxa"/>
              <w:right w:w="57" w:type="dxa"/>
            </w:tcMar>
            <w:vAlign w:val="center"/>
          </w:tcPr>
          <w:p>
            <w:pPr>
              <w:widowControl/>
              <w:spacing w:line="560" w:lineRule="exact"/>
              <w:jc w:val="left"/>
            </w:pPr>
            <w:r>
              <w:rPr>
                <w:rFonts w:hint="eastAsia" w:ascii="Times New Roman" w:hAnsi="Times New Roman" w:cs="Times New Roman"/>
                <w:color w:val="000000"/>
                <w:kern w:val="0"/>
                <w:sz w:val="20"/>
                <w:szCs w:val="20"/>
                <w:lang w:val="en-US" w:eastAsia="zh-CN" w:bidi="ar"/>
              </w:rPr>
              <w:t>0</w:t>
            </w:r>
            <w:r>
              <w:rPr>
                <w:rFonts w:hint="eastAsia" w:ascii="宋体" w:hAnsi="宋体" w:cs="宋体"/>
                <w:color w:val="000000"/>
                <w:kern w:val="0"/>
                <w:sz w:val="20"/>
                <w:szCs w:val="20"/>
                <w:lang w:bidi="ar"/>
              </w:rPr>
              <w:t>　　</w:t>
            </w:r>
          </w:p>
        </w:tc>
        <w:tc>
          <w:tcPr>
            <w:tcW w:w="2435" w:type="dxa"/>
            <w:noWrap w:val="0"/>
            <w:tcMar>
              <w:left w:w="57" w:type="dxa"/>
              <w:right w:w="57" w:type="dxa"/>
            </w:tcMar>
            <w:vAlign w:val="center"/>
          </w:tcPr>
          <w:p>
            <w:pPr>
              <w:widowControl/>
              <w:spacing w:line="560" w:lineRule="exact"/>
              <w:jc w:val="left"/>
              <w:rPr>
                <w:rFonts w:hint="default"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　</w:t>
            </w:r>
          </w:p>
        </w:tc>
        <w:tc>
          <w:tcPr>
            <w:tcW w:w="2435" w:type="dxa"/>
            <w:noWrap w:val="0"/>
            <w:tcMar>
              <w:left w:w="57" w:type="dxa"/>
              <w:right w:w="57" w:type="dxa"/>
            </w:tcMar>
            <w:vAlign w:val="center"/>
          </w:tcPr>
          <w:p>
            <w:pPr>
              <w:widowControl/>
              <w:spacing w:line="560" w:lineRule="exact"/>
              <w:jc w:val="left"/>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pPr>
              <w:widowControl/>
              <w:spacing w:line="560" w:lineRule="exact"/>
              <w:jc w:val="left"/>
              <w:rPr>
                <w:rFonts w:hint="eastAsia" w:eastAsia="宋体"/>
                <w:lang w:val="en-US" w:eastAsia="zh-CN"/>
              </w:rPr>
            </w:pPr>
            <w:r>
              <w:rPr>
                <w:rFonts w:hint="eastAsia" w:ascii="Times New Roman" w:hAnsi="Times New Roman" w:cs="Times New Roman"/>
                <w:color w:val="000000"/>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pPr>
              <w:widowControl/>
              <w:spacing w:line="560" w:lineRule="exact"/>
              <w:jc w:val="left"/>
            </w:pPr>
            <w:r>
              <w:rPr>
                <w:rFonts w:hint="eastAsia" w:ascii="Times New Roman" w:hAnsi="Times New Roman" w:cs="Times New Roman"/>
                <w:color w:val="000000"/>
                <w:kern w:val="0"/>
                <w:sz w:val="20"/>
                <w:szCs w:val="20"/>
                <w:lang w:val="en-US" w:eastAsia="zh-CN" w:bidi="ar"/>
              </w:rPr>
              <w:t>105</w:t>
            </w:r>
            <w:r>
              <w:rPr>
                <w:rFonts w:hint="eastAsia" w:ascii="宋体" w:hAnsi="宋体" w:cs="宋体"/>
                <w:color w:val="000000"/>
                <w:kern w:val="0"/>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pPr>
              <w:widowControl/>
              <w:spacing w:line="560" w:lineRule="exact"/>
              <w:jc w:val="left"/>
              <w:rPr>
                <w:rFonts w:hint="eastAsia" w:eastAsia="宋体"/>
                <w:lang w:val="en-US" w:eastAsia="zh-CN"/>
              </w:rPr>
            </w:pPr>
            <w:r>
              <w:rPr>
                <w:rFonts w:hint="eastAsia" w:ascii="Times New Roman" w:hAnsi="Times New Roman" w:cs="Times New Roman"/>
                <w:color w:val="000000"/>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pPr>
              <w:spacing w:line="560" w:lineRule="exact"/>
              <w:rPr>
                <w:rFonts w:hint="eastAsia" w:ascii="宋体" w:eastAsia="宋体"/>
                <w:sz w:val="24"/>
                <w:lang w:val="en-US" w:eastAsia="zh-CN"/>
              </w:rPr>
            </w:pPr>
            <w:r>
              <w:rPr>
                <w:rFonts w:hint="eastAsia" w:ascii="Times New Roman" w:hAnsi="Times New Roman" w:cs="Times New Roman"/>
                <w:color w:val="000000"/>
                <w:kern w:val="0"/>
                <w:sz w:val="20"/>
                <w:szCs w:val="20"/>
                <w:lang w:val="en-US" w:eastAsia="zh-CN" w:bidi="ar"/>
              </w:rPr>
              <w:t>0</w:t>
            </w:r>
          </w:p>
        </w:tc>
      </w:tr>
    </w:tbl>
    <w:p>
      <w:pPr>
        <w:pStyle w:val="2"/>
        <w:spacing w:line="560" w:lineRule="exact"/>
        <w:rPr>
          <w:rFonts w:hint="eastAsia"/>
        </w:rPr>
      </w:pPr>
    </w:p>
    <w:p>
      <w:pPr>
        <w:numPr>
          <w:ilvl w:val="0"/>
          <w:numId w:val="1"/>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2"/>
        <w:spacing w:line="560" w:lineRule="exact"/>
        <w:rPr>
          <w:rFonts w:hint="eastAsia"/>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default"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15</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rPr>
                <w:rFonts w:hint="eastAsia" w:ascii="宋体" w:hAnsi="宋体" w:cs="宋体"/>
                <w:kern w:val="0"/>
                <w:sz w:val="20"/>
                <w:szCs w:val="20"/>
                <w:lang w:bidi="ar"/>
              </w:rPr>
            </w:pPr>
            <w:r>
              <w:rPr>
                <w:rFonts w:hint="eastAsia" w:ascii="宋体" w:hAnsi="宋体" w:cs="宋体"/>
                <w:kern w:val="0"/>
                <w:sz w:val="20"/>
                <w:szCs w:val="20"/>
                <w:lang w:bidi="ar"/>
              </w:rPr>
              <w:t>（六）</w:t>
            </w:r>
          </w:p>
          <w:p>
            <w:pPr>
              <w:widowControl/>
              <w:spacing w:line="560" w:lineRule="exact"/>
              <w:jc w:val="left"/>
            </w:pPr>
            <w:r>
              <w:rPr>
                <w:rFonts w:hint="eastAsia" w:ascii="宋体" w:hAnsi="宋体" w:cs="宋体"/>
                <w:kern w:val="0"/>
                <w:sz w:val="20"/>
                <w:szCs w:val="20"/>
                <w:lang w:bidi="ar"/>
              </w:rPr>
              <w:t>其他处理</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p>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p>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default"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spacing w:line="560" w:lineRule="exact"/>
              <w:jc w:val="center"/>
              <w:rPr>
                <w:rFonts w:hint="default"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highlight w:val="none"/>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w:t>
            </w:r>
          </w:p>
        </w:tc>
      </w:tr>
    </w:tbl>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560" w:lineRule="exact"/>
              <w:jc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（一）存在的主要问题</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一是主动公开内容仍需拓展。主动公开事项以街镇动态为主，主要围绕街道开展的活动予以通报展示，对群众所关心的其他事项未能先一步予以研判和公开</w:t>
      </w:r>
      <w:r>
        <w:rPr>
          <w:rFonts w:hint="eastAsia" w:ascii="仿宋_GB2312" w:hAnsi="仿宋_GB2312" w:eastAsia="仿宋_GB2312" w:cs="仿宋_GB2312"/>
          <w:color w:val="auto"/>
          <w:sz w:val="32"/>
          <w:szCs w:val="32"/>
          <w:lang w:val="en-US" w:eastAsia="zh-CN"/>
        </w:rPr>
        <w:t>。二是依申请公开的办理效率有待优化。街道虽能确保在法律规定的期限内出具登记回执及答复告知书，但受制于信息调取协同不畅、检索难度大等因素，导致整体处理周期偏长，未能进一步压缩申请人的等待时间，这</w:t>
      </w:r>
      <w:r>
        <w:rPr>
          <w:rFonts w:hint="eastAsia" w:ascii="仿宋_GB2312" w:hAnsi="仿宋_GB2312" w:eastAsia="仿宋_GB2312" w:cs="仿宋_GB2312"/>
          <w:i w:val="0"/>
          <w:iCs w:val="0"/>
          <w:caps w:val="0"/>
          <w:color w:val="auto"/>
          <w:spacing w:val="0"/>
          <w:sz w:val="32"/>
          <w:szCs w:val="32"/>
          <w:shd w:val="clear" w:fill="auto"/>
        </w:rPr>
        <w:t>与公众对高效政务服务的期待存在差距</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改进情况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提高信息公开主动性。依托各政府信息平台开展好政策决策解读，广泛搜集涉及群众“急、难、愁、盼”的重点事项，依法予以公开，同步宣传好公开信息查询方式，引导群众获取所需信息。二是开展政务公开相关工作培训。提高政务公开工作队伍的思想认识及专业水平，强化业务部门协同联动，加强政务信息查找检索能力，增强依申请公开工作质效。</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黑体" w:hAnsi="黑体" w:eastAsia="黑体" w:cs="黑体"/>
          <w:color w:val="000000"/>
          <w:sz w:val="32"/>
          <w:szCs w:val="32"/>
          <w:highlight w:val="none"/>
          <w:lang w:val="en-US"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发出收费通知的件数和总金额以及实际收取的总金额均为0，无其他需报告的事项。</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29407DD1"/>
    <w:multiLevelType w:val="singleLevel"/>
    <w:tmpl w:val="29407DD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4374E5"/>
    <w:rsid w:val="03335E64"/>
    <w:rsid w:val="054F5563"/>
    <w:rsid w:val="072D35EB"/>
    <w:rsid w:val="0A6F2A35"/>
    <w:rsid w:val="124669A1"/>
    <w:rsid w:val="12B96244"/>
    <w:rsid w:val="15FA1B1D"/>
    <w:rsid w:val="166D64EE"/>
    <w:rsid w:val="172F6697"/>
    <w:rsid w:val="192A51D8"/>
    <w:rsid w:val="1AB75C3F"/>
    <w:rsid w:val="1D85059A"/>
    <w:rsid w:val="1FF07174"/>
    <w:rsid w:val="21274C73"/>
    <w:rsid w:val="24F65A10"/>
    <w:rsid w:val="25E65253"/>
    <w:rsid w:val="26552372"/>
    <w:rsid w:val="35782892"/>
    <w:rsid w:val="3E467875"/>
    <w:rsid w:val="3E657C39"/>
    <w:rsid w:val="4264483B"/>
    <w:rsid w:val="4A9D0D79"/>
    <w:rsid w:val="568F3A4F"/>
    <w:rsid w:val="58FB7589"/>
    <w:rsid w:val="61806DF6"/>
    <w:rsid w:val="61FC300A"/>
    <w:rsid w:val="64356540"/>
    <w:rsid w:val="6E734CBA"/>
    <w:rsid w:val="75A761F8"/>
    <w:rsid w:val="7938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2300</Words>
  <Characters>2333</Characters>
  <Lines>0</Lines>
  <Paragraphs>0</Paragraphs>
  <TotalTime>55</TotalTime>
  <ScaleCrop>false</ScaleCrop>
  <LinksUpToDate>false</LinksUpToDate>
  <CharactersWithSpaces>2345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Administrator</cp:lastModifiedBy>
  <cp:lastPrinted>2026-01-04T02:44:00Z</cp:lastPrinted>
  <dcterms:modified xsi:type="dcterms:W3CDTF">2026-01-13T01:29:29Z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0869331F81274BEA8415E61967E4EAF4</vt:lpwstr>
  </property>
</Properties>
</file>