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eastAsia="zh-CN"/>
        </w:rPr>
        <w:t>北京市丰台区人民政府</w:t>
      </w:r>
      <w:r>
        <w:rPr>
          <w:rFonts w:hint="eastAsia" w:ascii="方正小标宋简体" w:hAnsi="方正小标宋简体" w:eastAsia="方正小标宋简体" w:cs="方正小标宋简体"/>
          <w:sz w:val="44"/>
          <w:szCs w:val="44"/>
        </w:rPr>
        <w:t>大红门街道办事处2024年政府信息公开</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hint="eastAsia" w:ascii="黑体" w:hAnsi="黑体" w:eastAsia="黑体" w:cs="宋体"/>
          <w:spacing w:val="8"/>
          <w:kern w:val="0"/>
          <w:sz w:val="32"/>
          <w:szCs w:val="32"/>
        </w:rPr>
      </w:pPr>
      <w:r>
        <w:rPr>
          <w:rFonts w:ascii="黑体" w:hAnsi="黑体" w:eastAsia="黑体" w:cs="宋体"/>
          <w:spacing w:val="8"/>
          <w:kern w:val="0"/>
          <w:sz w:val="32"/>
          <w:szCs w:val="32"/>
        </w:rPr>
        <w:t>一、总体情况</w:t>
      </w:r>
    </w:p>
    <w:p>
      <w:pPr>
        <w:pStyle w:val="6"/>
        <w:widowControl/>
        <w:shd w:val="clear" w:color="auto" w:fill="FFFFFF"/>
        <w:wordWrap w:val="0"/>
        <w:spacing w:before="0" w:beforeAutospacing="0" w:after="0" w:afterAutospacing="0" w:line="450" w:lineRule="atLeast"/>
        <w:ind w:firstLine="645"/>
        <w:rPr>
          <w:rFonts w:hint="eastAsia" w:ascii="仿宋_GB2312" w:hAnsi="宋体" w:eastAsia="仿宋_GB2312" w:cs="宋体"/>
          <w:spacing w:val="8"/>
          <w:sz w:val="32"/>
          <w:szCs w:val="32"/>
        </w:rPr>
      </w:pPr>
      <w:r>
        <w:rPr>
          <w:rFonts w:hint="eastAsia" w:ascii="仿宋_GB2312" w:hAnsi="宋体" w:eastAsia="仿宋_GB2312" w:cs="宋体"/>
          <w:spacing w:val="8"/>
          <w:sz w:val="32"/>
          <w:szCs w:val="32"/>
        </w:rPr>
        <w:t>2024年以来，街道办认真贯彻落实《中华人民共和国政府信息公开条例》，以习近平新时代中国特色社会主义思想为指导，根据省、市、县政务公开相关文件要求和工作部署，结合街道工作实际，秉持“公开透明、公平公正、方便群众”原则，依法、 及时、准确公开相关政府信息，最大限度保障群众的知情权，同时进一步健全组织机构、加强监督检查，积极稳步地开展政府信息公开工作，保障了政府信息公开工作依法、及时、准确、有序地开展。现将政府信息公开情况总结如下：</w:t>
      </w:r>
    </w:p>
    <w:p>
      <w:pPr>
        <w:pStyle w:val="6"/>
        <w:widowControl/>
        <w:shd w:val="clear" w:color="auto" w:fill="FFFFFF"/>
        <w:wordWrap w:val="0"/>
        <w:spacing w:before="0" w:beforeAutospacing="0" w:after="0" w:afterAutospacing="0" w:line="450" w:lineRule="atLeast"/>
        <w:ind w:firstLine="645"/>
        <w:rPr>
          <w:rFonts w:hint="eastAsia" w:ascii="仿宋_GB2312" w:hAnsi="宋体" w:eastAsia="仿宋_GB2312" w:cs="宋体"/>
          <w:spacing w:val="8"/>
          <w:sz w:val="32"/>
          <w:szCs w:val="32"/>
        </w:rPr>
      </w:pPr>
      <w:r>
        <w:rPr>
          <w:rFonts w:hint="eastAsia" w:ascii="仿宋_GB2312" w:hAnsi="宋体" w:eastAsia="仿宋_GB2312" w:cs="宋体"/>
          <w:spacing w:val="8"/>
          <w:sz w:val="32"/>
          <w:szCs w:val="32"/>
        </w:rPr>
        <w:t>（一）主动公开方面。我街道高度重视政府信息公开工作，贯彻落实《条例》以及丰台区2024年政务公开工作要点，将做好政府信息公开工作列入全年重点工作和部门年度工作目标考核内容之一，切实加强组织领导，健全政府信息公开制度，推进政务公开各项工作。2024年，我街道主动公开政府信息299条。重点对工作动态、和政府信息公开工作年度报告等政府信息进行主动公开。</w:t>
      </w:r>
    </w:p>
    <w:p>
      <w:pPr>
        <w:pStyle w:val="6"/>
        <w:widowControl/>
        <w:shd w:val="clear" w:color="auto" w:fill="FFFFFF"/>
        <w:wordWrap w:val="0"/>
        <w:spacing w:before="0" w:beforeAutospacing="0" w:after="0" w:afterAutospacing="0" w:line="450" w:lineRule="atLeast"/>
        <w:ind w:firstLine="645"/>
        <w:rPr>
          <w:rFonts w:hint="eastAsia" w:ascii="仿宋_GB2312" w:hAnsi="宋体" w:eastAsia="仿宋_GB2312" w:cs="宋体"/>
          <w:spacing w:val="8"/>
          <w:sz w:val="32"/>
          <w:szCs w:val="32"/>
        </w:rPr>
      </w:pPr>
      <w:r>
        <w:rPr>
          <w:rFonts w:hint="eastAsia" w:ascii="仿宋_GB2312" w:hAnsi="宋体" w:eastAsia="仿宋_GB2312" w:cs="宋体"/>
          <w:spacing w:val="8"/>
          <w:sz w:val="32"/>
          <w:szCs w:val="32"/>
        </w:rPr>
        <w:t>（二）依申请公开方面。我街道今年进一步完善依申请公开、公开审核、责任追究、考核等工作制度，基本形成协调互动、齐抓共管的工作机制。同时，加强网上依申请公开工作，定期向区政府办报告依申请公开工作情况。2024年，我街道接到依申请公开事项8项。</w:t>
      </w:r>
    </w:p>
    <w:p>
      <w:pPr>
        <w:pStyle w:val="6"/>
        <w:widowControl/>
        <w:shd w:val="clear" w:color="auto" w:fill="FFFFFF"/>
        <w:wordWrap w:val="0"/>
        <w:spacing w:before="0" w:beforeAutospacing="0" w:after="0" w:afterAutospacing="0" w:line="450" w:lineRule="atLeast"/>
        <w:ind w:firstLine="645"/>
        <w:rPr>
          <w:rFonts w:hint="eastAsia" w:ascii="仿宋_GB2312" w:hAnsi="宋体" w:eastAsia="仿宋_GB2312" w:cs="宋体"/>
          <w:spacing w:val="8"/>
          <w:sz w:val="32"/>
          <w:szCs w:val="32"/>
        </w:rPr>
      </w:pPr>
      <w:r>
        <w:rPr>
          <w:rFonts w:hint="eastAsia" w:ascii="仿宋_GB2312" w:hAnsi="宋体" w:eastAsia="仿宋_GB2312" w:cs="宋体"/>
          <w:spacing w:val="8"/>
          <w:sz w:val="32"/>
          <w:szCs w:val="32"/>
        </w:rPr>
        <w:t>（三）政府信息管理方面。贯彻落实信息公开相关政策，严格落实信息发布“三审”制度，加大信息公开力度，及时公开年度预算决算、政务服务办理情况等信息，按照“谁公开、谁负责”和“先审查、后公开”的原则，规范公开内容，落实信息公开审查制度，对敏感类信息能够做到“三审三校”，严格把关。全年我街道未制发和公开行政规范性文件。</w:t>
      </w:r>
    </w:p>
    <w:p>
      <w:pPr>
        <w:pStyle w:val="6"/>
        <w:widowControl/>
        <w:shd w:val="clear" w:color="auto" w:fill="FFFFFF"/>
        <w:wordWrap w:val="0"/>
        <w:spacing w:before="0" w:beforeAutospacing="0" w:after="0" w:afterAutospacing="0" w:line="450" w:lineRule="atLeast"/>
        <w:ind w:firstLine="645"/>
        <w:rPr>
          <w:rFonts w:hint="eastAsia" w:ascii="仿宋_GB2312" w:hAnsi="宋体" w:eastAsia="仿宋_GB2312" w:cs="宋体"/>
          <w:spacing w:val="8"/>
          <w:sz w:val="32"/>
          <w:szCs w:val="32"/>
        </w:rPr>
      </w:pPr>
      <w:r>
        <w:rPr>
          <w:rFonts w:hint="eastAsia" w:ascii="仿宋_GB2312" w:hAnsi="宋体" w:eastAsia="仿宋_GB2312" w:cs="宋体"/>
          <w:spacing w:val="8"/>
          <w:sz w:val="32"/>
          <w:szCs w:val="32"/>
        </w:rPr>
        <w:t>（四）平台建设方面。我街道充分发挥政务公开平台作用，根据公开需求增设相关专题专栏，坚持数据同源，不断丰富公开内容。目前，我街道为更好地开展政府信息公开工作，方便公民、法人和其他组织获得政府信息，2024年已更新街道办事处政府信息公开指南和政府信息公开目录的编制。</w:t>
      </w:r>
    </w:p>
    <w:p>
      <w:pPr>
        <w:pStyle w:val="6"/>
        <w:widowControl/>
        <w:shd w:val="clear" w:color="auto" w:fill="FFFFFF"/>
        <w:wordWrap w:val="0"/>
        <w:spacing w:before="0" w:beforeAutospacing="0" w:after="0" w:afterAutospacing="0" w:line="450" w:lineRule="atLeast"/>
        <w:ind w:firstLine="645"/>
        <w:rPr>
          <w:rFonts w:hint="eastAsia" w:ascii="仿宋_GB2312" w:hAnsi="宋体" w:eastAsia="仿宋_GB2312" w:cs="宋体"/>
          <w:spacing w:val="8"/>
          <w:sz w:val="32"/>
          <w:szCs w:val="32"/>
        </w:rPr>
      </w:pPr>
      <w:r>
        <w:rPr>
          <w:rFonts w:hint="eastAsia" w:ascii="仿宋_GB2312" w:hAnsi="宋体" w:eastAsia="仿宋_GB2312" w:cs="宋体"/>
          <w:spacing w:val="8"/>
          <w:sz w:val="32"/>
          <w:szCs w:val="32"/>
        </w:rPr>
        <w:t>（五）监督保障方面。2024年，我街道坚持以公开为常态，不公开为例外原则。一是将政府信息公开工作落实情况纳入绩效考评体系，明确考核指标和考核分值。二是加大监督检查力度，定期对政务公开工作情况进行检查，发出问题整改清单，严格落实政府信息公开法定要求。三是主动接受上级政府和社会各级的监督，对发现的问题及时整改落实，确保让群众及时了解政策、法律法规和身边的动态，切实提高了政府工作的透明度，提升了政府公信力、执行力，保障了人民群众的知情权、参与权、表达权和监督权。</w:t>
      </w:r>
    </w:p>
    <w:p>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pPr>
    </w:p>
    <w:p>
      <w:pPr>
        <w:pStyle w:val="2"/>
      </w:pPr>
    </w:p>
    <w:tbl>
      <w:tblPr>
        <w:tblStyle w:val="8"/>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ascii="Calibri" w:hAnsi="Calibri" w:cs="Calibri"/>
                <w:kern w:val="0"/>
                <w:szCs w:val="21"/>
                <w:lang w:bidi="ar"/>
              </w:rPr>
              <w:t> </w:t>
            </w:r>
            <w:r>
              <w:rPr>
                <w:rFonts w:hint="eastAsia" w:ascii="Calibri" w:hAnsi="Calibri" w:cs="Calibri"/>
                <w:kern w:val="0"/>
                <w:szCs w:val="21"/>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ascii="Calibri" w:hAnsi="Calibri" w:cs="Calibri"/>
                <w:kern w:val="0"/>
                <w:szCs w:val="21"/>
                <w:lang w:bidi="ar"/>
              </w:rPr>
              <w:t> </w:t>
            </w:r>
            <w:r>
              <w:rPr>
                <w:rFonts w:hint="eastAsia" w:ascii="Calibri" w:hAnsi="Calibri"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pPr>
            <w:r>
              <w:rPr>
                <w:rFonts w:ascii="Calibri" w:hAnsi="Calibri" w:cs="Calibri"/>
                <w:kern w:val="0"/>
                <w:szCs w:val="21"/>
                <w:lang w:bidi="ar"/>
              </w:rPr>
              <w:t> </w:t>
            </w:r>
            <w:r>
              <w:rPr>
                <w:rFonts w:hint="eastAsia" w:ascii="Calibri" w:hAnsi="Calibri"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161</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ascii="宋体"/>
                <w:sz w:val="24"/>
                <w:szCs w:val="24"/>
              </w:rPr>
            </w:pPr>
            <w:r>
              <w:rPr>
                <w:rFonts w:hint="eastAsia" w:ascii="宋体"/>
                <w:sz w:val="24"/>
                <w:szCs w:val="24"/>
              </w:rPr>
              <w:t>0</w:t>
            </w:r>
          </w:p>
        </w:tc>
      </w:tr>
    </w:tbl>
    <w:p>
      <w:pPr>
        <w:pStyle w:val="2"/>
      </w:pPr>
    </w:p>
    <w:p>
      <w:pPr>
        <w:pStyle w:val="2"/>
      </w:pPr>
    </w:p>
    <w:p>
      <w:pPr>
        <w:pStyle w:val="2"/>
      </w:pPr>
    </w:p>
    <w:p>
      <w:pPr>
        <w:pStyle w:val="2"/>
      </w:pPr>
    </w:p>
    <w:p>
      <w:pPr>
        <w:pStyle w:val="2"/>
      </w:pPr>
    </w:p>
    <w:p>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6"/>
        <w:widowControl/>
        <w:shd w:val="clear" w:color="auto" w:fill="FFFFFF"/>
        <w:spacing w:before="0" w:beforeAutospacing="0" w:after="0" w:afterAutospacing="0"/>
        <w:ind w:firstLine="420"/>
        <w:jc w:val="both"/>
        <w:rPr>
          <w:rFonts w:hint="eastAsia" w:ascii="宋体" w:hAnsi="宋体" w:cs="宋体"/>
          <w:color w:val="333333"/>
          <w:szCs w:val="24"/>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8</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3</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5</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outset"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8</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outset" w:color="auto" w:sz="6" w:space="0"/>
              <w:left w:val="nil"/>
              <w:bottom w:val="outset" w:color="auto" w:sz="6" w:space="0"/>
              <w:right w:val="outset" w:color="auto" w:sz="6" w:space="0"/>
            </w:tcBorders>
            <w:vAlign w:val="center"/>
          </w:tcPr>
          <w:p>
            <w:pPr>
              <w:rPr>
                <w:rFonts w:ascii="宋体"/>
                <w:sz w:val="24"/>
                <w:szCs w:val="24"/>
              </w:rPr>
            </w:pPr>
            <w:r>
              <w:rPr>
                <w:rFonts w:hint="eastAsia" w:ascii="宋体"/>
                <w:sz w:val="24"/>
                <w:szCs w:val="24"/>
              </w:rPr>
              <w:t xml:space="preserve">   0</w:t>
            </w:r>
          </w:p>
        </w:tc>
        <w:tc>
          <w:tcPr>
            <w:tcW w:w="0" w:type="auto"/>
            <w:tcBorders>
              <w:top w:val="outset" w:color="auto" w:sz="6" w:space="0"/>
              <w:left w:val="nil"/>
              <w:bottom w:val="outset" w:color="auto" w:sz="6" w:space="0"/>
              <w:right w:val="outset" w:color="auto" w:sz="6" w:space="0"/>
            </w:tcBorders>
            <w:vAlign w:val="center"/>
          </w:tcPr>
          <w:p>
            <w:pPr>
              <w:rPr>
                <w:rFonts w:ascii="宋体"/>
                <w:sz w:val="24"/>
                <w:szCs w:val="24"/>
              </w:rPr>
            </w:pPr>
            <w:r>
              <w:rPr>
                <w:rFonts w:hint="eastAsia" w:ascii="宋体"/>
                <w:sz w:val="24"/>
                <w:szCs w:val="24"/>
              </w:rPr>
              <w:t xml:space="preserve">   0</w:t>
            </w:r>
          </w:p>
        </w:tc>
        <w:tc>
          <w:tcPr>
            <w:tcW w:w="0" w:type="auto"/>
            <w:tcBorders>
              <w:top w:val="outset" w:color="auto" w:sz="6" w:space="0"/>
              <w:left w:val="nil"/>
              <w:bottom w:val="outset" w:color="auto" w:sz="6" w:space="0"/>
              <w:right w:val="outset" w:color="auto" w:sz="6" w:space="0"/>
            </w:tcBorders>
            <w:vAlign w:val="center"/>
          </w:tcPr>
          <w:p>
            <w:pPr>
              <w:rPr>
                <w:rFonts w:ascii="宋体"/>
                <w:sz w:val="24"/>
                <w:szCs w:val="24"/>
              </w:rPr>
            </w:pPr>
            <w:r>
              <w:rPr>
                <w:rFonts w:hint="eastAsia" w:ascii="宋体"/>
                <w:sz w:val="24"/>
                <w:szCs w:val="24"/>
              </w:rPr>
              <w:t xml:space="preserve">   0</w:t>
            </w:r>
          </w:p>
        </w:tc>
        <w:tc>
          <w:tcPr>
            <w:tcW w:w="0" w:type="auto"/>
            <w:tcBorders>
              <w:top w:val="outset" w:color="auto" w:sz="6" w:space="0"/>
              <w:left w:val="nil"/>
              <w:bottom w:val="outset" w:color="auto" w:sz="6" w:space="0"/>
              <w:right w:val="outset" w:color="auto" w:sz="6" w:space="0"/>
            </w:tcBorders>
            <w:vAlign w:val="center"/>
          </w:tcPr>
          <w:p>
            <w:pPr>
              <w:rPr>
                <w:rFonts w:ascii="宋体"/>
                <w:sz w:val="24"/>
                <w:szCs w:val="24"/>
              </w:rPr>
            </w:pPr>
            <w:r>
              <w:rPr>
                <w:rFonts w:hint="eastAsia" w:ascii="宋体"/>
                <w:sz w:val="24"/>
                <w:szCs w:val="24"/>
              </w:rPr>
              <w:t xml:space="preserve">   0</w:t>
            </w:r>
          </w:p>
        </w:tc>
        <w:tc>
          <w:tcPr>
            <w:tcW w:w="688" w:type="dxa"/>
            <w:tcBorders>
              <w:top w:val="outset" w:color="auto" w:sz="6" w:space="0"/>
              <w:left w:val="nil"/>
              <w:bottom w:val="outset" w:color="auto" w:sz="6" w:space="0"/>
              <w:right w:val="outset" w:color="auto" w:sz="6" w:space="0"/>
            </w:tcBorders>
            <w:vAlign w:val="center"/>
          </w:tcPr>
          <w:p>
            <w:pPr>
              <w:rPr>
                <w:rFonts w:ascii="宋体"/>
                <w:sz w:val="24"/>
                <w:szCs w:val="24"/>
              </w:rPr>
            </w:pPr>
            <w:r>
              <w:rPr>
                <w:rFonts w:hint="eastAsia" w:ascii="宋体"/>
                <w:sz w:val="24"/>
                <w:szCs w:val="24"/>
              </w:rPr>
              <w:t xml:space="preserve">   0</w:t>
            </w:r>
          </w:p>
        </w:tc>
        <w:tc>
          <w:tcPr>
            <w:tcW w:w="688" w:type="dxa"/>
            <w:tcBorders>
              <w:top w:val="outset" w:color="auto" w:sz="6" w:space="0"/>
              <w:left w:val="nil"/>
              <w:bottom w:val="outset" w:color="auto" w:sz="6" w:space="0"/>
              <w:right w:val="outset" w:color="auto" w:sz="6" w:space="0"/>
            </w:tcBorders>
            <w:vAlign w:val="center"/>
          </w:tcPr>
          <w:p>
            <w:pPr>
              <w:rPr>
                <w:rFonts w:ascii="宋体"/>
                <w:sz w:val="24"/>
                <w:szCs w:val="24"/>
              </w:rPr>
            </w:pPr>
            <w:r>
              <w:rPr>
                <w:rFonts w:hint="eastAsia" w:ascii="宋体"/>
                <w:sz w:val="24"/>
                <w:szCs w:val="24"/>
              </w:rPr>
              <w:t xml:space="preserve">   0</w:t>
            </w:r>
          </w:p>
        </w:tc>
        <w:tc>
          <w:tcPr>
            <w:tcW w:w="0" w:type="auto"/>
            <w:tcBorders>
              <w:top w:val="outset" w:color="auto" w:sz="6" w:space="0"/>
              <w:left w:val="nil"/>
              <w:bottom w:val="outset" w:color="auto" w:sz="6" w:space="0"/>
              <w:right w:val="outset" w:color="auto" w:sz="6" w:space="0"/>
            </w:tcBorders>
            <w:vAlign w:val="center"/>
          </w:tcPr>
          <w:p>
            <w:pPr>
              <w:rPr>
                <w:rFonts w:ascii="宋体"/>
                <w:sz w:val="24"/>
                <w:szCs w:val="24"/>
              </w:rPr>
            </w:pPr>
            <w:r>
              <w:rPr>
                <w:rFonts w:hint="eastAsia" w:ascii="宋体"/>
                <w:sz w:val="24"/>
                <w:szCs w:val="24"/>
              </w:rPr>
              <w:t xml:space="preserve">   0</w:t>
            </w:r>
          </w:p>
        </w:tc>
      </w:tr>
    </w:tbl>
    <w:p>
      <w:pPr>
        <w:pStyle w:val="2"/>
        <w:ind w:left="420" w:leftChars="200"/>
      </w:pPr>
    </w:p>
    <w:p>
      <w:pPr>
        <w:pStyle w:val="2"/>
        <w:ind w:left="420" w:leftChars="200"/>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1</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1</w:t>
            </w:r>
            <w:r>
              <w:rPr>
                <w:rFonts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r>
              <w:rPr>
                <w:rFonts w:hint="eastAsia" w:ascii="宋体"/>
                <w:sz w:val="24"/>
                <w:szCs w:val="24"/>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2024年，我街道仍存在政府信息公开的内容不够全面，以及政府信息公开工作力度不够等问题。</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2025年，我街道将切实抓好以下几方面工作：一是丰富政府信息公开内容。不断提高我街道政府信息公开工作的水平和质量；二是加大信息公开工作力度。把握信息时效性，及时发布和更新依法应主动公开的政府信息，认真做好答复依申请公开政府信息工作，确保政府信息及时公开。</w:t>
      </w:r>
    </w:p>
    <w:p>
      <w:pPr>
        <w:widowControl/>
        <w:spacing w:line="560" w:lineRule="exact"/>
        <w:ind w:firstLine="675"/>
        <w:jc w:val="left"/>
        <w:rPr>
          <w:rFonts w:hint="eastAsia" w:ascii="宋体" w:hAnsi="宋体" w:cs="宋体"/>
          <w:spacing w:val="8"/>
          <w:kern w:val="0"/>
          <w:sz w:val="32"/>
          <w:szCs w:val="32"/>
        </w:rPr>
      </w:pPr>
      <w:r>
        <w:rPr>
          <w:rFonts w:ascii="黑体" w:hAnsi="黑体" w:eastAsia="黑体" w:cs="宋体"/>
          <w:spacing w:val="8"/>
          <w:kern w:val="0"/>
          <w:sz w:val="32"/>
          <w:szCs w:val="32"/>
        </w:rPr>
        <w:t>六、其他需要报告的事项</w:t>
      </w:r>
    </w:p>
    <w:p>
      <w:pPr>
        <w:pStyle w:val="2"/>
        <w:spacing w:line="560" w:lineRule="exact"/>
      </w:pPr>
      <w:r>
        <w:rPr>
          <w:rFonts w:hint="eastAsia"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 xml:space="preserve">   发出收费通知的件数和总金额以及实际收取的总金额均为0。 </w:t>
      </w:r>
    </w:p>
    <w:p>
      <w:pPr>
        <w:pStyle w:val="2"/>
        <w:spacing w:line="560" w:lineRule="exact"/>
      </w:pPr>
    </w:p>
    <w:p>
      <w:pPr>
        <w:pStyle w:val="2"/>
        <w:spacing w:line="560" w:lineRule="exact"/>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pStyle w:val="2"/>
        <w:rPr>
          <w:rFonts w:hint="eastAsia" w:ascii="黑体" w:hAnsi="黑体" w:eastAsia="黑体" w:cs="黑体"/>
          <w:color w:val="000000"/>
          <w:sz w:val="32"/>
          <w:szCs w:val="32"/>
        </w:rPr>
      </w:pPr>
    </w:p>
    <w:p>
      <w:pPr>
        <w:pStyle w:val="2"/>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01E71C3"/>
    <w:rsid w:val="00583621"/>
    <w:rsid w:val="005E2B96"/>
    <w:rsid w:val="00942828"/>
    <w:rsid w:val="29776964"/>
    <w:rsid w:val="36052192"/>
    <w:rsid w:val="3D6231CA"/>
    <w:rsid w:val="556B512A"/>
    <w:rsid w:val="61FC300A"/>
    <w:rsid w:val="7F847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link w:val="13"/>
    <w:qFormat/>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paragraph" w:styleId="7">
    <w:name w:val="annotation subject"/>
    <w:basedOn w:val="3"/>
    <w:next w:val="3"/>
    <w:link w:val="14"/>
    <w:qFormat/>
    <w:uiPriority w:val="0"/>
    <w:rPr>
      <w:b/>
      <w:bCs/>
    </w:rPr>
  </w:style>
  <w:style w:type="character" w:styleId="10">
    <w:name w:val="annotation reference"/>
    <w:basedOn w:val="9"/>
    <w:qFormat/>
    <w:uiPriority w:val="0"/>
    <w:rPr>
      <w:sz w:val="21"/>
      <w:szCs w:val="21"/>
    </w:rPr>
  </w:style>
  <w:style w:type="character" w:customStyle="1" w:styleId="11">
    <w:name w:val="页眉 字符"/>
    <w:basedOn w:val="9"/>
    <w:link w:val="5"/>
    <w:qFormat/>
    <w:uiPriority w:val="0"/>
    <w:rPr>
      <w:kern w:val="2"/>
      <w:sz w:val="18"/>
      <w:szCs w:val="18"/>
    </w:rPr>
  </w:style>
  <w:style w:type="character" w:customStyle="1" w:styleId="12">
    <w:name w:val="页脚 字符"/>
    <w:basedOn w:val="9"/>
    <w:link w:val="4"/>
    <w:qFormat/>
    <w:uiPriority w:val="0"/>
    <w:rPr>
      <w:kern w:val="2"/>
      <w:sz w:val="18"/>
      <w:szCs w:val="18"/>
    </w:rPr>
  </w:style>
  <w:style w:type="character" w:customStyle="1" w:styleId="13">
    <w:name w:val="批注文字 字符"/>
    <w:basedOn w:val="9"/>
    <w:link w:val="3"/>
    <w:qFormat/>
    <w:uiPriority w:val="0"/>
    <w:rPr>
      <w:kern w:val="2"/>
      <w:sz w:val="21"/>
      <w:szCs w:val="22"/>
    </w:rPr>
  </w:style>
  <w:style w:type="character" w:customStyle="1" w:styleId="14">
    <w:name w:val="批注主题 字符"/>
    <w:basedOn w:val="13"/>
    <w:link w:val="7"/>
    <w:qFormat/>
    <w:uiPriority w:val="0"/>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426</Words>
  <Characters>2434</Characters>
  <Lines>20</Lines>
  <Paragraphs>5</Paragraphs>
  <TotalTime>6</TotalTime>
  <ScaleCrop>false</ScaleCrop>
  <LinksUpToDate>false</LinksUpToDate>
  <CharactersWithSpaces>2855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 雨</cp:lastModifiedBy>
  <dcterms:modified xsi:type="dcterms:W3CDTF">2025-05-23T06:42:25Z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D030F67529D2446186C5E405B6BA80C8</vt:lpwstr>
  </property>
</Properties>
</file>