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北京丽泽金融商务区管理委员会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2025年政府信息公开工作年度报告</w:t>
      </w:r>
    </w:p>
    <w:p>
      <w:pPr>
        <w:spacing w:line="54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widowControl/>
        <w:spacing w:line="54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40" w:lineRule="exact"/>
        <w:ind w:firstLine="672" w:firstLineChars="200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40" w:lineRule="exact"/>
        <w:ind w:firstLine="675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2025年，北京丽泽金融商务区管理委员会深入贯彻《政府信息公开条例》及相关规章制度，以提升政府工作透明度、强化民主监督为核心导向，紧密结合丽泽金融商务区建设发展实际，持续规范公开内容、聚焦公开重点、提升公开质效，推动政府信息公开工作取得显著成效。</w:t>
      </w:r>
      <w:r>
        <w:rPr>
          <w:rFonts w:eastAsia="仿宋_GB2312"/>
          <w:spacing w:val="8"/>
          <w:kern w:val="0"/>
          <w:sz w:val="32"/>
          <w:szCs w:val="32"/>
        </w:rPr>
        <w:t>​</w:t>
      </w:r>
    </w:p>
    <w:p>
      <w:pPr>
        <w:widowControl/>
        <w:spacing w:line="540" w:lineRule="exact"/>
        <w:ind w:firstLine="675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在</w:t>
      </w:r>
      <w:r>
        <w:rPr>
          <w:rFonts w:ascii="仿宋_GB2312" w:hAnsi="宋体" w:eastAsia="仿宋_GB2312" w:cs="宋体"/>
          <w:b/>
          <w:bCs/>
          <w:spacing w:val="8"/>
          <w:kern w:val="0"/>
          <w:sz w:val="32"/>
          <w:szCs w:val="32"/>
        </w:rPr>
        <w:t>主动公开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方面，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丽泽金融商务区管委会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严格恪守“应公开尽公开”原则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全面加大主动公开力度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2025年度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通过区政府网站、政务新媒体等官方权威渠道，集中公开区域建设进展、入驻企业动态、机构职能、规划计划、“三公”经费使用情况、财政经费支出决算等关键信息，累计发布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441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条，切实保障公众及时获取商务区发展核心资讯，充分维护群众的知情权与监督权。</w:t>
      </w:r>
      <w:r>
        <w:rPr>
          <w:rFonts w:eastAsia="仿宋_GB2312"/>
          <w:spacing w:val="8"/>
          <w:kern w:val="0"/>
          <w:sz w:val="32"/>
          <w:szCs w:val="32"/>
        </w:rPr>
        <w:t>​</w:t>
      </w:r>
    </w:p>
    <w:p>
      <w:pPr>
        <w:widowControl/>
        <w:spacing w:line="540" w:lineRule="exact"/>
        <w:ind w:firstLine="675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在</w:t>
      </w:r>
      <w:r>
        <w:rPr>
          <w:rFonts w:ascii="仿宋_GB2312" w:hAnsi="宋体" w:eastAsia="仿宋_GB2312" w:cs="宋体"/>
          <w:b/>
          <w:bCs/>
          <w:spacing w:val="8"/>
          <w:kern w:val="0"/>
          <w:sz w:val="32"/>
          <w:szCs w:val="32"/>
        </w:rPr>
        <w:t>依申请公开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方面，管委会进一步规范办理流程，严格依据《政府信息公开条例》要求，做到受理及时、答复全面、办结规范。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年共接收信息公开信函申请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7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件，累计出具规范答复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7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份，全程无超时答复、延期答复等情形；全年未发生因政府信息公开申请引发的行政复议、行政诉讼案件，依法保障了申请人合法权益，彰显了政务服务的严谨性与公信力。</w:t>
      </w:r>
      <w:r>
        <w:rPr>
          <w:rFonts w:eastAsia="仿宋_GB2312"/>
          <w:spacing w:val="8"/>
          <w:kern w:val="0"/>
          <w:sz w:val="32"/>
          <w:szCs w:val="32"/>
        </w:rPr>
        <w:t>​</w:t>
      </w:r>
    </w:p>
    <w:p>
      <w:pPr>
        <w:widowControl/>
        <w:spacing w:line="540" w:lineRule="exact"/>
        <w:ind w:firstLine="675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在</w:t>
      </w:r>
      <w:r>
        <w:rPr>
          <w:rFonts w:ascii="仿宋_GB2312" w:hAnsi="宋体" w:eastAsia="仿宋_GB2312" w:cs="宋体"/>
          <w:b/>
          <w:bCs/>
          <w:spacing w:val="8"/>
          <w:kern w:val="0"/>
          <w:sz w:val="32"/>
          <w:szCs w:val="32"/>
        </w:rPr>
        <w:t>政府信息管理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方面，管委会严格执行政府信息公开各项制度，牢固树立 “谁制发、谁提出，谁审查、谁办理，谁公开、谁负责”工作原则，对拟公开信息实施全流程审核把关，从源头确保公开内容的合法性、准确性与严肃性，为政府信息公开工作有序开展筑牢制度保障。</w:t>
      </w:r>
      <w:r>
        <w:rPr>
          <w:rFonts w:eastAsia="仿宋_GB2312"/>
          <w:spacing w:val="8"/>
          <w:kern w:val="0"/>
          <w:sz w:val="32"/>
          <w:szCs w:val="32"/>
        </w:rPr>
        <w:t>​</w:t>
      </w:r>
    </w:p>
    <w:p>
      <w:pPr>
        <w:numPr>
          <w:ilvl w:val="0"/>
          <w:numId w:val="1"/>
        </w:numPr>
        <w:spacing w:line="54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szCs w:val="20"/>
                <w:lang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spacing w:line="54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智慧服务与公开渠道融合不深，线上公开渠道与线下服务窗口政务公开功能未充分整合；二是业务队伍专业能力有待加强，信息公开工作人员多为兼职，对《政府信息公开条例》及金融领域专业知识掌握不够系统，在复杂信息审查、依申请公开答复规范等方面存在短板。针对以上问题，我委将依托 “丽泽办岛” 服务平台，打通区政府网站、政务新媒体、线下服务窗口的信息共享通道；持续完善工作机制，重点强化信息保密审查、依申请公开答复规范等实操能力培训，不断提升政务公开工作专业化、规范化水平。</w:t>
      </w:r>
      <w:r>
        <w:rPr>
          <w:rFonts w:ascii="Cambria Math" w:hAnsi="Cambria Math" w:eastAsia="仿宋_GB2312" w:cs="Cambria Math"/>
          <w:sz w:val="32"/>
          <w:szCs w:val="32"/>
        </w:rPr>
        <w:t>​</w:t>
      </w:r>
    </w:p>
    <w:p>
      <w:pPr>
        <w:widowControl/>
        <w:spacing w:line="54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发出收费通知的件数和总金额以及实际收取的总金额均为0。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1A6EB4"/>
    <w:rsid w:val="001F2A22"/>
    <w:rsid w:val="002D2DF2"/>
    <w:rsid w:val="002F24F7"/>
    <w:rsid w:val="008854F7"/>
    <w:rsid w:val="008B2608"/>
    <w:rsid w:val="00C7390E"/>
    <w:rsid w:val="03335E64"/>
    <w:rsid w:val="06DE0FE5"/>
    <w:rsid w:val="154C0477"/>
    <w:rsid w:val="1D85059A"/>
    <w:rsid w:val="61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1167</Words>
  <Characters>1192</Characters>
  <Lines>298</Lines>
  <Paragraphs>393</Paragraphs>
  <TotalTime>98</TotalTime>
  <ScaleCrop>false</ScaleCrop>
  <LinksUpToDate>false</LinksUpToDate>
  <CharactersWithSpaces>1966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XYSD</cp:lastModifiedBy>
  <cp:lastPrinted>2026-01-04T02:44:00Z</cp:lastPrinted>
  <dcterms:modified xsi:type="dcterms:W3CDTF">2026-01-19T00:03:02Z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6875E895816C4DC79A3DCE4CEC33A7CE</vt:lpwstr>
  </property>
</Properties>
</file>