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hAnsi="方正小标宋简体" w:eastAsia="方正小标宋简体" w:cs="方正小标宋简体"/>
          <w:sz w:val="44"/>
          <w:szCs w:val="44"/>
        </w:rPr>
      </w:pPr>
      <w:bookmarkStart w:id="0" w:name="_GoBack"/>
      <w:bookmarkEnd w:id="0"/>
    </w:p>
    <w:p>
      <w:pPr>
        <w:spacing w:line="540" w:lineRule="exact"/>
        <w:jc w:val="center"/>
        <w:rPr>
          <w:rFonts w:hint="eastAsia" w:ascii="方正小标宋简体" w:eastAsia="方正小标宋简体"/>
          <w:sz w:val="44"/>
          <w:szCs w:val="44"/>
        </w:rPr>
      </w:pPr>
      <w:r>
        <w:rPr>
          <w:rFonts w:hint="eastAsia" w:ascii="方正小标宋简体" w:eastAsia="方正小标宋简体"/>
          <w:sz w:val="44"/>
          <w:szCs w:val="44"/>
        </w:rPr>
        <w:t>中关村科技园区丰台园管理委员会</w:t>
      </w:r>
    </w:p>
    <w:p>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bidi="ar"/>
        </w:rPr>
        <w:t>2023年政府信息公开</w:t>
      </w:r>
    </w:p>
    <w:p>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bidi="ar"/>
        </w:rPr>
        <w:t>工作年度报告</w:t>
      </w:r>
    </w:p>
    <w:p>
      <w:pPr>
        <w:spacing w:line="560" w:lineRule="exact"/>
        <w:jc w:val="center"/>
        <w:rPr>
          <w:sz w:val="44"/>
          <w:szCs w:val="44"/>
        </w:rPr>
      </w:pPr>
      <w:r>
        <w:rPr>
          <w:rFonts w:hint="eastAsia" w:ascii="微软雅黑" w:hAnsi="微软雅黑" w:eastAsia="微软雅黑" w:cs="宋体"/>
          <w:color w:val="404040"/>
          <w:kern w:val="0"/>
          <w:sz w:val="24"/>
          <w:lang w:bidi="ar"/>
        </w:rPr>
        <w:t>　</w:t>
      </w:r>
      <w:r>
        <w:rPr>
          <w:rFonts w:hint="eastAsia" w:ascii="微软雅黑" w:hAnsi="微软雅黑" w:eastAsia="微软雅黑" w:cs="宋体"/>
          <w:color w:val="404040"/>
          <w:kern w:val="0"/>
          <w:sz w:val="32"/>
          <w:szCs w:val="32"/>
          <w:lang w:bidi="ar"/>
        </w:rPr>
        <w:t xml:space="preserve">  </w:t>
      </w:r>
    </w:p>
    <w:p>
      <w:pPr>
        <w:widowControl/>
        <w:spacing w:line="560" w:lineRule="exact"/>
        <w:jc w:val="left"/>
        <w:rPr>
          <w:rFonts w:hint="eastAsia" w:ascii="仿宋_GB2312" w:hAnsi="宋体" w:eastAsia="仿宋_GB2312" w:cs="宋体"/>
          <w:spacing w:val="8"/>
          <w:kern w:val="0"/>
          <w:sz w:val="32"/>
          <w:szCs w:val="32"/>
        </w:rPr>
      </w:pPr>
      <w:r>
        <w:rPr>
          <w:rFonts w:hint="eastAsia" w:ascii="微软雅黑" w:hAnsi="微软雅黑" w:eastAsia="微软雅黑" w:cs="宋体"/>
          <w:color w:val="404040"/>
          <w:kern w:val="0"/>
          <w:sz w:val="24"/>
          <w:lang w:bidi="ar"/>
        </w:rPr>
        <w:t>　　</w:t>
      </w:r>
      <w:r>
        <w:rPr>
          <w:rFonts w:hint="eastAsia" w:ascii="微软雅黑" w:hAnsi="微软雅黑" w:eastAsia="微软雅黑" w:cs="宋体"/>
          <w:color w:val="404040"/>
          <w:kern w:val="0"/>
          <w:sz w:val="32"/>
          <w:szCs w:val="32"/>
          <w:lang w:bidi="ar"/>
        </w:rPr>
        <w:t xml:space="preserve">   </w:t>
      </w:r>
      <w:r>
        <w:rPr>
          <w:rFonts w:hint="eastAsia" w:ascii="仿宋_GB2312" w:hAnsi="宋体" w:eastAsia="仿宋_GB2312" w:cs="宋体"/>
          <w:spacing w:val="8"/>
          <w:kern w:val="0"/>
          <w:sz w:val="32"/>
          <w:szCs w:val="32"/>
          <w:lang w:bidi="ar"/>
        </w:rPr>
        <w:t>依据《中华人民共和国政府信息公开条例》(以下简称《政府信息公开条例》)第五十条规定，编制本报告。</w:t>
      </w:r>
    </w:p>
    <w:p>
      <w:pPr>
        <w:widowControl/>
        <w:spacing w:line="560" w:lineRule="exact"/>
        <w:ind w:firstLine="672" w:firstLineChars="200"/>
        <w:jc w:val="left"/>
        <w:rPr>
          <w:rFonts w:hint="eastAsia" w:ascii="黑体" w:hAnsi="宋体" w:eastAsia="黑体" w:cs="宋体"/>
          <w:spacing w:val="8"/>
          <w:kern w:val="0"/>
          <w:sz w:val="32"/>
          <w:szCs w:val="32"/>
        </w:rPr>
      </w:pPr>
      <w:r>
        <w:rPr>
          <w:rFonts w:hint="eastAsia" w:ascii="黑体" w:hAnsi="宋体" w:eastAsia="黑体" w:cs="宋体"/>
          <w:spacing w:val="8"/>
          <w:kern w:val="0"/>
          <w:sz w:val="32"/>
          <w:szCs w:val="32"/>
          <w:lang w:bidi="ar"/>
        </w:rPr>
        <w:t>一、总体情况</w:t>
      </w:r>
    </w:p>
    <w:p>
      <w:pPr>
        <w:widowControl/>
        <w:spacing w:line="560" w:lineRule="exact"/>
        <w:ind w:firstLine="672" w:firstLineChars="200"/>
        <w:jc w:val="left"/>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依据《中华人民共和国政府信息公开条例》(以下简称《政府信息公开条例》)第五十条规定，编制本报告。</w:t>
      </w:r>
    </w:p>
    <w:p>
      <w:pPr>
        <w:ind w:firstLine="640" w:firstLineChars="200"/>
        <w:rPr>
          <w:rFonts w:hint="eastAsia" w:ascii="仿宋_GB2312" w:eastAsia="仿宋_GB2312"/>
          <w:sz w:val="32"/>
          <w:szCs w:val="32"/>
        </w:rPr>
      </w:pPr>
      <w:r>
        <w:rPr>
          <w:rFonts w:hint="eastAsia" w:ascii="仿宋_GB2312" w:eastAsia="仿宋_GB2312"/>
          <w:sz w:val="32"/>
          <w:szCs w:val="32"/>
          <w:lang w:eastAsia="zh-CN"/>
        </w:rPr>
        <w:t>（一）</w:t>
      </w:r>
      <w:r>
        <w:rPr>
          <w:rFonts w:hint="eastAsia" w:ascii="仿宋_GB2312" w:eastAsia="仿宋_GB2312"/>
          <w:sz w:val="32"/>
          <w:szCs w:val="32"/>
        </w:rPr>
        <w:t>组织领导</w:t>
      </w:r>
    </w:p>
    <w:p>
      <w:pPr>
        <w:ind w:firstLine="640" w:firstLineChars="200"/>
        <w:rPr>
          <w:rFonts w:hint="eastAsia" w:ascii="仿宋_GB2312" w:eastAsia="仿宋_GB2312"/>
          <w:sz w:val="32"/>
          <w:szCs w:val="32"/>
        </w:rPr>
      </w:pPr>
      <w:r>
        <w:rPr>
          <w:rFonts w:hint="eastAsia" w:ascii="仿宋_GB2312" w:eastAsia="仿宋_GB2312"/>
          <w:sz w:val="32"/>
          <w:szCs w:val="32"/>
        </w:rPr>
        <w:t xml:space="preserve">园区工委管委高度重视政务信息公开工作，领导班子成员变动后，明确职责分工，及时调整更新组织机构，在抓好一般事务性信息公开工作基础上，规定凡是涉及本单位核心工作统筹、企业招商引资、财政预决算、产业调整等重点领域的内容都必须按照规定实施信息公开。    </w:t>
      </w:r>
    </w:p>
    <w:p>
      <w:pPr>
        <w:ind w:firstLine="640" w:firstLineChars="200"/>
        <w:rPr>
          <w:rFonts w:hint="eastAsia" w:ascii="仿宋_GB2312" w:eastAsia="仿宋_GB2312"/>
          <w:sz w:val="32"/>
          <w:szCs w:val="32"/>
        </w:rPr>
      </w:pPr>
      <w:r>
        <w:rPr>
          <w:rFonts w:hint="eastAsia" w:ascii="仿宋_GB2312" w:eastAsia="仿宋_GB2312"/>
          <w:sz w:val="32"/>
          <w:szCs w:val="32"/>
          <w:lang w:eastAsia="zh-CN"/>
        </w:rPr>
        <w:t>（二）</w:t>
      </w:r>
      <w:r>
        <w:rPr>
          <w:rFonts w:hint="eastAsia" w:ascii="仿宋_GB2312" w:eastAsia="仿宋_GB2312"/>
          <w:sz w:val="32"/>
          <w:szCs w:val="32"/>
        </w:rPr>
        <w:t>主动公开情况</w:t>
      </w:r>
    </w:p>
    <w:p>
      <w:pPr>
        <w:ind w:firstLine="640" w:firstLineChars="200"/>
        <w:rPr>
          <w:rFonts w:hint="eastAsia" w:ascii="仿宋_GB2312" w:eastAsia="仿宋_GB2312"/>
          <w:sz w:val="32"/>
          <w:szCs w:val="32"/>
        </w:rPr>
      </w:pPr>
      <w:r>
        <w:rPr>
          <w:rFonts w:hint="eastAsia" w:ascii="仿宋_GB2312" w:eastAsia="仿宋_GB2312"/>
          <w:sz w:val="32"/>
          <w:szCs w:val="32"/>
        </w:rPr>
        <w:t>园区20</w:t>
      </w:r>
      <w:r>
        <w:rPr>
          <w:rFonts w:hint="eastAsia" w:ascii="仿宋_GB2312" w:eastAsia="仿宋_GB2312"/>
          <w:sz w:val="32"/>
          <w:szCs w:val="32"/>
          <w:lang w:val="en-US" w:eastAsia="zh-CN"/>
        </w:rPr>
        <w:t>23</w:t>
      </w:r>
      <w:r>
        <w:rPr>
          <w:rFonts w:hint="eastAsia" w:ascii="仿宋_GB2312" w:eastAsia="仿宋_GB2312"/>
          <w:sz w:val="32"/>
          <w:szCs w:val="32"/>
        </w:rPr>
        <w:t>年政府信息公开渠道主要为首都之窗北京市政府信息公开专栏和微信公众号，其中政府信息公开专栏公开信息</w:t>
      </w:r>
      <w:r>
        <w:rPr>
          <w:rFonts w:hint="eastAsia" w:ascii="仿宋_GB2312" w:eastAsia="仿宋_GB2312"/>
          <w:sz w:val="32"/>
          <w:szCs w:val="32"/>
          <w:lang w:val="en-US" w:eastAsia="zh-CN"/>
        </w:rPr>
        <w:t>292</w:t>
      </w:r>
      <w:r>
        <w:rPr>
          <w:rFonts w:hint="eastAsia" w:ascii="仿宋_GB2312" w:eastAsia="仿宋_GB2312"/>
          <w:sz w:val="32"/>
          <w:szCs w:val="32"/>
        </w:rPr>
        <w:t>条，微信公众号发布信息</w:t>
      </w:r>
      <w:r>
        <w:rPr>
          <w:rFonts w:hint="eastAsia" w:ascii="仿宋_GB2312" w:eastAsia="仿宋_GB2312"/>
          <w:sz w:val="32"/>
          <w:szCs w:val="32"/>
          <w:lang w:val="en-US" w:eastAsia="zh-CN"/>
        </w:rPr>
        <w:t>642</w:t>
      </w:r>
      <w:r>
        <w:rPr>
          <w:rFonts w:hint="eastAsia" w:ascii="仿宋_GB2312" w:eastAsia="仿宋_GB2312"/>
          <w:sz w:val="32"/>
          <w:szCs w:val="32"/>
        </w:rPr>
        <w:t>条。本年</w:t>
      </w:r>
      <w:r>
        <w:rPr>
          <w:rFonts w:hint="eastAsia" w:ascii="仿宋_GB2312" w:eastAsia="仿宋_GB2312"/>
          <w:sz w:val="32"/>
          <w:szCs w:val="32"/>
          <w:lang w:eastAsia="zh-CN"/>
        </w:rPr>
        <w:t>增加</w:t>
      </w:r>
      <w:r>
        <w:rPr>
          <w:rFonts w:hint="eastAsia" w:ascii="仿宋_GB2312" w:eastAsia="仿宋_GB2312"/>
          <w:sz w:val="32"/>
          <w:szCs w:val="32"/>
          <w:lang w:val="en-US" w:eastAsia="zh-CN"/>
        </w:rPr>
        <w:t>1件</w:t>
      </w:r>
      <w:r>
        <w:rPr>
          <w:rFonts w:hint="eastAsia" w:ascii="仿宋_GB2312" w:eastAsia="仿宋_GB2312"/>
          <w:sz w:val="32"/>
          <w:szCs w:val="32"/>
        </w:rPr>
        <w:t>规范性文件。政府集中采购项目数量13项，采购总金额  476.35 万元。</w:t>
      </w:r>
    </w:p>
    <w:p>
      <w:pPr>
        <w:ind w:firstLine="640" w:firstLineChars="200"/>
        <w:rPr>
          <w:rFonts w:hint="eastAsia" w:ascii="仿宋_GB2312" w:eastAsia="仿宋_GB2312"/>
          <w:sz w:val="32"/>
          <w:szCs w:val="32"/>
        </w:rPr>
      </w:pPr>
      <w:r>
        <w:rPr>
          <w:rFonts w:hint="eastAsia" w:ascii="仿宋_GB2312" w:eastAsia="仿宋_GB2312"/>
          <w:sz w:val="32"/>
          <w:szCs w:val="32"/>
          <w:lang w:eastAsia="zh-CN"/>
        </w:rPr>
        <w:t>（三）</w:t>
      </w:r>
      <w:r>
        <w:rPr>
          <w:rFonts w:hint="eastAsia" w:ascii="仿宋_GB2312" w:eastAsia="仿宋_GB2312"/>
          <w:sz w:val="32"/>
          <w:szCs w:val="32"/>
        </w:rPr>
        <w:t>依申请公开办理情况</w:t>
      </w:r>
    </w:p>
    <w:p>
      <w:pPr>
        <w:ind w:firstLine="640" w:firstLineChars="200"/>
        <w:rPr>
          <w:rFonts w:hint="eastAsia" w:ascii="仿宋_GB2312" w:eastAsia="仿宋_GB2312"/>
          <w:sz w:val="32"/>
          <w:szCs w:val="32"/>
        </w:rPr>
      </w:pPr>
      <w:r>
        <w:rPr>
          <w:rFonts w:hint="eastAsia" w:ascii="仿宋_GB2312" w:eastAsia="仿宋_GB2312"/>
          <w:sz w:val="32"/>
          <w:szCs w:val="32"/>
        </w:rPr>
        <w:t>本年共收到政府信息公开申请1项，申请人为自然人，根据《中华人民共和国政府信息公开条例》相关规定，已进行答复</w:t>
      </w:r>
      <w:r>
        <w:rPr>
          <w:rFonts w:hint="eastAsia" w:ascii="仿宋_GB2312" w:eastAsia="仿宋_GB2312"/>
          <w:sz w:val="32"/>
          <w:szCs w:val="32"/>
          <w:lang w:eastAsia="zh-CN"/>
        </w:rPr>
        <w:t>，检查评估结果为合格</w:t>
      </w:r>
      <w:r>
        <w:rPr>
          <w:rFonts w:hint="eastAsia" w:ascii="仿宋_GB2312" w:eastAsia="仿宋_GB2312"/>
          <w:sz w:val="32"/>
          <w:szCs w:val="32"/>
        </w:rPr>
        <w:t>。</w:t>
      </w:r>
    </w:p>
    <w:p>
      <w:pPr>
        <w:ind w:firstLine="640" w:firstLineChars="200"/>
        <w:rPr>
          <w:rFonts w:hint="eastAsia" w:ascii="仿宋_GB2312" w:eastAsia="仿宋_GB2312"/>
          <w:sz w:val="32"/>
          <w:szCs w:val="32"/>
        </w:rPr>
      </w:pPr>
      <w:r>
        <w:rPr>
          <w:rFonts w:hint="eastAsia" w:ascii="仿宋_GB2312" w:eastAsia="仿宋_GB2312"/>
          <w:sz w:val="32"/>
          <w:szCs w:val="32"/>
          <w:lang w:eastAsia="zh-CN"/>
        </w:rPr>
        <w:t>（四）</w:t>
      </w:r>
      <w:r>
        <w:rPr>
          <w:rFonts w:hint="eastAsia" w:ascii="仿宋_GB2312" w:eastAsia="仿宋_GB2312"/>
          <w:sz w:val="32"/>
          <w:szCs w:val="32"/>
        </w:rPr>
        <w:t>政府信息资源的规范化、标准化管理情况</w:t>
      </w:r>
    </w:p>
    <w:p>
      <w:pPr>
        <w:ind w:firstLine="640" w:firstLineChars="200"/>
        <w:rPr>
          <w:rFonts w:hint="eastAsia" w:ascii="仿宋_GB2312" w:eastAsia="仿宋_GB2312"/>
          <w:sz w:val="32"/>
          <w:szCs w:val="32"/>
        </w:rPr>
      </w:pPr>
      <w:r>
        <w:rPr>
          <w:rFonts w:hint="eastAsia" w:ascii="仿宋_GB2312" w:eastAsia="仿宋_GB2312"/>
          <w:sz w:val="32"/>
          <w:szCs w:val="32"/>
        </w:rPr>
        <w:t>为深入贯彻落实</w:t>
      </w:r>
      <w:r>
        <w:rPr>
          <w:rFonts w:hint="eastAsia" w:ascii="仿宋_GB2312" w:eastAsia="仿宋_GB2312"/>
          <w:sz w:val="32"/>
          <w:szCs w:val="32"/>
          <w:lang w:eastAsia="zh-CN"/>
        </w:rPr>
        <w:t>《中华人民共和国政府信息公开条例》，认真执行丰台科技园区政府信息主动公开清单，</w:t>
      </w:r>
      <w:r>
        <w:rPr>
          <w:rFonts w:hint="eastAsia" w:ascii="仿宋_GB2312" w:eastAsia="仿宋_GB2312"/>
          <w:sz w:val="32"/>
          <w:szCs w:val="32"/>
        </w:rPr>
        <w:t>按要求调整并公布《丰台科技园政府信息</w:t>
      </w:r>
      <w:r>
        <w:rPr>
          <w:rFonts w:hint="eastAsia" w:ascii="仿宋_GB2312" w:eastAsia="仿宋_GB2312"/>
          <w:sz w:val="32"/>
          <w:szCs w:val="32"/>
          <w:lang w:eastAsia="zh-CN"/>
        </w:rPr>
        <w:t>主动</w:t>
      </w:r>
      <w:r>
        <w:rPr>
          <w:rFonts w:hint="eastAsia" w:ascii="仿宋_GB2312" w:eastAsia="仿宋_GB2312"/>
          <w:sz w:val="32"/>
          <w:szCs w:val="32"/>
        </w:rPr>
        <w:t>公开全清单》，包括具体职责、业务事项等要素，为</w:t>
      </w:r>
      <w:r>
        <w:rPr>
          <w:rFonts w:hint="eastAsia" w:ascii="仿宋_GB2312" w:hAnsi="仿宋" w:eastAsia="仿宋_GB2312" w:cs="仿宋"/>
          <w:sz w:val="32"/>
          <w:szCs w:val="32"/>
        </w:rPr>
        <w:t>政府信息资源的规范化、标准化管理</w:t>
      </w:r>
      <w:r>
        <w:rPr>
          <w:rFonts w:hint="eastAsia" w:ascii="仿宋_GB2312" w:eastAsia="仿宋_GB2312"/>
          <w:sz w:val="32"/>
          <w:szCs w:val="32"/>
        </w:rPr>
        <w:t>打下坚实基础。</w:t>
      </w:r>
    </w:p>
    <w:p>
      <w:pPr>
        <w:ind w:firstLine="640" w:firstLineChars="200"/>
        <w:rPr>
          <w:rFonts w:hint="eastAsia" w:ascii="仿宋_GB2312" w:eastAsia="仿宋_GB2312"/>
          <w:sz w:val="32"/>
          <w:szCs w:val="32"/>
        </w:rPr>
      </w:pPr>
      <w:r>
        <w:rPr>
          <w:rFonts w:hint="eastAsia" w:ascii="仿宋_GB2312" w:eastAsia="仿宋_GB2312"/>
          <w:sz w:val="32"/>
          <w:szCs w:val="32"/>
          <w:lang w:eastAsia="zh-CN"/>
        </w:rPr>
        <w:t>（五）</w:t>
      </w:r>
      <w:r>
        <w:rPr>
          <w:rFonts w:hint="eastAsia" w:ascii="仿宋_GB2312" w:eastAsia="仿宋_GB2312"/>
          <w:sz w:val="32"/>
          <w:szCs w:val="32"/>
        </w:rPr>
        <w:t>政府信息公开平台建设情况</w:t>
      </w:r>
    </w:p>
    <w:p>
      <w:pPr>
        <w:ind w:firstLine="640" w:firstLineChars="200"/>
        <w:rPr>
          <w:rFonts w:hint="eastAsia" w:ascii="仿宋_GB2312" w:eastAsia="仿宋_GB2312"/>
          <w:sz w:val="32"/>
          <w:szCs w:val="32"/>
        </w:rPr>
      </w:pPr>
      <w:r>
        <w:rPr>
          <w:rFonts w:hint="eastAsia" w:ascii="仿宋_GB2312" w:eastAsia="仿宋_GB2312"/>
          <w:sz w:val="32"/>
          <w:szCs w:val="32"/>
        </w:rPr>
        <w:t>园区202</w:t>
      </w:r>
      <w:r>
        <w:rPr>
          <w:rFonts w:hint="eastAsia" w:ascii="仿宋_GB2312" w:eastAsia="仿宋_GB2312"/>
          <w:sz w:val="32"/>
          <w:szCs w:val="32"/>
          <w:lang w:val="en-US" w:eastAsia="zh-CN"/>
        </w:rPr>
        <w:t>3</w:t>
      </w:r>
      <w:r>
        <w:rPr>
          <w:rFonts w:hint="eastAsia" w:ascii="仿宋_GB2312" w:eastAsia="仿宋_GB2312"/>
          <w:sz w:val="32"/>
          <w:szCs w:val="32"/>
        </w:rPr>
        <w:t>年政府信息公开渠道主要为首都之窗北京市政府信息公开专栏和微信公众号。信息公开专栏公开信息</w:t>
      </w:r>
      <w:r>
        <w:rPr>
          <w:rFonts w:hint="eastAsia" w:ascii="仿宋_GB2312" w:eastAsia="仿宋_GB2312"/>
          <w:sz w:val="32"/>
          <w:szCs w:val="32"/>
          <w:lang w:val="en-US" w:eastAsia="zh-CN"/>
        </w:rPr>
        <w:t>292</w:t>
      </w:r>
      <w:r>
        <w:rPr>
          <w:rFonts w:hint="eastAsia" w:ascii="仿宋_GB2312" w:eastAsia="仿宋_GB2312"/>
          <w:sz w:val="32"/>
          <w:szCs w:val="32"/>
        </w:rPr>
        <w:t>条。微信公众号“中关村丰台园”202</w:t>
      </w:r>
      <w:r>
        <w:rPr>
          <w:rFonts w:hint="eastAsia" w:ascii="仿宋_GB2312" w:eastAsia="仿宋_GB2312"/>
          <w:sz w:val="32"/>
          <w:szCs w:val="32"/>
          <w:lang w:val="en-US" w:eastAsia="zh-CN"/>
        </w:rPr>
        <w:t>3</w:t>
      </w:r>
      <w:r>
        <w:rPr>
          <w:rFonts w:hint="eastAsia" w:ascii="仿宋_GB2312" w:eastAsia="仿宋_GB2312"/>
          <w:sz w:val="32"/>
          <w:szCs w:val="32"/>
        </w:rPr>
        <w:t>年累计发布消息</w:t>
      </w:r>
      <w:r>
        <w:rPr>
          <w:rFonts w:hint="eastAsia" w:ascii="仿宋_GB2312" w:eastAsia="仿宋_GB2312"/>
          <w:sz w:val="32"/>
          <w:szCs w:val="32"/>
          <w:lang w:val="en-US" w:eastAsia="zh-CN"/>
        </w:rPr>
        <w:t>642</w:t>
      </w:r>
      <w:r>
        <w:rPr>
          <w:rFonts w:hint="eastAsia" w:ascii="仿宋_GB2312" w:eastAsia="仿宋_GB2312"/>
          <w:sz w:val="32"/>
          <w:szCs w:val="32"/>
        </w:rPr>
        <w:t>条。</w:t>
      </w:r>
    </w:p>
    <w:p>
      <w:pPr>
        <w:ind w:firstLine="640" w:firstLineChars="200"/>
        <w:rPr>
          <w:rFonts w:hint="eastAsia" w:ascii="仿宋_GB2312" w:eastAsia="仿宋_GB2312"/>
          <w:sz w:val="32"/>
          <w:szCs w:val="32"/>
        </w:rPr>
      </w:pPr>
      <w:r>
        <w:rPr>
          <w:rFonts w:hint="eastAsia" w:ascii="仿宋_GB2312" w:eastAsia="仿宋_GB2312"/>
          <w:sz w:val="32"/>
          <w:szCs w:val="32"/>
          <w:lang w:eastAsia="zh-CN"/>
        </w:rPr>
        <w:t>（六）</w:t>
      </w:r>
      <w:r>
        <w:rPr>
          <w:rFonts w:hint="eastAsia" w:ascii="仿宋_GB2312" w:eastAsia="仿宋_GB2312"/>
          <w:sz w:val="32"/>
          <w:szCs w:val="32"/>
        </w:rPr>
        <w:t>政府信息公开监督保障及教育培训情况</w:t>
      </w:r>
    </w:p>
    <w:p>
      <w:pPr>
        <w:ind w:firstLine="640" w:firstLineChars="200"/>
        <w:rPr>
          <w:rFonts w:hint="eastAsia" w:ascii="仿宋_GB2312" w:eastAsia="仿宋_GB2312"/>
          <w:sz w:val="32"/>
          <w:szCs w:val="32"/>
        </w:rPr>
      </w:pPr>
      <w:r>
        <w:rPr>
          <w:rFonts w:hint="eastAsia" w:ascii="仿宋_GB2312" w:eastAsia="仿宋_GB2312"/>
          <w:sz w:val="32"/>
          <w:szCs w:val="32"/>
        </w:rPr>
        <w:t>按要求参加区202</w:t>
      </w:r>
      <w:r>
        <w:rPr>
          <w:rFonts w:hint="eastAsia" w:ascii="仿宋_GB2312" w:eastAsia="仿宋_GB2312"/>
          <w:sz w:val="32"/>
          <w:szCs w:val="32"/>
          <w:lang w:val="en-US" w:eastAsia="zh-CN"/>
        </w:rPr>
        <w:t>3</w:t>
      </w:r>
      <w:r>
        <w:rPr>
          <w:rFonts w:hint="eastAsia" w:ascii="仿宋_GB2312" w:eastAsia="仿宋_GB2312"/>
          <w:sz w:val="32"/>
          <w:szCs w:val="32"/>
        </w:rPr>
        <w:t xml:space="preserve"> 年度政府网站和信息公开业务培训，对</w:t>
      </w:r>
      <w:r>
        <w:rPr>
          <w:rFonts w:hint="eastAsia" w:ascii="仿宋_GB2312" w:eastAsia="仿宋_GB2312" w:cs="仿宋_GB2312"/>
          <w:kern w:val="0"/>
          <w:sz w:val="32"/>
          <w:szCs w:val="32"/>
        </w:rPr>
        <w:t>依申请公开业务、政府网站集约化平台使用、首都之窗业务</w:t>
      </w:r>
      <w:r>
        <w:rPr>
          <w:rFonts w:hint="eastAsia" w:ascii="仿宋_GB2312" w:eastAsia="仿宋_GB2312"/>
          <w:sz w:val="32"/>
          <w:szCs w:val="32"/>
        </w:rPr>
        <w:t xml:space="preserve">等事项进行了重点学习。 </w:t>
      </w:r>
    </w:p>
    <w:p>
      <w:pPr>
        <w:widowControl/>
        <w:spacing w:line="560" w:lineRule="exact"/>
        <w:ind w:firstLine="675"/>
        <w:jc w:val="left"/>
        <w:rPr>
          <w:rFonts w:hint="eastAsia" w:ascii="仿宋_GB2312" w:hAnsi="宋体" w:eastAsia="仿宋_GB2312" w:cs="宋体"/>
          <w:spacing w:val="8"/>
          <w:kern w:val="0"/>
          <w:sz w:val="32"/>
          <w:szCs w:val="32"/>
        </w:rPr>
      </w:pPr>
    </w:p>
    <w:p>
      <w:pPr>
        <w:numPr>
          <w:ilvl w:val="0"/>
          <w:numId w:val="1"/>
        </w:numPr>
        <w:spacing w:line="560" w:lineRule="exact"/>
        <w:ind w:firstLine="640"/>
        <w:rPr>
          <w:rFonts w:hint="eastAsia" w:ascii="黑体" w:hAnsi="宋体" w:eastAsia="黑体" w:cs="黑体"/>
          <w:sz w:val="32"/>
          <w:szCs w:val="32"/>
        </w:rPr>
      </w:pPr>
      <w:r>
        <w:rPr>
          <w:rFonts w:hint="eastAsia" w:ascii="黑体" w:hAnsi="宋体" w:eastAsia="黑体" w:cs="黑体"/>
          <w:sz w:val="32"/>
          <w:szCs w:val="32"/>
          <w:lang w:bidi="ar"/>
        </w:rPr>
        <w:t>主动公开政府信息情况</w:t>
      </w:r>
    </w:p>
    <w:p>
      <w:pPr>
        <w:pStyle w:val="2"/>
        <w:widowControl/>
      </w:pPr>
    </w:p>
    <w:p>
      <w:pPr>
        <w:pStyle w:val="2"/>
        <w:widowControl/>
      </w:pPr>
    </w:p>
    <w:tbl>
      <w:tblPr>
        <w:tblStyle w:val="4"/>
        <w:tblW w:w="9740" w:type="dxa"/>
        <w:jc w:val="center"/>
        <w:tblLayout w:type="autofit"/>
        <w:tblCellMar>
          <w:top w:w="0" w:type="dxa"/>
          <w:left w:w="0" w:type="dxa"/>
          <w:bottom w:w="0" w:type="dxa"/>
          <w:right w:w="0" w:type="dxa"/>
        </w:tblCellMar>
      </w:tblPr>
      <w:tblGrid>
        <w:gridCol w:w="2435"/>
        <w:gridCol w:w="2435"/>
        <w:gridCol w:w="2435"/>
        <w:gridCol w:w="2435"/>
      </w:tblGrid>
      <w:tr>
        <w:tblPrEx>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9BC2E6"/>
            <w:noWrap w:val="0"/>
            <w:tcMar>
              <w:left w:w="57" w:type="dxa"/>
              <w:right w:w="57" w:type="dxa"/>
            </w:tcMar>
            <w:vAlign w:val="center"/>
          </w:tcPr>
          <w:p>
            <w:pPr>
              <w:widowControl/>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第二十条第（一）项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center"/>
            </w:pPr>
            <w:r>
              <w:rPr>
                <w:rFonts w:hint="eastAsia" w:ascii="宋体" w:hAnsi="宋体" w:cs="宋体"/>
                <w:color w:val="000000"/>
                <w:kern w:val="0"/>
                <w:sz w:val="20"/>
                <w:szCs w:val="20"/>
                <w:lang w:bidi="ar"/>
              </w:rPr>
              <w:t>信息内容</w:t>
            </w:r>
          </w:p>
        </w:tc>
        <w:tc>
          <w:tcPr>
            <w:tcW w:w="2435" w:type="dxa"/>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pPr>
              <w:widowControl/>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本年制发件数</w:t>
            </w:r>
          </w:p>
        </w:tc>
        <w:tc>
          <w:tcPr>
            <w:tcW w:w="2435" w:type="dxa"/>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pPr>
              <w:widowControl/>
              <w:jc w:val="center"/>
            </w:pPr>
            <w:r>
              <w:rPr>
                <w:rFonts w:hint="eastAsia" w:ascii="宋体" w:hAnsi="宋体" w:cs="宋体"/>
                <w:color w:val="000000"/>
                <w:kern w:val="0"/>
                <w:sz w:val="20"/>
                <w:szCs w:val="20"/>
                <w:lang w:bidi="ar"/>
              </w:rPr>
              <w:t>本年废止件数</w:t>
            </w:r>
          </w:p>
        </w:tc>
        <w:tc>
          <w:tcPr>
            <w:tcW w:w="2435" w:type="dxa"/>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pPr>
              <w:widowControl/>
              <w:jc w:val="center"/>
            </w:pPr>
            <w:r>
              <w:rPr>
                <w:rFonts w:hint="eastAsia" w:ascii="宋体" w:hAnsi="宋体" w:cs="宋体"/>
                <w:color w:val="000000"/>
                <w:kern w:val="0"/>
                <w:sz w:val="20"/>
                <w:szCs w:val="20"/>
                <w:lang w:bidi="ar"/>
              </w:rPr>
              <w:t>现行有效件数</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left"/>
            </w:pPr>
            <w:r>
              <w:rPr>
                <w:rFonts w:hint="eastAsia" w:ascii="宋体" w:hAnsi="宋体" w:cs="宋体"/>
                <w:color w:val="000000"/>
                <w:kern w:val="0"/>
                <w:sz w:val="20"/>
                <w:szCs w:val="20"/>
                <w:lang w:bidi="ar"/>
              </w:rPr>
              <w:t>规章</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val="en-US" w:eastAsia="zh-CN"/>
              </w:rPr>
            </w:pP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val="en-US" w:eastAsia="zh-CN"/>
              </w:rPr>
            </w:pP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val="en-US" w:eastAsia="zh-CN"/>
              </w:rPr>
            </w:pPr>
            <w:r>
              <w:rPr>
                <w:rFonts w:hint="eastAsia" w:cs="Calibri"/>
                <w:kern w:val="0"/>
                <w:szCs w:val="21"/>
                <w:lang w:val="en-US" w:eastAsia="zh-CN" w:bidi="ar"/>
              </w:rPr>
              <w:t>0</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left"/>
            </w:pPr>
            <w:r>
              <w:rPr>
                <w:rFonts w:hint="eastAsia" w:ascii="宋体" w:hAnsi="宋体" w:cs="宋体"/>
                <w:color w:val="000000"/>
                <w:kern w:val="0"/>
                <w:sz w:val="20"/>
                <w:szCs w:val="20"/>
                <w:lang w:bidi="ar"/>
              </w:rPr>
              <w:t>行政规范性文件</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val="en-US" w:eastAsia="zh-CN"/>
              </w:rPr>
            </w:pPr>
            <w:r>
              <w:rPr>
                <w:rFonts w:hint="eastAsia" w:ascii="宋体" w:hAnsi="宋体" w:cs="宋体"/>
                <w:color w:val="000000"/>
                <w:kern w:val="0"/>
                <w:sz w:val="20"/>
                <w:szCs w:val="20"/>
                <w:lang w:val="en-US" w:eastAsia="zh-CN" w:bidi="ar"/>
              </w:rPr>
              <w:t>1</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val="en-US" w:eastAsia="zh-CN"/>
              </w:rPr>
            </w:pPr>
            <w:r>
              <w:rPr>
                <w:rFonts w:hint="eastAsia" w:ascii="宋体" w:hAnsi="宋体" w:cs="宋体"/>
                <w:color w:val="000000"/>
                <w:kern w:val="0"/>
                <w:sz w:val="20"/>
                <w:szCs w:val="20"/>
                <w:lang w:val="en-US" w:eastAsia="zh-CN" w:bidi="ar"/>
              </w:rPr>
              <w:t>1</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val="en-US" w:eastAsia="zh-CN"/>
              </w:rPr>
            </w:pPr>
            <w:r>
              <w:rPr>
                <w:rFonts w:hint="eastAsia" w:cs="Calibri"/>
                <w:kern w:val="0"/>
                <w:szCs w:val="21"/>
                <w:lang w:val="en-US" w:eastAsia="zh-CN" w:bidi="ar"/>
              </w:rPr>
              <w:t>4</w:t>
            </w:r>
          </w:p>
        </w:tc>
      </w:tr>
      <w:tr>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color w:val="000000"/>
                <w:kern w:val="0"/>
                <w:sz w:val="20"/>
                <w:szCs w:val="20"/>
                <w:lang w:bidi="ar"/>
              </w:rPr>
              <w:t>第二十条第（五）项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center"/>
            </w:pPr>
            <w:r>
              <w:rPr>
                <w:rFonts w:hint="eastAsia" w:ascii="宋体" w:hAnsi="宋体" w:cs="宋体"/>
                <w:color w:val="000000"/>
                <w:kern w:val="0"/>
                <w:sz w:val="20"/>
                <w:szCs w:val="20"/>
                <w:lang w:bidi="ar"/>
              </w:rPr>
              <w:t>信息内容</w:t>
            </w:r>
          </w:p>
        </w:tc>
        <w:tc>
          <w:tcPr>
            <w:tcW w:w="7305" w:type="dxa"/>
            <w:gridSpan w:val="3"/>
            <w:tcBorders>
              <w:top w:val="nil"/>
              <w:left w:val="nil"/>
              <w:bottom w:val="single" w:color="auto" w:sz="8" w:space="0"/>
              <w:right w:val="single" w:color="auto" w:sz="8" w:space="0"/>
            </w:tcBorders>
            <w:shd w:val="clear" w:color="auto" w:fill="DDEBF7"/>
            <w:noWrap w:val="0"/>
            <w:tcMar>
              <w:left w:w="57" w:type="dxa"/>
              <w:right w:w="57" w:type="dxa"/>
            </w:tcMar>
            <w:vAlign w:val="center"/>
          </w:tcPr>
          <w:p>
            <w:pPr>
              <w:widowControl/>
              <w:jc w:val="center"/>
            </w:pPr>
            <w:r>
              <w:rPr>
                <w:rFonts w:hint="eastAsia" w:ascii="宋体" w:hAnsi="宋体" w:cs="宋体"/>
                <w:color w:val="000000"/>
                <w:kern w:val="0"/>
                <w:sz w:val="20"/>
                <w:szCs w:val="20"/>
                <w:lang w:bidi="ar"/>
              </w:rPr>
              <w:t>本年处理决定数量</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left"/>
            </w:pPr>
            <w:r>
              <w:rPr>
                <w:rFonts w:hint="eastAsia" w:ascii="宋体" w:hAnsi="宋体" w:cs="宋体"/>
                <w:color w:val="000000"/>
                <w:kern w:val="0"/>
                <w:sz w:val="20"/>
                <w:szCs w:val="20"/>
                <w:lang w:bidi="ar"/>
              </w:rPr>
              <w:t>行政许可</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val="en-US" w:eastAsia="zh-CN"/>
              </w:rPr>
            </w:pPr>
            <w:r>
              <w:rPr>
                <w:rFonts w:hint="eastAsia" w:cs="Calibri"/>
                <w:kern w:val="0"/>
                <w:szCs w:val="21"/>
                <w:lang w:val="en-US" w:eastAsia="zh-CN" w:bidi="ar"/>
              </w:rPr>
              <w:t>0</w:t>
            </w:r>
          </w:p>
        </w:tc>
      </w:tr>
      <w:tr>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color w:val="000000"/>
                <w:kern w:val="0"/>
                <w:sz w:val="20"/>
                <w:szCs w:val="20"/>
                <w:lang w:bidi="ar"/>
              </w:rPr>
              <w:t>第二十条第（六）项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center"/>
            </w:pPr>
            <w:r>
              <w:rPr>
                <w:rFonts w:hint="eastAsia" w:ascii="宋体" w:hAnsi="宋体" w:cs="宋体"/>
                <w:color w:val="000000"/>
                <w:kern w:val="0"/>
                <w:sz w:val="20"/>
                <w:szCs w:val="20"/>
                <w:lang w:bidi="ar"/>
              </w:rPr>
              <w:t>信息内容</w:t>
            </w:r>
          </w:p>
        </w:tc>
        <w:tc>
          <w:tcPr>
            <w:tcW w:w="7305" w:type="dxa"/>
            <w:gridSpan w:val="3"/>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pPr>
              <w:widowControl/>
              <w:jc w:val="center"/>
            </w:pPr>
            <w:r>
              <w:rPr>
                <w:rFonts w:hint="eastAsia" w:ascii="宋体" w:hAnsi="宋体" w:cs="宋体"/>
                <w:color w:val="000000"/>
                <w:kern w:val="0"/>
                <w:sz w:val="20"/>
                <w:szCs w:val="20"/>
                <w:lang w:bidi="ar"/>
              </w:rPr>
              <w:t>本年处理决定数量</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left"/>
            </w:pPr>
            <w:r>
              <w:rPr>
                <w:rFonts w:hint="eastAsia" w:ascii="宋体" w:hAnsi="宋体" w:cs="宋体"/>
                <w:color w:val="000000"/>
                <w:kern w:val="0"/>
                <w:sz w:val="20"/>
                <w:szCs w:val="20"/>
                <w:lang w:bidi="ar"/>
              </w:rPr>
              <w:t>行政处罚</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val="en-US" w:eastAsia="zh-CN"/>
              </w:rPr>
            </w:pPr>
            <w:r>
              <w:rPr>
                <w:rFonts w:hint="eastAsia" w:ascii="宋体" w:hAnsi="宋体" w:cs="宋体"/>
                <w:color w:val="000000"/>
                <w:kern w:val="0"/>
                <w:sz w:val="20"/>
                <w:szCs w:val="20"/>
                <w:lang w:val="en-US" w:eastAsia="zh-CN" w:bidi="ar"/>
              </w:rPr>
              <w:t>0</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left"/>
            </w:pPr>
            <w:r>
              <w:rPr>
                <w:rFonts w:hint="eastAsia" w:ascii="宋体" w:hAnsi="宋体" w:cs="宋体"/>
                <w:color w:val="000000"/>
                <w:kern w:val="0"/>
                <w:sz w:val="20"/>
                <w:szCs w:val="20"/>
                <w:lang w:bidi="ar"/>
              </w:rPr>
              <w:t>行政强制</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val="en-US" w:eastAsia="zh-CN"/>
              </w:rPr>
            </w:pPr>
            <w:r>
              <w:rPr>
                <w:rFonts w:hint="eastAsia" w:ascii="宋体" w:hAnsi="宋体" w:cs="宋体"/>
                <w:color w:val="000000"/>
                <w:kern w:val="0"/>
                <w:sz w:val="20"/>
                <w:szCs w:val="20"/>
                <w:lang w:val="en-US" w:eastAsia="zh-CN" w:bidi="ar"/>
              </w:rPr>
              <w:t>0</w:t>
            </w:r>
          </w:p>
        </w:tc>
      </w:tr>
      <w:tr>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color w:val="000000"/>
                <w:kern w:val="0"/>
                <w:sz w:val="20"/>
                <w:szCs w:val="20"/>
                <w:lang w:bidi="ar"/>
              </w:rPr>
              <w:t>第二十条第（八）项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center"/>
            </w:pPr>
            <w:r>
              <w:rPr>
                <w:rFonts w:hint="eastAsia" w:ascii="宋体" w:hAnsi="宋体" w:cs="宋体"/>
                <w:color w:val="000000"/>
                <w:kern w:val="0"/>
                <w:sz w:val="20"/>
                <w:szCs w:val="20"/>
                <w:lang w:bidi="ar"/>
              </w:rPr>
              <w:t>信息内容</w:t>
            </w:r>
          </w:p>
        </w:tc>
        <w:tc>
          <w:tcPr>
            <w:tcW w:w="7305" w:type="dxa"/>
            <w:gridSpan w:val="3"/>
            <w:tcBorders>
              <w:top w:val="nil"/>
              <w:left w:val="nil"/>
              <w:bottom w:val="single" w:color="auto" w:sz="8" w:space="0"/>
              <w:right w:val="single" w:color="000000" w:sz="8" w:space="0"/>
            </w:tcBorders>
            <w:shd w:val="clear" w:color="auto" w:fill="DDEBF7"/>
            <w:noWrap w:val="0"/>
            <w:tcMar>
              <w:left w:w="57" w:type="dxa"/>
              <w:right w:w="57" w:type="dxa"/>
            </w:tcMar>
            <w:vAlign w:val="center"/>
          </w:tcPr>
          <w:p>
            <w:pPr>
              <w:widowControl/>
              <w:jc w:val="center"/>
            </w:pPr>
            <w:r>
              <w:rPr>
                <w:rFonts w:hint="eastAsia" w:ascii="宋体" w:hAnsi="宋体" w:cs="宋体"/>
                <w:color w:val="000000"/>
                <w:kern w:val="0"/>
                <w:sz w:val="20"/>
                <w:szCs w:val="20"/>
                <w:lang w:bidi="ar"/>
              </w:rPr>
              <w:t>本年收费金额（单位：万元）</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left"/>
            </w:pPr>
            <w:r>
              <w:rPr>
                <w:rFonts w:hint="eastAsia" w:ascii="宋体" w:hAnsi="宋体" w:cs="宋体"/>
                <w:color w:val="000000"/>
                <w:kern w:val="0"/>
                <w:sz w:val="20"/>
                <w:szCs w:val="20"/>
                <w:lang w:bidi="ar"/>
              </w:rPr>
              <w:t>行政事业性收费</w:t>
            </w:r>
          </w:p>
        </w:tc>
        <w:tc>
          <w:tcPr>
            <w:tcW w:w="7305" w:type="dxa"/>
            <w:gridSpan w:val="3"/>
            <w:tcBorders>
              <w:top w:val="nil"/>
              <w:left w:val="nil"/>
              <w:bottom w:val="single" w:color="auto" w:sz="8" w:space="0"/>
              <w:right w:val="single" w:color="000000" w:sz="8" w:space="0"/>
            </w:tcBorders>
            <w:noWrap w:val="0"/>
            <w:tcMar>
              <w:left w:w="57" w:type="dxa"/>
              <w:right w:w="57" w:type="dxa"/>
            </w:tcMar>
            <w:vAlign w:val="center"/>
          </w:tcPr>
          <w:p>
            <w:pPr>
              <w:jc w:val="center"/>
              <w:rPr>
                <w:rFonts w:hint="eastAsia" w:ascii="宋体" w:hAnsi="Times New Roman" w:eastAsia="宋体" w:cs="宋体"/>
                <w:sz w:val="24"/>
                <w:lang w:val="en-US" w:eastAsia="zh-CN"/>
              </w:rPr>
            </w:pPr>
            <w:r>
              <w:rPr>
                <w:rFonts w:hint="eastAsia" w:ascii="宋体" w:cs="宋体"/>
                <w:sz w:val="24"/>
                <w:lang w:val="en-US" w:eastAsia="zh-CN"/>
              </w:rPr>
              <w:t>0</w:t>
            </w:r>
          </w:p>
        </w:tc>
      </w:tr>
    </w:tbl>
    <w:p>
      <w:pPr>
        <w:pStyle w:val="2"/>
        <w:widowControl/>
      </w:pPr>
    </w:p>
    <w:p>
      <w:pPr>
        <w:pStyle w:val="2"/>
        <w:widowControl/>
      </w:pPr>
    </w:p>
    <w:p>
      <w:pPr>
        <w:pStyle w:val="2"/>
        <w:widowControl/>
      </w:pPr>
    </w:p>
    <w:p/>
    <w:p>
      <w:pPr>
        <w:pStyle w:val="3"/>
      </w:pPr>
    </w:p>
    <w:p/>
    <w:p>
      <w:pPr>
        <w:pStyle w:val="3"/>
      </w:pPr>
    </w:p>
    <w:p>
      <w:pPr>
        <w:numPr>
          <w:ilvl w:val="0"/>
          <w:numId w:val="1"/>
        </w:numPr>
        <w:spacing w:line="560" w:lineRule="exact"/>
        <w:ind w:firstLine="640"/>
        <w:rPr>
          <w:rFonts w:hint="eastAsia" w:ascii="黑体" w:hAnsi="宋体" w:eastAsia="黑体" w:cs="黑体"/>
          <w:sz w:val="32"/>
          <w:szCs w:val="32"/>
        </w:rPr>
      </w:pPr>
      <w:r>
        <w:rPr>
          <w:rFonts w:hint="eastAsia" w:ascii="黑体" w:hAnsi="宋体" w:eastAsia="黑体" w:cs="黑体"/>
          <w:sz w:val="32"/>
          <w:szCs w:val="32"/>
          <w:lang w:bidi="ar"/>
        </w:rPr>
        <w:t>收到和处理政府信息公开申请情况</w:t>
      </w:r>
    </w:p>
    <w:p>
      <w:pPr>
        <w:ind w:left="629"/>
        <w:rPr>
          <w:rFonts w:hint="eastAsia" w:ascii="黑体" w:hAnsi="宋体" w:eastAsia="黑体" w:cs="黑体"/>
          <w:sz w:val="24"/>
        </w:rPr>
      </w:pPr>
    </w:p>
    <w:tbl>
      <w:tblPr>
        <w:tblStyle w:val="4"/>
        <w:tblW w:w="9748"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0" w:type="dxa"/>
          <w:bottom w:w="0" w:type="dxa"/>
          <w:right w:w="0" w:type="dxa"/>
        </w:tblCellMar>
      </w:tblPr>
      <w:tblGrid>
        <w:gridCol w:w="768"/>
        <w:gridCol w:w="943"/>
        <w:gridCol w:w="3220"/>
        <w:gridCol w:w="688"/>
        <w:gridCol w:w="688"/>
        <w:gridCol w:w="688"/>
        <w:gridCol w:w="688"/>
        <w:gridCol w:w="688"/>
        <w:gridCol w:w="688"/>
        <w:gridCol w:w="689"/>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5150" w:type="dxa"/>
            <w:gridSpan w:val="3"/>
            <w:vMerge w:val="restart"/>
            <w:tcBorders>
              <w:top w:val="single" w:color="auto" w:sz="8" w:space="0"/>
              <w:left w:val="single" w:color="auto" w:sz="8" w:space="0"/>
              <w:bottom w:val="inset" w:color="auto" w:sz="8" w:space="0"/>
              <w:right w:val="single" w:color="auto" w:sz="8" w:space="0"/>
            </w:tcBorders>
            <w:shd w:val="clear" w:color="auto" w:fill="9BC2E6"/>
            <w:noWrap w:val="0"/>
            <w:tcMar>
              <w:left w:w="108" w:type="dxa"/>
              <w:right w:w="108" w:type="dxa"/>
            </w:tcMar>
            <w:vAlign w:val="center"/>
          </w:tcPr>
          <w:p>
            <w:pPr>
              <w:widowControl/>
              <w:jc w:val="left"/>
            </w:pPr>
            <w:r>
              <w:rPr>
                <w:rFonts w:hint="eastAsia" w:ascii="楷体" w:hAnsi="楷体" w:eastAsia="楷体" w:cs="楷体"/>
                <w:kern w:val="0"/>
                <w:sz w:val="20"/>
                <w:szCs w:val="20"/>
                <w:lang w:bidi="ar"/>
              </w:rPr>
              <w:t>（本列数据的勾稽关系为：第一项加第二项之和，等于第三项加第四项之和）</w:t>
            </w:r>
          </w:p>
        </w:tc>
        <w:tc>
          <w:tcPr>
            <w:tcW w:w="4998" w:type="dxa"/>
            <w:gridSpan w:val="7"/>
            <w:tcBorders>
              <w:top w:val="single" w:color="auto" w:sz="8" w:space="0"/>
              <w:left w:val="nil"/>
              <w:bottom w:val="single"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kern w:val="0"/>
                <w:sz w:val="20"/>
                <w:szCs w:val="20"/>
                <w:lang w:bidi="ar"/>
              </w:rPr>
              <w:t>申请人情况</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5150" w:type="dxa"/>
            <w:gridSpan w:val="3"/>
            <w:vMerge w:val="continue"/>
            <w:tcBorders>
              <w:top w:val="single" w:color="auto" w:sz="8" w:space="0"/>
              <w:left w:val="single" w:color="auto" w:sz="8" w:space="0"/>
              <w:bottom w:val="inset" w:color="auto" w:sz="8" w:space="0"/>
              <w:right w:val="single" w:color="auto" w:sz="8" w:space="0"/>
            </w:tcBorders>
            <w:shd w:val="clear" w:color="auto" w:fill="9BC2E6"/>
            <w:noWrap w:val="0"/>
            <w:tcMar>
              <w:left w:w="108" w:type="dxa"/>
              <w:right w:w="108" w:type="dxa"/>
            </w:tcMar>
            <w:vAlign w:val="center"/>
          </w:tcPr>
          <w:p>
            <w:pPr>
              <w:rPr>
                <w:rFonts w:ascii="Times New Roman" w:hAnsi="Times New Roman"/>
                <w:sz w:val="20"/>
                <w:szCs w:val="20"/>
              </w:rPr>
            </w:pPr>
          </w:p>
        </w:tc>
        <w:tc>
          <w:tcPr>
            <w:tcW w:w="714" w:type="dxa"/>
            <w:vMerge w:val="restart"/>
            <w:tcBorders>
              <w:top w:val="single" w:color="auto" w:sz="0"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kern w:val="0"/>
                <w:sz w:val="20"/>
                <w:szCs w:val="20"/>
                <w:lang w:bidi="ar"/>
              </w:rPr>
              <w:t>自然人</w:t>
            </w:r>
          </w:p>
        </w:tc>
        <w:tc>
          <w:tcPr>
            <w:tcW w:w="3570" w:type="dxa"/>
            <w:gridSpan w:val="5"/>
            <w:tcBorders>
              <w:top w:val="single" w:color="auto" w:sz="8"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kern w:val="0"/>
                <w:sz w:val="20"/>
                <w:szCs w:val="20"/>
                <w:lang w:bidi="ar"/>
              </w:rPr>
              <w:t>法人或其他组织</w:t>
            </w:r>
          </w:p>
        </w:tc>
        <w:tc>
          <w:tcPr>
            <w:tcW w:w="714" w:type="dxa"/>
            <w:vMerge w:val="restart"/>
            <w:tcBorders>
              <w:top w:val="single" w:color="auto" w:sz="8" w:space="0"/>
              <w:left w:val="single" w:color="auto" w:sz="0" w:space="0"/>
              <w:bottom w:val="inset"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kern w:val="0"/>
                <w:sz w:val="20"/>
                <w:szCs w:val="20"/>
                <w:lang w:bidi="ar"/>
              </w:rPr>
              <w:t>总计</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48" w:hRule="atLeast"/>
          <w:jc w:val="center"/>
        </w:trPr>
        <w:tc>
          <w:tcPr>
            <w:tcW w:w="5150" w:type="dxa"/>
            <w:gridSpan w:val="3"/>
            <w:vMerge w:val="continue"/>
            <w:tcBorders>
              <w:top w:val="single" w:color="auto" w:sz="8" w:space="0"/>
              <w:left w:val="single" w:color="auto" w:sz="8" w:space="0"/>
              <w:bottom w:val="inset" w:color="auto" w:sz="8" w:space="0"/>
              <w:right w:val="single" w:color="auto" w:sz="8" w:space="0"/>
            </w:tcBorders>
            <w:shd w:val="clear" w:color="auto" w:fill="9BC2E6"/>
            <w:noWrap w:val="0"/>
            <w:tcMar>
              <w:left w:w="108" w:type="dxa"/>
              <w:right w:w="108" w:type="dxa"/>
            </w:tcMar>
            <w:vAlign w:val="center"/>
          </w:tcPr>
          <w:p>
            <w:pPr>
              <w:rPr>
                <w:rFonts w:ascii="Times New Roman" w:hAnsi="Times New Roman"/>
                <w:sz w:val="20"/>
                <w:szCs w:val="20"/>
              </w:rPr>
            </w:pPr>
          </w:p>
        </w:tc>
        <w:tc>
          <w:tcPr>
            <w:tcW w:w="714" w:type="dxa"/>
            <w:vMerge w:val="continue"/>
            <w:tcBorders>
              <w:top w:val="single" w:color="auto" w:sz="0"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rPr>
                <w:rFonts w:ascii="Times New Roman" w:hAnsi="Times New Roman"/>
                <w:sz w:val="20"/>
                <w:szCs w:val="20"/>
              </w:rPr>
            </w:pPr>
          </w:p>
        </w:tc>
        <w:tc>
          <w:tcPr>
            <w:tcW w:w="714" w:type="dxa"/>
            <w:tcBorders>
              <w:top w:val="single" w:color="auto" w:sz="0"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kern w:val="0"/>
                <w:sz w:val="20"/>
                <w:szCs w:val="20"/>
                <w:lang w:bidi="ar"/>
              </w:rPr>
              <w:t>商业</w:t>
            </w:r>
          </w:p>
          <w:p>
            <w:pPr>
              <w:widowControl/>
              <w:jc w:val="center"/>
            </w:pPr>
            <w:r>
              <w:rPr>
                <w:rFonts w:hint="eastAsia" w:ascii="宋体" w:hAnsi="宋体" w:cs="宋体"/>
                <w:kern w:val="0"/>
                <w:sz w:val="20"/>
                <w:szCs w:val="20"/>
                <w:lang w:bidi="ar"/>
              </w:rPr>
              <w:t>企业</w:t>
            </w:r>
          </w:p>
        </w:tc>
        <w:tc>
          <w:tcPr>
            <w:tcW w:w="714" w:type="dxa"/>
            <w:tcBorders>
              <w:top w:val="single" w:color="auto" w:sz="0"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kern w:val="0"/>
                <w:sz w:val="20"/>
                <w:szCs w:val="20"/>
                <w:lang w:bidi="ar"/>
              </w:rPr>
              <w:t>科研</w:t>
            </w:r>
          </w:p>
          <w:p>
            <w:pPr>
              <w:widowControl/>
              <w:jc w:val="center"/>
            </w:pPr>
            <w:r>
              <w:rPr>
                <w:rFonts w:hint="eastAsia" w:ascii="宋体" w:hAnsi="宋体" w:cs="宋体"/>
                <w:kern w:val="0"/>
                <w:sz w:val="20"/>
                <w:szCs w:val="20"/>
                <w:lang w:bidi="ar"/>
              </w:rPr>
              <w:t>机构</w:t>
            </w:r>
          </w:p>
        </w:tc>
        <w:tc>
          <w:tcPr>
            <w:tcW w:w="714" w:type="dxa"/>
            <w:tcBorders>
              <w:top w:val="single" w:color="auto" w:sz="8"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kern w:val="0"/>
                <w:sz w:val="20"/>
                <w:szCs w:val="20"/>
                <w:lang w:bidi="ar"/>
              </w:rPr>
              <w:t>社会公益组织</w:t>
            </w:r>
          </w:p>
        </w:tc>
        <w:tc>
          <w:tcPr>
            <w:tcW w:w="714" w:type="dxa"/>
            <w:tcBorders>
              <w:top w:val="single" w:color="auto" w:sz="8"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kern w:val="0"/>
                <w:sz w:val="20"/>
                <w:szCs w:val="20"/>
                <w:lang w:bidi="ar"/>
              </w:rPr>
              <w:t>法律服务机构</w:t>
            </w:r>
          </w:p>
        </w:tc>
        <w:tc>
          <w:tcPr>
            <w:tcW w:w="714" w:type="dxa"/>
            <w:tcBorders>
              <w:top w:val="single" w:color="auto" w:sz="8"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kern w:val="0"/>
                <w:sz w:val="20"/>
                <w:szCs w:val="20"/>
                <w:lang w:bidi="ar"/>
              </w:rPr>
              <w:t>其他</w:t>
            </w:r>
          </w:p>
        </w:tc>
        <w:tc>
          <w:tcPr>
            <w:tcW w:w="714" w:type="dxa"/>
            <w:vMerge w:val="continue"/>
            <w:tcBorders>
              <w:top w:val="single" w:color="auto" w:sz="8" w:space="0"/>
              <w:left w:val="single" w:color="auto" w:sz="0" w:space="0"/>
              <w:bottom w:val="inset" w:color="auto" w:sz="8" w:space="0"/>
              <w:right w:val="single" w:color="auto" w:sz="8" w:space="0"/>
            </w:tcBorders>
            <w:shd w:val="clear" w:color="auto" w:fill="9BC2E6"/>
            <w:noWrap w:val="0"/>
            <w:tcMar>
              <w:left w:w="57" w:type="dxa"/>
              <w:right w:w="57" w:type="dxa"/>
            </w:tcMar>
            <w:vAlign w:val="center"/>
          </w:tcPr>
          <w:p>
            <w:pPr>
              <w:rPr>
                <w:rFonts w:ascii="Times New Roman" w:hAnsi="Times New Roman"/>
                <w:sz w:val="20"/>
                <w:szCs w:val="20"/>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5150" w:type="dxa"/>
            <w:gridSpan w:val="3"/>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left"/>
            </w:pPr>
            <w:r>
              <w:rPr>
                <w:rFonts w:hint="eastAsia" w:ascii="宋体" w:hAnsi="宋体" w:cs="宋体"/>
                <w:kern w:val="0"/>
                <w:sz w:val="20"/>
                <w:szCs w:val="20"/>
                <w:lang w:bidi="ar"/>
              </w:rPr>
              <w:t>一、本年新收政府信息公开申请数量</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val="en-US" w:eastAsia="zh-CN"/>
              </w:rPr>
            </w:pPr>
            <w:r>
              <w:rPr>
                <w:rFonts w:cs="Calibri"/>
                <w:kern w:val="0"/>
                <w:sz w:val="20"/>
                <w:szCs w:val="20"/>
                <w:lang w:bidi="ar"/>
              </w:rPr>
              <w:t> </w:t>
            </w:r>
            <w:r>
              <w:rPr>
                <w:rFonts w:hint="eastAsia" w:cs="Calibri"/>
                <w:kern w:val="0"/>
                <w:sz w:val="20"/>
                <w:szCs w:val="20"/>
                <w:lang w:val="en-US" w:eastAsia="zh-CN" w:bidi="ar"/>
              </w:rPr>
              <w:t>1</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val="en-US" w:eastAsia="zh-CN"/>
              </w:rPr>
            </w:pPr>
            <w:r>
              <w:rPr>
                <w:rFonts w:cs="Calibri"/>
                <w:kern w:val="0"/>
                <w:sz w:val="20"/>
                <w:szCs w:val="20"/>
                <w:lang w:bidi="ar"/>
              </w:rPr>
              <w:t> </w:t>
            </w:r>
            <w:r>
              <w:rPr>
                <w:rFonts w:hint="eastAsia" w:cs="Calibri"/>
                <w:kern w:val="0"/>
                <w:sz w:val="20"/>
                <w:szCs w:val="20"/>
                <w:lang w:val="en-US" w:eastAsia="zh-CN" w:bidi="ar"/>
              </w:rPr>
              <w:t>1</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28" w:hRule="atLeast"/>
          <w:jc w:val="center"/>
        </w:trPr>
        <w:tc>
          <w:tcPr>
            <w:tcW w:w="5150" w:type="dxa"/>
            <w:gridSpan w:val="3"/>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left"/>
            </w:pPr>
            <w:r>
              <w:rPr>
                <w:rFonts w:hint="eastAsia" w:ascii="宋体" w:hAnsi="宋体" w:cs="宋体"/>
                <w:kern w:val="0"/>
                <w:sz w:val="20"/>
                <w:szCs w:val="20"/>
                <w:lang w:bidi="ar"/>
              </w:rPr>
              <w:t>二、上年结转政府信息公开申请数量</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val="en-US" w:eastAsia="zh-CN"/>
              </w:rPr>
            </w:pPr>
            <w:r>
              <w:rPr>
                <w:rFonts w:cs="Calibri"/>
                <w:kern w:val="0"/>
                <w:sz w:val="20"/>
                <w:szCs w:val="20"/>
                <w:lang w:bidi="ar"/>
              </w:rPr>
              <w:t> </w:t>
            </w:r>
            <w:r>
              <w:rPr>
                <w:rFonts w:hint="eastAsia"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restart"/>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widowControl/>
              <w:jc w:val="left"/>
            </w:pPr>
            <w:r>
              <w:rPr>
                <w:rFonts w:hint="eastAsia" w:ascii="宋体" w:hAnsi="宋体" w:cs="宋体"/>
                <w:kern w:val="0"/>
                <w:sz w:val="20"/>
                <w:szCs w:val="20"/>
                <w:lang w:bidi="ar"/>
              </w:rPr>
              <w:t>三、本年度办理结果</w:t>
            </w:r>
          </w:p>
        </w:tc>
        <w:tc>
          <w:tcPr>
            <w:tcW w:w="4365" w:type="dxa"/>
            <w:gridSpan w:val="2"/>
            <w:tcBorders>
              <w:top w:val="nil"/>
              <w:left w:val="nil"/>
              <w:bottom w:val="single" w:color="auto" w:sz="8" w:space="0"/>
              <w:right w:val="single" w:color="auto" w:sz="8" w:space="0"/>
            </w:tcBorders>
            <w:shd w:val="clear" w:color="auto" w:fill="DDEBF7"/>
            <w:noWrap w:val="0"/>
            <w:tcMar>
              <w:left w:w="57" w:type="dxa"/>
              <w:right w:w="57" w:type="dxa"/>
            </w:tcMar>
            <w:vAlign w:val="center"/>
          </w:tcPr>
          <w:p>
            <w:pPr>
              <w:widowControl/>
              <w:jc w:val="left"/>
            </w:pPr>
            <w:r>
              <w:rPr>
                <w:rFonts w:hint="eastAsia" w:ascii="宋体" w:hAnsi="宋体" w:cs="宋体"/>
                <w:kern w:val="0"/>
                <w:sz w:val="20"/>
                <w:szCs w:val="20"/>
                <w:lang w:bidi="ar"/>
              </w:rPr>
              <w:t>（一）予以公开</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val="en-US" w:eastAsia="zh-CN"/>
              </w:rPr>
            </w:pPr>
            <w:r>
              <w:rPr>
                <w:rFonts w:cs="Calibri"/>
                <w:kern w:val="0"/>
                <w:sz w:val="20"/>
                <w:szCs w:val="20"/>
                <w:lang w:bidi="ar"/>
              </w:rPr>
              <w:t> </w:t>
            </w:r>
            <w:r>
              <w:rPr>
                <w:rFonts w:hint="eastAsia" w:cs="Calibri"/>
                <w:kern w:val="0"/>
                <w:sz w:val="20"/>
                <w:szCs w:val="20"/>
                <w:lang w:val="en-US" w:eastAsia="zh-CN" w:bidi="ar"/>
              </w:rPr>
              <w:t>1</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714" w:type="dxa"/>
            <w:tcBorders>
              <w:top w:val="single" w:color="auto" w:sz="8" w:space="0"/>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val="en-US" w:eastAsia="zh-CN"/>
              </w:rPr>
            </w:pPr>
            <w:r>
              <w:rPr>
                <w:rFonts w:hint="eastAsia" w:cs="Calibri"/>
                <w:kern w:val="0"/>
                <w:sz w:val="20"/>
                <w:szCs w:val="20"/>
                <w:lang w:val="en-US" w:eastAsia="zh-CN" w:bidi="ar"/>
              </w:rPr>
              <w:t>1</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4365" w:type="dxa"/>
            <w:gridSpan w:val="2"/>
            <w:tcBorders>
              <w:top w:val="nil"/>
              <w:left w:val="nil"/>
              <w:bottom w:val="single" w:color="auto" w:sz="8" w:space="0"/>
              <w:right w:val="single" w:color="auto" w:sz="8" w:space="0"/>
            </w:tcBorders>
            <w:shd w:val="clear" w:color="auto" w:fill="DDEBF7"/>
            <w:noWrap w:val="0"/>
            <w:tcMar>
              <w:left w:w="57" w:type="dxa"/>
              <w:right w:w="57" w:type="dxa"/>
            </w:tcMar>
            <w:vAlign w:val="center"/>
          </w:tcPr>
          <w:p>
            <w:pPr>
              <w:widowControl/>
              <w:jc w:val="left"/>
            </w:pPr>
            <w:r>
              <w:rPr>
                <w:rFonts w:hint="eastAsia" w:ascii="宋体" w:hAnsi="宋体" w:cs="宋体"/>
                <w:kern w:val="0"/>
                <w:sz w:val="20"/>
                <w:szCs w:val="20"/>
                <w:lang w:bidi="ar"/>
              </w:rPr>
              <w:t>（二）部分公开</w:t>
            </w:r>
            <w:r>
              <w:rPr>
                <w:rFonts w:hint="eastAsia" w:ascii="楷体" w:hAnsi="楷体" w:eastAsia="楷体" w:cs="楷体"/>
                <w:kern w:val="0"/>
                <w:sz w:val="20"/>
                <w:szCs w:val="20"/>
                <w:lang w:bidi="ar"/>
              </w:rPr>
              <w:t>（区分处理的，只计这一情形，不计其他情形）</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val="en-US" w:eastAsia="zh-CN"/>
              </w:rPr>
            </w:pPr>
            <w:r>
              <w:rPr>
                <w:rFonts w:cs="Calibri"/>
                <w:kern w:val="0"/>
                <w:sz w:val="20"/>
                <w:szCs w:val="20"/>
                <w:lang w:bidi="ar"/>
              </w:rPr>
              <w:t> </w:t>
            </w:r>
            <w:r>
              <w:rPr>
                <w:rFonts w:hint="eastAsia"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59" w:type="dxa"/>
            <w:vMerge w:val="restart"/>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widowControl/>
              <w:jc w:val="left"/>
            </w:pPr>
            <w:r>
              <w:rPr>
                <w:rFonts w:hint="eastAsia" w:ascii="宋体" w:hAnsi="宋体" w:cs="宋体"/>
                <w:kern w:val="0"/>
                <w:sz w:val="20"/>
                <w:szCs w:val="20"/>
                <w:lang w:bidi="ar"/>
              </w:rPr>
              <w:t>（三）不予公开</w:t>
            </w:r>
          </w:p>
        </w:tc>
        <w:tc>
          <w:tcPr>
            <w:tcW w:w="3406"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1.属于国家秘密</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714" w:type="dxa"/>
            <w:tcBorders>
              <w:top w:val="single" w:color="auto" w:sz="8" w:space="0"/>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val="en-US" w:eastAsia="zh-CN"/>
              </w:rPr>
            </w:pPr>
            <w:r>
              <w:rPr>
                <w:rFonts w:cs="Calibri"/>
                <w:kern w:val="0"/>
                <w:sz w:val="20"/>
                <w:szCs w:val="20"/>
                <w:lang w:bidi="ar"/>
              </w:rPr>
              <w:t> </w:t>
            </w:r>
            <w:r>
              <w:rPr>
                <w:rFonts w:hint="eastAsia"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59"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406"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2.其他法律行政法规禁止公开</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0</w:t>
            </w:r>
            <w:r>
              <w:rPr>
                <w:rFonts w:cs="Calibri"/>
                <w:kern w:val="0"/>
                <w:sz w:val="20"/>
                <w:szCs w:val="20"/>
                <w:lang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59"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406"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3.危及“三安全一稳定”</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0</w:t>
            </w:r>
            <w:r>
              <w:rPr>
                <w:rFonts w:cs="Calibri"/>
                <w:kern w:val="0"/>
                <w:sz w:val="20"/>
                <w:szCs w:val="20"/>
                <w:lang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59"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406"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4.保护第三方合法权益</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val="en-US" w:eastAsia="zh-CN"/>
              </w:rPr>
            </w:pPr>
            <w:r>
              <w:rPr>
                <w:rFonts w:cs="Calibri"/>
                <w:kern w:val="0"/>
                <w:sz w:val="20"/>
                <w:szCs w:val="20"/>
                <w:lang w:bidi="ar"/>
              </w:rPr>
              <w:t> </w:t>
            </w:r>
            <w:r>
              <w:rPr>
                <w:rFonts w:hint="eastAsia"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59"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406"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5.属于三类内部事务信息</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0</w:t>
            </w:r>
            <w:r>
              <w:rPr>
                <w:rFonts w:cs="Calibri"/>
                <w:kern w:val="0"/>
                <w:sz w:val="20"/>
                <w:szCs w:val="20"/>
                <w:lang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59"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406"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6.属于四类过程性信息</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default" w:eastAsia="宋体"/>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val="en-US" w:eastAsia="zh-CN"/>
              </w:rPr>
            </w:pPr>
            <w:r>
              <w:rPr>
                <w:rFonts w:cs="Calibri"/>
                <w:kern w:val="0"/>
                <w:sz w:val="20"/>
                <w:szCs w:val="20"/>
                <w:lang w:bidi="ar"/>
              </w:rPr>
              <w:t> </w:t>
            </w:r>
            <w:r>
              <w:rPr>
                <w:rFonts w:hint="eastAsia"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59"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406"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7.属于行政执法案卷</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val="en-US" w:eastAsia="zh-CN"/>
              </w:rPr>
            </w:pPr>
            <w:r>
              <w:rPr>
                <w:rFonts w:cs="Calibri"/>
                <w:kern w:val="0"/>
                <w:sz w:val="20"/>
                <w:szCs w:val="20"/>
                <w:lang w:bidi="ar"/>
              </w:rPr>
              <w:t> </w:t>
            </w:r>
            <w:r>
              <w:rPr>
                <w:rFonts w:hint="eastAsia"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59"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406"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8.属于行政查询事项</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val="en-US" w:eastAsia="zh-C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val="en-US" w:eastAsia="zh-C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val="en-US" w:eastAsia="zh-C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val="en-US" w:eastAsia="zh-C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59" w:type="dxa"/>
            <w:vMerge w:val="restart"/>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widowControl/>
              <w:jc w:val="left"/>
            </w:pPr>
            <w:r>
              <w:rPr>
                <w:rFonts w:hint="eastAsia" w:ascii="宋体" w:hAnsi="宋体" w:cs="宋体"/>
                <w:kern w:val="0"/>
                <w:sz w:val="20"/>
                <w:szCs w:val="20"/>
                <w:lang w:bidi="ar"/>
              </w:rPr>
              <w:t>（四）无法提供</w:t>
            </w:r>
          </w:p>
        </w:tc>
        <w:tc>
          <w:tcPr>
            <w:tcW w:w="3406"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1.本机关不掌握相关政府信息</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val="en-US" w:eastAsia="zh-C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val="en-US" w:eastAsia="zh-C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val="en-US" w:eastAsia="zh-C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val="en-US" w:eastAsia="zh-C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val="en-US" w:eastAsia="zh-C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val="en-US" w:eastAsia="zh-CN"/>
              </w:rPr>
            </w:pPr>
            <w:r>
              <w:rPr>
                <w:rFonts w:hint="eastAsia"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59"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406"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2.没有现成信息需要另行制作</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val="en-US" w:eastAsia="zh-C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val="en-US" w:eastAsia="zh-C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val="en-US" w:eastAsia="zh-C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59"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406"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3.补正后申请内容仍不明确</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val="en-US" w:eastAsia="zh-C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val="en-US" w:eastAsia="zh-C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val="en-US" w:eastAsia="zh-C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59" w:type="dxa"/>
            <w:vMerge w:val="restart"/>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widowControl/>
              <w:jc w:val="left"/>
            </w:pPr>
            <w:r>
              <w:rPr>
                <w:rFonts w:hint="eastAsia" w:ascii="宋体" w:hAnsi="宋体" w:cs="宋体"/>
                <w:kern w:val="0"/>
                <w:sz w:val="20"/>
                <w:szCs w:val="20"/>
                <w:lang w:bidi="ar"/>
              </w:rPr>
              <w:t>（五）不予处理</w:t>
            </w:r>
          </w:p>
        </w:tc>
        <w:tc>
          <w:tcPr>
            <w:tcW w:w="3406"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1.信访举报投诉类申请</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val="en-US" w:eastAsia="zh-C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val="en-US" w:eastAsia="zh-C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val="en-US" w:eastAsia="zh-C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59"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406"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2.重复申请</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val="en-US" w:eastAsia="zh-C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val="en-US" w:eastAsia="zh-C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val="en-US" w:eastAsia="zh-C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59"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406"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3.要求提供公开出版物</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val="en-US" w:eastAsia="zh-C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val="en-US" w:eastAsia="zh-C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59"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406"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4.无正当理由大量反复申请</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val="en-US" w:eastAsia="zh-C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val="en-US" w:eastAsia="zh-C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val="en-US" w:eastAsia="zh-C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779" w:hRule="atLeast"/>
          <w:jc w:val="center"/>
        </w:trPr>
        <w:tc>
          <w:tcPr>
            <w:tcW w:w="785"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59"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406" w:type="dxa"/>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widowControl/>
            </w:pPr>
            <w:r>
              <w:rPr>
                <w:rFonts w:hint="eastAsia" w:ascii="宋体" w:hAnsi="宋体" w:cs="宋体"/>
                <w:kern w:val="0"/>
                <w:sz w:val="20"/>
                <w:szCs w:val="20"/>
                <w:lang w:bidi="ar"/>
              </w:rPr>
              <w:t>5.要求行政机关确认或重新出具已获取信息</w:t>
            </w:r>
          </w:p>
        </w:tc>
        <w:tc>
          <w:tcPr>
            <w:tcW w:w="714" w:type="dxa"/>
            <w:tcBorders>
              <w:top w:val="single" w:color="auto" w:sz="0" w:space="0"/>
              <w:left w:val="single" w:color="auto" w:sz="0" w:space="0"/>
              <w:bottom w:val="inset" w:color="auto" w:sz="8" w:space="0"/>
              <w:right w:val="single" w:color="auto" w:sz="8" w:space="0"/>
            </w:tcBorders>
            <w:noWrap w:val="0"/>
            <w:tcMar>
              <w:left w:w="57" w:type="dxa"/>
              <w:right w:w="57" w:type="dxa"/>
            </w:tcMar>
            <w:vAlign w:val="top"/>
          </w:tcPr>
          <w:p>
            <w:pPr>
              <w:widowControl/>
              <w:jc w:val="center"/>
              <w:rPr>
                <w:rFonts w:hint="eastAsia" w:eastAsia="宋体"/>
                <w:lang w:val="en-US" w:eastAsia="zh-CN"/>
              </w:rPr>
            </w:pPr>
            <w:r>
              <w:rPr>
                <w:rFonts w:hint="eastAsia" w:cs="Calibri"/>
                <w:kern w:val="0"/>
                <w:sz w:val="20"/>
                <w:szCs w:val="20"/>
                <w:lang w:val="en-US" w:eastAsia="zh-CN" w:bidi="ar"/>
              </w:rPr>
              <w:t>0</w:t>
            </w:r>
          </w:p>
        </w:tc>
        <w:tc>
          <w:tcPr>
            <w:tcW w:w="714" w:type="dxa"/>
            <w:tcBorders>
              <w:top w:val="single" w:color="auto" w:sz="0" w:space="0"/>
              <w:left w:val="single" w:color="auto" w:sz="0" w:space="0"/>
              <w:bottom w:val="inset"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0</w:t>
            </w:r>
          </w:p>
        </w:tc>
        <w:tc>
          <w:tcPr>
            <w:tcW w:w="714" w:type="dxa"/>
            <w:tcBorders>
              <w:top w:val="single" w:color="auto" w:sz="0" w:space="0"/>
              <w:left w:val="single" w:color="auto" w:sz="0" w:space="0"/>
              <w:bottom w:val="inset" w:color="auto" w:sz="8" w:space="0"/>
              <w:right w:val="single" w:color="auto" w:sz="8" w:space="0"/>
            </w:tcBorders>
            <w:noWrap w:val="0"/>
            <w:tcMar>
              <w:left w:w="57" w:type="dxa"/>
              <w:right w:w="57" w:type="dxa"/>
            </w:tcMar>
            <w:vAlign w:val="top"/>
          </w:tcPr>
          <w:p>
            <w:pPr>
              <w:widowControl/>
              <w:jc w:val="center"/>
              <w:rPr>
                <w:rFonts w:hint="eastAsia" w:eastAsia="宋体"/>
                <w:lang w:val="en-US" w:eastAsia="zh-CN"/>
              </w:rPr>
            </w:pPr>
            <w:r>
              <w:rPr>
                <w:rFonts w:hint="eastAsia" w:cs="Calibri"/>
                <w:kern w:val="0"/>
                <w:sz w:val="20"/>
                <w:szCs w:val="20"/>
                <w:lang w:val="en-US" w:eastAsia="zh-CN" w:bidi="ar"/>
              </w:rPr>
              <w:t>0</w:t>
            </w:r>
          </w:p>
        </w:tc>
        <w:tc>
          <w:tcPr>
            <w:tcW w:w="714" w:type="dxa"/>
            <w:tcBorders>
              <w:top w:val="single" w:color="auto" w:sz="0" w:space="0"/>
              <w:left w:val="single" w:color="auto" w:sz="0" w:space="0"/>
              <w:bottom w:val="inset" w:color="auto" w:sz="8" w:space="0"/>
              <w:right w:val="single" w:color="auto" w:sz="8" w:space="0"/>
            </w:tcBorders>
            <w:noWrap w:val="0"/>
            <w:tcMar>
              <w:left w:w="57" w:type="dxa"/>
              <w:right w:w="57" w:type="dxa"/>
            </w:tcMar>
            <w:vAlign w:val="top"/>
          </w:tcPr>
          <w:p>
            <w:pPr>
              <w:widowControl/>
              <w:jc w:val="center"/>
              <w:rPr>
                <w:rFonts w:hint="eastAsia" w:eastAsia="宋体"/>
                <w:lang w:val="en-US" w:eastAsia="zh-CN"/>
              </w:rPr>
            </w:pPr>
            <w:r>
              <w:rPr>
                <w:rFonts w:hint="eastAsia" w:cs="Calibri"/>
                <w:kern w:val="0"/>
                <w:sz w:val="20"/>
                <w:szCs w:val="20"/>
                <w:lang w:val="en-US" w:eastAsia="zh-CN" w:bidi="ar"/>
              </w:rPr>
              <w:t>0</w:t>
            </w:r>
          </w:p>
        </w:tc>
        <w:tc>
          <w:tcPr>
            <w:tcW w:w="714" w:type="dxa"/>
            <w:tcBorders>
              <w:top w:val="single" w:color="auto" w:sz="0" w:space="0"/>
              <w:left w:val="single" w:color="auto" w:sz="0" w:space="0"/>
              <w:bottom w:val="inset" w:color="auto" w:sz="8" w:space="0"/>
              <w:right w:val="single" w:color="auto" w:sz="8" w:space="0"/>
            </w:tcBorders>
            <w:noWrap w:val="0"/>
            <w:tcMar>
              <w:left w:w="57" w:type="dxa"/>
              <w:right w:w="57" w:type="dxa"/>
            </w:tcMar>
            <w:vAlign w:val="top"/>
          </w:tcPr>
          <w:p>
            <w:pPr>
              <w:widowControl/>
              <w:jc w:val="center"/>
              <w:rPr>
                <w:rFonts w:hint="eastAsia" w:eastAsia="宋体"/>
                <w:lang w:val="en-US" w:eastAsia="zh-CN"/>
              </w:rPr>
            </w:pPr>
            <w:r>
              <w:rPr>
                <w:rFonts w:hint="eastAsia" w:cs="Calibri"/>
                <w:kern w:val="0"/>
                <w:sz w:val="20"/>
                <w:szCs w:val="20"/>
                <w:lang w:val="en-US" w:eastAsia="zh-CN" w:bidi="ar"/>
              </w:rPr>
              <w:t>0</w:t>
            </w:r>
          </w:p>
        </w:tc>
        <w:tc>
          <w:tcPr>
            <w:tcW w:w="714" w:type="dxa"/>
            <w:tcBorders>
              <w:top w:val="single" w:color="auto" w:sz="0" w:space="0"/>
              <w:left w:val="single" w:color="auto" w:sz="0" w:space="0"/>
              <w:bottom w:val="inset"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0</w:t>
            </w:r>
          </w:p>
        </w:tc>
        <w:tc>
          <w:tcPr>
            <w:tcW w:w="714" w:type="dxa"/>
            <w:tcBorders>
              <w:top w:val="single" w:color="auto" w:sz="0" w:space="0"/>
              <w:left w:val="single" w:color="auto" w:sz="0" w:space="0"/>
              <w:bottom w:val="inset"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59" w:type="dxa"/>
            <w:vMerge w:val="restart"/>
            <w:tcBorders>
              <w:top w:val="inset" w:color="auto" w:sz="8"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widowControl/>
              <w:jc w:val="left"/>
            </w:pPr>
            <w:r>
              <w:rPr>
                <w:rFonts w:hint="eastAsia" w:ascii="宋体" w:hAnsi="宋体" w:cs="宋体"/>
                <w:kern w:val="0"/>
                <w:sz w:val="20"/>
                <w:szCs w:val="20"/>
                <w:lang w:bidi="ar"/>
              </w:rPr>
              <w:t>（六）其他处理</w:t>
            </w:r>
          </w:p>
        </w:tc>
        <w:tc>
          <w:tcPr>
            <w:tcW w:w="3406" w:type="dxa"/>
            <w:tcBorders>
              <w:top w:val="nil"/>
              <w:left w:val="nil"/>
              <w:bottom w:val="single" w:color="auto" w:sz="8" w:space="0"/>
              <w:right w:val="single" w:color="auto" w:sz="8" w:space="0"/>
            </w:tcBorders>
            <w:shd w:val="clear" w:color="auto" w:fill="DDEBF7"/>
            <w:noWrap w:val="0"/>
            <w:tcMar>
              <w:left w:w="57" w:type="dxa"/>
              <w:right w:w="57" w:type="dxa"/>
            </w:tcMar>
            <w:vAlign w:val="center"/>
          </w:tcPr>
          <w:p>
            <w:pPr>
              <w:widowControl/>
            </w:pPr>
            <w:r>
              <w:rPr>
                <w:rFonts w:hint="eastAsia" w:ascii="宋体" w:hAnsi="宋体" w:cs="宋体"/>
                <w:kern w:val="0"/>
                <w:sz w:val="20"/>
                <w:szCs w:val="20"/>
                <w:lang w:bidi="ar"/>
              </w:rPr>
              <w:t>1.申请人无正当理由逾期不补正、行政机关不再处理其政府信息公开申请</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val="en-US" w:eastAsia="zh-C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val="en-US" w:eastAsia="zh-C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val="en-US" w:eastAsia="zh-C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val="en-US" w:eastAsia="zh-C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val="en-US" w:eastAsia="zh-CN"/>
              </w:rPr>
            </w:pPr>
            <w:r>
              <w:rPr>
                <w:rFonts w:hint="eastAsia"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59" w:type="dxa"/>
            <w:vMerge w:val="continue"/>
            <w:tcBorders>
              <w:top w:val="inset" w:color="auto" w:sz="8"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406" w:type="dxa"/>
            <w:tcBorders>
              <w:top w:val="nil"/>
              <w:left w:val="nil"/>
              <w:bottom w:val="single" w:color="auto" w:sz="8" w:space="0"/>
              <w:right w:val="single" w:color="auto" w:sz="8" w:space="0"/>
            </w:tcBorders>
            <w:shd w:val="clear" w:color="auto" w:fill="DDEBF7"/>
            <w:noWrap w:val="0"/>
            <w:tcMar>
              <w:left w:w="57" w:type="dxa"/>
              <w:right w:w="57" w:type="dxa"/>
            </w:tcMar>
            <w:vAlign w:val="center"/>
          </w:tcPr>
          <w:p>
            <w:pPr>
              <w:widowControl/>
            </w:pPr>
            <w:r>
              <w:rPr>
                <w:rFonts w:hint="eastAsia" w:ascii="宋体" w:hAnsi="宋体" w:cs="宋体"/>
                <w:kern w:val="0"/>
                <w:sz w:val="20"/>
                <w:szCs w:val="20"/>
                <w:lang w:bidi="ar"/>
              </w:rPr>
              <w:t>2.申请人逾期未按收费通知要求缴纳费用、行政机关不再处理其政府信息公开申请</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val="en-US" w:eastAsia="zh-C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val="en-US" w:eastAsia="zh-C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val="en-US" w:eastAsia="zh-C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val="en-US" w:eastAsia="zh-C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59" w:type="dxa"/>
            <w:vMerge w:val="continue"/>
            <w:tcBorders>
              <w:top w:val="inset" w:color="auto" w:sz="8"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406" w:type="dxa"/>
            <w:tcBorders>
              <w:top w:val="nil"/>
              <w:left w:val="nil"/>
              <w:bottom w:val="single" w:color="auto" w:sz="8" w:space="0"/>
              <w:right w:val="single" w:color="auto" w:sz="8" w:space="0"/>
            </w:tcBorders>
            <w:shd w:val="clear" w:color="auto" w:fill="DDEBF7"/>
            <w:noWrap w:val="0"/>
            <w:tcMar>
              <w:left w:w="57" w:type="dxa"/>
              <w:right w:w="57" w:type="dxa"/>
            </w:tcMar>
            <w:vAlign w:val="center"/>
          </w:tcPr>
          <w:p>
            <w:pPr>
              <w:widowControl/>
              <w:jc w:val="left"/>
            </w:pPr>
            <w:r>
              <w:rPr>
                <w:rFonts w:hint="eastAsia" w:ascii="宋体" w:hAnsi="宋体" w:cs="宋体"/>
                <w:kern w:val="0"/>
                <w:sz w:val="20"/>
                <w:szCs w:val="20"/>
                <w:lang w:bidi="ar"/>
              </w:rPr>
              <w:t>3.其他</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val="en-US" w:eastAsia="zh-C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val="en-US" w:eastAsia="zh-C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val="en-US" w:eastAsia="zh-C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4365" w:type="dxa"/>
            <w:gridSpan w:val="2"/>
            <w:tcBorders>
              <w:top w:val="nil"/>
              <w:left w:val="nil"/>
              <w:bottom w:val="single" w:color="auto" w:sz="8" w:space="0"/>
              <w:right w:val="single" w:color="auto" w:sz="8" w:space="0"/>
            </w:tcBorders>
            <w:shd w:val="clear" w:color="auto" w:fill="DDEBF7"/>
            <w:noWrap w:val="0"/>
            <w:tcMar>
              <w:left w:w="57" w:type="dxa"/>
              <w:right w:w="57" w:type="dxa"/>
            </w:tcMar>
            <w:vAlign w:val="center"/>
          </w:tcPr>
          <w:p>
            <w:pPr>
              <w:widowControl/>
              <w:jc w:val="left"/>
            </w:pPr>
            <w:r>
              <w:rPr>
                <w:rFonts w:hint="eastAsia" w:ascii="宋体" w:hAnsi="宋体" w:cs="宋体"/>
                <w:kern w:val="0"/>
                <w:sz w:val="20"/>
                <w:szCs w:val="20"/>
                <w:lang w:bidi="ar"/>
              </w:rPr>
              <w:t>（七）总计</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val="en-US" w:eastAsia="zh-CN"/>
              </w:rPr>
            </w:pPr>
            <w:r>
              <w:rPr>
                <w:rFonts w:hint="eastAsia" w:cs="Calibri"/>
                <w:kern w:val="0"/>
                <w:sz w:val="20"/>
                <w:szCs w:val="20"/>
                <w:lang w:val="en-US" w:eastAsia="zh-CN" w:bidi="ar"/>
              </w:rPr>
              <w:t>1</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val="en-US" w:eastAsia="zh-C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val="en-US" w:eastAsia="zh-C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1</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5150" w:type="dxa"/>
            <w:gridSpan w:val="3"/>
            <w:tcBorders>
              <w:top w:val="single" w:color="auto" w:sz="0" w:space="0"/>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left"/>
            </w:pPr>
            <w:r>
              <w:rPr>
                <w:rFonts w:hint="eastAsia" w:ascii="宋体" w:hAnsi="宋体" w:cs="宋体"/>
                <w:kern w:val="0"/>
                <w:sz w:val="20"/>
                <w:szCs w:val="20"/>
                <w:lang w:bidi="ar"/>
              </w:rPr>
              <w:t>四、结转下年度继续办理</w:t>
            </w:r>
          </w:p>
        </w:tc>
        <w:tc>
          <w:tcPr>
            <w:tcW w:w="0" w:type="auto"/>
            <w:tcBorders>
              <w:top w:val="inset" w:color="auto" w:sz="6" w:space="0"/>
              <w:left w:val="single" w:color="auto" w:sz="0" w:space="0"/>
              <w:bottom w:val="inset" w:color="auto" w:sz="6" w:space="0"/>
              <w:right w:val="inset" w:color="auto" w:sz="6" w:space="0"/>
            </w:tcBorders>
            <w:noWrap w:val="0"/>
            <w:vAlign w:val="center"/>
          </w:tcPr>
          <w:p>
            <w:pPr>
              <w:jc w:val="right"/>
              <w:rPr>
                <w:rFonts w:hint="eastAsia" w:ascii="宋体" w:hAnsi="Times New Roman" w:eastAsia="宋体" w:cs="宋体"/>
                <w:sz w:val="24"/>
                <w:lang w:val="en-US" w:eastAsia="zh-CN"/>
              </w:rPr>
            </w:pPr>
            <w:r>
              <w:rPr>
                <w:rFonts w:hint="eastAsia" w:ascii="宋体" w:cs="宋体"/>
                <w:sz w:val="24"/>
                <w:lang w:val="en-US" w:eastAsia="zh-CN"/>
              </w:rPr>
              <w:t>0</w:t>
            </w:r>
          </w:p>
        </w:tc>
        <w:tc>
          <w:tcPr>
            <w:tcW w:w="0" w:type="auto"/>
            <w:tcBorders>
              <w:top w:val="inset" w:color="auto" w:sz="6" w:space="0"/>
              <w:left w:val="single" w:color="auto" w:sz="0" w:space="0"/>
              <w:bottom w:val="inset" w:color="auto" w:sz="6" w:space="0"/>
              <w:right w:val="inset" w:color="auto" w:sz="6" w:space="0"/>
            </w:tcBorders>
            <w:noWrap w:val="0"/>
            <w:vAlign w:val="center"/>
          </w:tcPr>
          <w:p>
            <w:pPr>
              <w:jc w:val="right"/>
              <w:rPr>
                <w:rFonts w:hint="eastAsia" w:ascii="宋体" w:hAnsi="Times New Roman" w:eastAsia="宋体" w:cs="宋体"/>
                <w:sz w:val="24"/>
                <w:lang w:val="en-US" w:eastAsia="zh-CN"/>
              </w:rPr>
            </w:pPr>
            <w:r>
              <w:rPr>
                <w:rFonts w:hint="eastAsia" w:ascii="宋体" w:cs="宋体"/>
                <w:sz w:val="24"/>
                <w:lang w:val="en-US" w:eastAsia="zh-CN"/>
              </w:rPr>
              <w:t>0</w:t>
            </w:r>
          </w:p>
        </w:tc>
        <w:tc>
          <w:tcPr>
            <w:tcW w:w="0" w:type="auto"/>
            <w:tcBorders>
              <w:top w:val="inset" w:color="auto" w:sz="6" w:space="0"/>
              <w:left w:val="single" w:color="auto" w:sz="0" w:space="0"/>
              <w:bottom w:val="inset" w:color="auto" w:sz="6" w:space="0"/>
              <w:right w:val="inset" w:color="auto" w:sz="6" w:space="0"/>
            </w:tcBorders>
            <w:noWrap w:val="0"/>
            <w:vAlign w:val="center"/>
          </w:tcPr>
          <w:p>
            <w:pPr>
              <w:jc w:val="right"/>
              <w:rPr>
                <w:rFonts w:hint="eastAsia" w:ascii="宋体" w:hAnsi="Times New Roman" w:eastAsia="宋体" w:cs="宋体"/>
                <w:sz w:val="24"/>
                <w:lang w:val="en-US" w:eastAsia="zh-CN"/>
              </w:rPr>
            </w:pPr>
            <w:r>
              <w:rPr>
                <w:rFonts w:hint="eastAsia" w:ascii="宋体" w:cs="宋体"/>
                <w:sz w:val="24"/>
                <w:lang w:val="en-US" w:eastAsia="zh-CN"/>
              </w:rPr>
              <w:t>0</w:t>
            </w:r>
          </w:p>
        </w:tc>
        <w:tc>
          <w:tcPr>
            <w:tcW w:w="0" w:type="auto"/>
            <w:tcBorders>
              <w:top w:val="inset" w:color="auto" w:sz="6" w:space="0"/>
              <w:left w:val="single" w:color="auto" w:sz="0" w:space="0"/>
              <w:bottom w:val="inset" w:color="auto" w:sz="6" w:space="0"/>
              <w:right w:val="inset" w:color="auto" w:sz="6" w:space="0"/>
            </w:tcBorders>
            <w:noWrap w:val="0"/>
            <w:vAlign w:val="center"/>
          </w:tcPr>
          <w:p>
            <w:pPr>
              <w:jc w:val="right"/>
              <w:rPr>
                <w:rFonts w:hint="eastAsia" w:ascii="宋体" w:hAnsi="Times New Roman" w:eastAsia="宋体" w:cs="宋体"/>
                <w:sz w:val="24"/>
                <w:lang w:val="en-US" w:eastAsia="zh-CN"/>
              </w:rPr>
            </w:pPr>
            <w:r>
              <w:rPr>
                <w:rFonts w:hint="eastAsia" w:ascii="宋体" w:cs="宋体"/>
                <w:sz w:val="24"/>
                <w:lang w:val="en-US" w:eastAsia="zh-CN"/>
              </w:rPr>
              <w:t>0</w:t>
            </w:r>
          </w:p>
        </w:tc>
        <w:tc>
          <w:tcPr>
            <w:tcW w:w="0" w:type="auto"/>
            <w:tcBorders>
              <w:top w:val="inset" w:color="auto" w:sz="6" w:space="0"/>
              <w:left w:val="single" w:color="auto" w:sz="0" w:space="0"/>
              <w:bottom w:val="inset" w:color="auto" w:sz="6" w:space="0"/>
              <w:right w:val="inset" w:color="auto" w:sz="6" w:space="0"/>
            </w:tcBorders>
            <w:noWrap w:val="0"/>
            <w:vAlign w:val="center"/>
          </w:tcPr>
          <w:p>
            <w:pPr>
              <w:jc w:val="right"/>
              <w:rPr>
                <w:rFonts w:hint="eastAsia" w:ascii="宋体" w:hAnsi="Times New Roman" w:eastAsia="宋体" w:cs="宋体"/>
                <w:sz w:val="24"/>
                <w:lang w:val="en-US" w:eastAsia="zh-CN"/>
              </w:rPr>
            </w:pPr>
            <w:r>
              <w:rPr>
                <w:rFonts w:hint="eastAsia" w:ascii="宋体" w:cs="宋体"/>
                <w:sz w:val="24"/>
                <w:lang w:val="en-US" w:eastAsia="zh-CN"/>
              </w:rPr>
              <w:t>0</w:t>
            </w:r>
          </w:p>
        </w:tc>
        <w:tc>
          <w:tcPr>
            <w:tcW w:w="0" w:type="auto"/>
            <w:tcBorders>
              <w:top w:val="inset" w:color="auto" w:sz="6" w:space="0"/>
              <w:left w:val="single" w:color="auto" w:sz="0" w:space="0"/>
              <w:bottom w:val="inset" w:color="auto" w:sz="6" w:space="0"/>
              <w:right w:val="inset" w:color="auto" w:sz="6" w:space="0"/>
            </w:tcBorders>
            <w:noWrap w:val="0"/>
            <w:vAlign w:val="center"/>
          </w:tcPr>
          <w:p>
            <w:pPr>
              <w:jc w:val="right"/>
              <w:rPr>
                <w:rFonts w:hint="eastAsia" w:ascii="宋体" w:hAnsi="Times New Roman" w:eastAsia="宋体" w:cs="宋体"/>
                <w:sz w:val="24"/>
                <w:lang w:val="en-US" w:eastAsia="zh-CN"/>
              </w:rPr>
            </w:pPr>
            <w:r>
              <w:rPr>
                <w:rFonts w:hint="eastAsia" w:ascii="宋体" w:cs="宋体"/>
                <w:sz w:val="24"/>
                <w:lang w:val="en-US" w:eastAsia="zh-CN"/>
              </w:rPr>
              <w:t>0</w:t>
            </w:r>
          </w:p>
        </w:tc>
        <w:tc>
          <w:tcPr>
            <w:tcW w:w="0" w:type="auto"/>
            <w:tcBorders>
              <w:top w:val="inset" w:color="auto" w:sz="6" w:space="0"/>
              <w:left w:val="single" w:color="auto" w:sz="0" w:space="0"/>
              <w:bottom w:val="inset" w:color="auto" w:sz="6" w:space="0"/>
              <w:right w:val="inset" w:color="auto" w:sz="6" w:space="0"/>
            </w:tcBorders>
            <w:noWrap w:val="0"/>
            <w:vAlign w:val="center"/>
          </w:tcPr>
          <w:p>
            <w:pPr>
              <w:jc w:val="right"/>
              <w:rPr>
                <w:rFonts w:hint="eastAsia" w:ascii="宋体" w:hAnsi="Times New Roman" w:eastAsia="宋体" w:cs="宋体"/>
                <w:sz w:val="24"/>
                <w:lang w:val="en-US" w:eastAsia="zh-CN"/>
              </w:rPr>
            </w:pPr>
            <w:r>
              <w:rPr>
                <w:rFonts w:hint="eastAsia" w:ascii="宋体" w:cs="宋体"/>
                <w:sz w:val="24"/>
                <w:lang w:val="en-US" w:eastAsia="zh-CN"/>
              </w:rPr>
              <w:t>0</w:t>
            </w:r>
          </w:p>
        </w:tc>
      </w:tr>
    </w:tbl>
    <w:p>
      <w:pPr>
        <w:pStyle w:val="2"/>
        <w:widowControl/>
        <w:ind w:left="420" w:leftChars="200"/>
      </w:pPr>
    </w:p>
    <w:p>
      <w:pPr>
        <w:pStyle w:val="2"/>
        <w:widowControl/>
        <w:ind w:left="420" w:leftChars="200"/>
      </w:pPr>
    </w:p>
    <w:p/>
    <w:p>
      <w:pPr>
        <w:pStyle w:val="3"/>
      </w:pPr>
    </w:p>
    <w:p/>
    <w:p>
      <w:pPr>
        <w:spacing w:line="560" w:lineRule="exact"/>
        <w:ind w:firstLine="640" w:firstLineChars="200"/>
        <w:rPr>
          <w:rFonts w:hint="eastAsia" w:ascii="黑体" w:hAnsi="宋体" w:eastAsia="黑体" w:cs="黑体"/>
          <w:sz w:val="32"/>
          <w:szCs w:val="32"/>
        </w:rPr>
      </w:pPr>
      <w:r>
        <w:rPr>
          <w:rFonts w:hint="eastAsia" w:ascii="黑体" w:hAnsi="宋体" w:eastAsia="黑体" w:cs="黑体"/>
          <w:sz w:val="32"/>
          <w:szCs w:val="32"/>
          <w:lang w:bidi="ar"/>
        </w:rPr>
        <w:t>四、政府信息公开行政复议、行政诉讼情况</w:t>
      </w:r>
    </w:p>
    <w:p>
      <w:pPr>
        <w:widowControl/>
        <w:jc w:val="center"/>
      </w:pPr>
    </w:p>
    <w:tbl>
      <w:tblPr>
        <w:tblStyle w:val="4"/>
        <w:tblW w:w="9748"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PrEx>
        <w:trPr>
          <w:trHeight w:val="547" w:hRule="atLeast"/>
          <w:jc w:val="center"/>
        </w:trPr>
        <w:tc>
          <w:tcPr>
            <w:tcW w:w="3210" w:type="dxa"/>
            <w:gridSpan w:val="5"/>
            <w:tcBorders>
              <w:top w:val="single" w:color="auto" w:sz="8" w:space="0"/>
              <w:left w:val="single" w:color="auto" w:sz="8" w:space="0"/>
              <w:bottom w:val="single" w:color="auto" w:sz="8" w:space="0"/>
              <w:right w:val="single" w:color="auto" w:sz="8" w:space="0"/>
            </w:tcBorders>
            <w:shd w:val="clear" w:color="auto" w:fill="BDD7EE"/>
            <w:noWrap w:val="0"/>
            <w:tcMar>
              <w:left w:w="108" w:type="dxa"/>
              <w:right w:w="108" w:type="dxa"/>
            </w:tcMar>
            <w:vAlign w:val="center"/>
          </w:tcPr>
          <w:p>
            <w:pPr>
              <w:widowControl/>
              <w:jc w:val="center"/>
            </w:pPr>
            <w:r>
              <w:rPr>
                <w:rFonts w:hint="eastAsia" w:ascii="宋体" w:hAnsi="宋体" w:cs="宋体"/>
                <w:kern w:val="0"/>
                <w:sz w:val="20"/>
                <w:szCs w:val="20"/>
                <w:lang w:bidi="ar"/>
              </w:rPr>
              <w:t>行政复议</w:t>
            </w:r>
          </w:p>
        </w:tc>
        <w:tc>
          <w:tcPr>
            <w:tcW w:w="6428" w:type="dxa"/>
            <w:gridSpan w:val="10"/>
            <w:tcBorders>
              <w:top w:val="single" w:color="auto" w:sz="8" w:space="0"/>
              <w:left w:val="single" w:color="auto" w:sz="8" w:space="0"/>
              <w:bottom w:val="single" w:color="auto" w:sz="8" w:space="0"/>
              <w:right w:val="single" w:color="auto" w:sz="8" w:space="0"/>
            </w:tcBorders>
            <w:shd w:val="clear" w:color="auto" w:fill="BDD7EE"/>
            <w:noWrap w:val="0"/>
            <w:tcMar>
              <w:left w:w="108" w:type="dxa"/>
              <w:right w:w="108" w:type="dxa"/>
            </w:tcMar>
            <w:vAlign w:val="center"/>
          </w:tcPr>
          <w:p>
            <w:pPr>
              <w:widowControl/>
              <w:jc w:val="center"/>
            </w:pPr>
            <w:r>
              <w:rPr>
                <w:rFonts w:hint="eastAsia" w:ascii="宋体" w:hAnsi="宋体" w:cs="宋体"/>
                <w:kern w:val="0"/>
                <w:sz w:val="20"/>
                <w:szCs w:val="20"/>
                <w:lang w:bidi="ar"/>
              </w:rPr>
              <w:t>行政诉讼</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82" w:hRule="atLeast"/>
          <w:jc w:val="center"/>
        </w:trPr>
        <w:tc>
          <w:tcPr>
            <w:tcW w:w="642" w:type="dxa"/>
            <w:vMerge w:val="restart"/>
            <w:tcBorders>
              <w:top w:val="nil"/>
              <w:left w:val="single" w:color="auto" w:sz="8" w:space="0"/>
              <w:bottom w:val="single" w:color="auto" w:sz="8" w:space="0"/>
              <w:right w:val="single" w:color="auto" w:sz="8" w:space="0"/>
            </w:tcBorders>
            <w:shd w:val="clear" w:color="auto" w:fill="auto"/>
            <w:noWrap w:val="0"/>
            <w:tcMar>
              <w:left w:w="108" w:type="dxa"/>
              <w:right w:w="108" w:type="dxa"/>
            </w:tcMar>
            <w:vAlign w:val="center"/>
          </w:tcPr>
          <w:p>
            <w:pPr>
              <w:widowControl/>
              <w:jc w:val="center"/>
            </w:pPr>
            <w:r>
              <w:rPr>
                <w:rFonts w:hint="eastAsia" w:ascii="宋体" w:hAnsi="宋体" w:cs="宋体"/>
                <w:kern w:val="0"/>
                <w:sz w:val="20"/>
                <w:szCs w:val="20"/>
                <w:lang w:bidi="ar"/>
              </w:rPr>
              <w:t>结果维持</w:t>
            </w:r>
          </w:p>
        </w:tc>
        <w:tc>
          <w:tcPr>
            <w:tcW w:w="642" w:type="dxa"/>
            <w:vMerge w:val="restart"/>
            <w:tcBorders>
              <w:top w:val="nil"/>
              <w:left w:val="single" w:color="auto" w:sz="8" w:space="0"/>
              <w:bottom w:val="single" w:color="auto" w:sz="8" w:space="0"/>
              <w:right w:val="single" w:color="auto" w:sz="8" w:space="0"/>
            </w:tcBorders>
            <w:shd w:val="clear" w:color="auto" w:fill="auto"/>
            <w:noWrap w:val="0"/>
            <w:tcMar>
              <w:left w:w="108" w:type="dxa"/>
              <w:right w:w="108" w:type="dxa"/>
            </w:tcMar>
            <w:vAlign w:val="center"/>
          </w:tcPr>
          <w:p>
            <w:pPr>
              <w:widowControl/>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42" w:type="dxa"/>
            <w:vMerge w:val="restart"/>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pPr>
              <w:widowControl/>
              <w:jc w:val="center"/>
            </w:pPr>
            <w:r>
              <w:rPr>
                <w:rFonts w:hint="eastAsia" w:ascii="宋体" w:hAnsi="宋体" w:cs="宋体"/>
                <w:kern w:val="0"/>
                <w:sz w:val="20"/>
                <w:szCs w:val="20"/>
                <w:lang w:bidi="ar"/>
              </w:rPr>
              <w:t>其他</w:t>
            </w:r>
            <w:r>
              <w:rPr>
                <w:rFonts w:hint="eastAsia" w:ascii="宋体" w:hAnsi="宋体" w:cs="宋体"/>
                <w:kern w:val="0"/>
                <w:sz w:val="20"/>
                <w:szCs w:val="20"/>
                <w:lang w:bidi="ar"/>
              </w:rPr>
              <w:br w:type="textWrapping"/>
            </w:r>
            <w:r>
              <w:rPr>
                <w:rFonts w:hint="eastAsia" w:ascii="宋体" w:hAnsi="宋体" w:cs="宋体"/>
                <w:kern w:val="0"/>
                <w:sz w:val="20"/>
                <w:szCs w:val="20"/>
                <w:lang w:bidi="ar"/>
              </w:rPr>
              <w:t>结果</w:t>
            </w:r>
          </w:p>
        </w:tc>
        <w:tc>
          <w:tcPr>
            <w:tcW w:w="642" w:type="dxa"/>
            <w:vMerge w:val="restart"/>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pPr>
              <w:widowControl/>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42" w:type="dxa"/>
            <w:vMerge w:val="restart"/>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pPr>
              <w:widowControl/>
              <w:jc w:val="center"/>
            </w:pPr>
            <w:r>
              <w:rPr>
                <w:rFonts w:hint="eastAsia" w:ascii="宋体" w:hAnsi="宋体" w:cs="宋体"/>
                <w:kern w:val="0"/>
                <w:sz w:val="20"/>
                <w:szCs w:val="20"/>
                <w:lang w:bidi="ar"/>
              </w:rPr>
              <w:t>总计</w:t>
            </w:r>
          </w:p>
        </w:tc>
        <w:tc>
          <w:tcPr>
            <w:tcW w:w="3213" w:type="dxa"/>
            <w:gridSpan w:val="5"/>
            <w:tcBorders>
              <w:top w:val="single" w:color="auto" w:sz="8" w:space="0"/>
              <w:left w:val="single" w:color="auto" w:sz="8" w:space="0"/>
              <w:bottom w:val="single" w:color="auto" w:sz="8" w:space="0"/>
              <w:right w:val="single" w:color="auto" w:sz="8" w:space="0"/>
            </w:tcBorders>
            <w:shd w:val="clear" w:color="auto" w:fill="DDEBF7"/>
            <w:noWrap w:val="0"/>
            <w:tcMar>
              <w:left w:w="108" w:type="dxa"/>
              <w:right w:w="108" w:type="dxa"/>
            </w:tcMar>
            <w:vAlign w:val="center"/>
          </w:tcPr>
          <w:p>
            <w:pPr>
              <w:widowControl/>
              <w:jc w:val="center"/>
            </w:pPr>
            <w:r>
              <w:rPr>
                <w:rFonts w:hint="eastAsia" w:ascii="宋体" w:hAnsi="宋体" w:cs="宋体"/>
                <w:kern w:val="0"/>
                <w:sz w:val="20"/>
                <w:szCs w:val="20"/>
                <w:lang w:bidi="ar"/>
              </w:rPr>
              <w:t>未经复议直接起诉</w:t>
            </w:r>
          </w:p>
        </w:tc>
        <w:tc>
          <w:tcPr>
            <w:tcW w:w="3215" w:type="dxa"/>
            <w:gridSpan w:val="5"/>
            <w:tcBorders>
              <w:top w:val="single" w:color="auto" w:sz="8" w:space="0"/>
              <w:left w:val="single" w:color="auto" w:sz="8" w:space="0"/>
              <w:bottom w:val="single" w:color="auto" w:sz="8" w:space="0"/>
              <w:right w:val="single" w:color="auto" w:sz="8" w:space="0"/>
            </w:tcBorders>
            <w:shd w:val="clear" w:color="auto" w:fill="DDEBF7"/>
            <w:noWrap w:val="0"/>
            <w:tcMar>
              <w:left w:w="108" w:type="dxa"/>
              <w:right w:w="108" w:type="dxa"/>
            </w:tcMar>
            <w:vAlign w:val="center"/>
          </w:tcPr>
          <w:p>
            <w:pPr>
              <w:widowControl/>
              <w:jc w:val="center"/>
            </w:pPr>
            <w:r>
              <w:rPr>
                <w:rFonts w:hint="eastAsia" w:ascii="宋体" w:hAnsi="宋体" w:cs="宋体"/>
                <w:kern w:val="0"/>
                <w:sz w:val="20"/>
                <w:szCs w:val="20"/>
                <w:lang w:bidi="ar"/>
              </w:rPr>
              <w:t>复议后起诉</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714" w:hRule="atLeast"/>
          <w:jc w:val="center"/>
        </w:trPr>
        <w:tc>
          <w:tcPr>
            <w:tcW w:w="642"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ascii="Times New Roman" w:hAnsi="Times New Roman"/>
                <w:sz w:val="20"/>
                <w:szCs w:val="20"/>
              </w:rPr>
            </w:pPr>
          </w:p>
        </w:tc>
        <w:tc>
          <w:tcPr>
            <w:tcW w:w="642"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ascii="Times New Roman" w:hAnsi="Times New Roman"/>
                <w:sz w:val="20"/>
                <w:szCs w:val="20"/>
              </w:rPr>
            </w:pPr>
          </w:p>
        </w:tc>
        <w:tc>
          <w:tcPr>
            <w:tcW w:w="642"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rPr>
                <w:rFonts w:ascii="Times New Roman" w:hAnsi="Times New Roman"/>
                <w:sz w:val="20"/>
                <w:szCs w:val="20"/>
              </w:rPr>
            </w:pPr>
          </w:p>
        </w:tc>
        <w:tc>
          <w:tcPr>
            <w:tcW w:w="642"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rPr>
                <w:rFonts w:ascii="Times New Roman" w:hAnsi="Times New Roman"/>
                <w:sz w:val="20"/>
                <w:szCs w:val="20"/>
              </w:rPr>
            </w:pPr>
          </w:p>
        </w:tc>
        <w:tc>
          <w:tcPr>
            <w:tcW w:w="642"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rPr>
                <w:rFonts w:ascii="Times New Roman" w:hAnsi="Times New Roman"/>
                <w:sz w:val="20"/>
                <w:szCs w:val="20"/>
              </w:rPr>
            </w:pP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维持</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宋体" w:hAnsi="宋体" w:cs="宋体"/>
                <w:kern w:val="0"/>
                <w:sz w:val="20"/>
                <w:szCs w:val="20"/>
                <w:lang w:bidi="ar"/>
              </w:rPr>
              <w:t>其他</w:t>
            </w:r>
            <w:r>
              <w:rPr>
                <w:rFonts w:hint="eastAsia" w:ascii="宋体" w:hAnsi="宋体" w:cs="宋体"/>
                <w:kern w:val="0"/>
                <w:sz w:val="20"/>
                <w:szCs w:val="20"/>
                <w:lang w:bidi="ar"/>
              </w:rPr>
              <w:br w:type="textWrapping"/>
            </w:r>
            <w:r>
              <w:rPr>
                <w:rFonts w:hint="eastAsia" w:ascii="宋体" w:hAnsi="宋体" w:cs="宋体"/>
                <w:kern w:val="0"/>
                <w:sz w:val="20"/>
                <w:szCs w:val="20"/>
                <w:lang w:bidi="ar"/>
              </w:rPr>
              <w:t>结果</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宋体" w:hAnsi="宋体" w:cs="宋体"/>
                <w:color w:val="000000"/>
                <w:kern w:val="0"/>
                <w:sz w:val="20"/>
                <w:szCs w:val="20"/>
                <w:lang w:bidi="ar"/>
              </w:rPr>
              <w:t>总计</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维持</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宋体" w:hAnsi="宋体" w:cs="宋体"/>
                <w:color w:val="000000"/>
                <w:kern w:val="0"/>
                <w:sz w:val="20"/>
                <w:szCs w:val="20"/>
                <w:lang w:bidi="ar"/>
              </w:rPr>
              <w:t>其他</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结果</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宋体" w:hAnsi="宋体" w:cs="宋体"/>
                <w:color w:val="000000"/>
                <w:kern w:val="0"/>
                <w:sz w:val="20"/>
                <w:szCs w:val="20"/>
                <w:lang w:bidi="ar"/>
              </w:rPr>
              <w:t>总计</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黑体" w:hAnsi="宋体" w:eastAsia="黑体" w:cs="黑体"/>
                <w:kern w:val="0"/>
                <w:sz w:val="20"/>
                <w:szCs w:val="20"/>
                <w:lang w:val="en-US" w:eastAsia="zh-CN" w:bidi="ar"/>
              </w:rPr>
              <w:t>0</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eastAsia" w:eastAsia="黑体"/>
                <w:lang w:val="en-US" w:eastAsia="zh-CN"/>
              </w:rPr>
            </w:pPr>
            <w:r>
              <w:rPr>
                <w:rFonts w:hint="eastAsia" w:ascii="黑体" w:hAnsi="宋体" w:eastAsia="黑体" w:cs="黑体"/>
                <w:kern w:val="0"/>
                <w:sz w:val="20"/>
                <w:szCs w:val="20"/>
                <w:lang w:val="en-US" w:eastAsia="zh-CN" w:bidi="ar"/>
              </w:rPr>
              <w:t>0</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eastAsia" w:eastAsia="黑体"/>
                <w:lang w:val="en-US" w:eastAsia="zh-CN"/>
              </w:rPr>
            </w:pPr>
            <w:r>
              <w:rPr>
                <w:rFonts w:hint="eastAsia" w:ascii="黑体" w:hAnsi="宋体" w:eastAsia="黑体" w:cs="黑体"/>
                <w:kern w:val="0"/>
                <w:sz w:val="20"/>
                <w:szCs w:val="20"/>
                <w:lang w:val="en-US" w:eastAsia="zh-CN" w:bidi="ar"/>
              </w:rPr>
              <w:t>0</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eastAsia" w:eastAsia="黑体"/>
                <w:lang w:val="en-US" w:eastAsia="zh-CN"/>
              </w:rPr>
            </w:pPr>
            <w:r>
              <w:rPr>
                <w:rFonts w:hint="eastAsia" w:ascii="黑体" w:hAnsi="宋体" w:eastAsia="黑体" w:cs="黑体"/>
                <w:kern w:val="0"/>
                <w:sz w:val="20"/>
                <w:szCs w:val="20"/>
                <w:lang w:val="en-US" w:eastAsia="zh-CN" w:bidi="ar"/>
              </w:rPr>
              <w:t>0</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eastAsia" w:eastAsia="黑体"/>
                <w:lang w:val="en-US" w:eastAsia="zh-CN"/>
              </w:rPr>
            </w:pPr>
            <w:r>
              <w:rPr>
                <w:rFonts w:hint="eastAsia" w:ascii="黑体" w:hAnsi="宋体" w:eastAsia="黑体" w:cs="黑体"/>
                <w:kern w:val="0"/>
                <w:sz w:val="20"/>
                <w:szCs w:val="20"/>
                <w:lang w:val="en-US" w:eastAsia="zh-CN" w:bidi="ar"/>
              </w:rPr>
              <w:t>0</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黑体" w:hAnsi="宋体" w:eastAsia="黑体" w:cs="黑体"/>
                <w:kern w:val="0"/>
                <w:sz w:val="20"/>
                <w:szCs w:val="20"/>
                <w:lang w:val="en-US" w:eastAsia="zh-CN" w:bidi="ar"/>
              </w:rPr>
              <w:t>0</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eastAsia" w:eastAsia="黑体"/>
                <w:lang w:val="en-US" w:eastAsia="zh-CN"/>
              </w:rPr>
            </w:pPr>
            <w:r>
              <w:rPr>
                <w:rFonts w:hint="eastAsia" w:ascii="黑体" w:hAnsi="宋体" w:eastAsia="黑体" w:cs="黑体"/>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eastAsia" w:eastAsia="黑体"/>
                <w:lang w:val="en-US" w:eastAsia="zh-CN"/>
              </w:rPr>
            </w:pPr>
            <w:r>
              <w:rPr>
                <w:rFonts w:hint="eastAsia" w:ascii="黑体" w:hAnsi="宋体" w:eastAsia="黑体" w:cs="黑体"/>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eastAsia" w:eastAsia="宋体"/>
                <w:lang w:val="en-US" w:eastAsia="zh-CN"/>
              </w:rPr>
            </w:pPr>
            <w:r>
              <w:rPr>
                <w:rFonts w:hint="eastAsia" w:ascii="黑体" w:hAnsi="宋体" w:eastAsia="黑体" w:cs="黑体"/>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黑体" w:hAnsi="宋体" w:eastAsia="黑体" w:cs="黑体"/>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eastAsia" w:eastAsia="黑体"/>
                <w:lang w:val="en-US" w:eastAsia="zh-CN"/>
              </w:rPr>
            </w:pPr>
            <w:r>
              <w:rPr>
                <w:rFonts w:hint="eastAsia" w:ascii="黑体" w:hAnsi="宋体" w:eastAsia="黑体" w:cs="黑体"/>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eastAsia" w:eastAsia="黑体"/>
                <w:lang w:val="en-US" w:eastAsia="zh-CN"/>
              </w:rPr>
            </w:pPr>
            <w:r>
              <w:rPr>
                <w:rFonts w:hint="eastAsia" w:ascii="黑体" w:hAnsi="宋体" w:eastAsia="黑体" w:cs="黑体"/>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eastAsia" w:eastAsia="黑体"/>
                <w:lang w:val="en-US" w:eastAsia="zh-CN"/>
              </w:rPr>
            </w:pPr>
            <w:r>
              <w:rPr>
                <w:rFonts w:hint="eastAsia" w:ascii="黑体" w:hAnsi="宋体" w:eastAsia="黑体" w:cs="黑体"/>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eastAsia" w:eastAsia="黑体"/>
                <w:lang w:val="en-US" w:eastAsia="zh-CN"/>
              </w:rPr>
            </w:pPr>
            <w:r>
              <w:rPr>
                <w:rFonts w:hint="eastAsia" w:ascii="黑体" w:hAnsi="宋体" w:eastAsia="黑体" w:cs="黑体"/>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jc w:val="center"/>
              <w:rPr>
                <w:rFonts w:hint="eastAsia" w:ascii="宋体" w:hAnsi="Times New Roman" w:eastAsia="宋体" w:cs="宋体"/>
                <w:sz w:val="24"/>
                <w:lang w:val="en-US" w:eastAsia="zh-CN"/>
              </w:rPr>
            </w:pPr>
            <w:r>
              <w:rPr>
                <w:rFonts w:hint="eastAsia" w:ascii="宋体" w:cs="宋体"/>
                <w:sz w:val="24"/>
                <w:lang w:val="en-US" w:eastAsia="zh-CN"/>
              </w:rPr>
              <w:t>0</w:t>
            </w:r>
          </w:p>
        </w:tc>
      </w:tr>
    </w:tbl>
    <w:p>
      <w:pPr>
        <w:widowControl/>
        <w:jc w:val="left"/>
      </w:pPr>
    </w:p>
    <w:p>
      <w:pPr>
        <w:widowControl/>
        <w:spacing w:line="560" w:lineRule="exact"/>
        <w:ind w:firstLine="672" w:firstLineChars="200"/>
        <w:jc w:val="left"/>
        <w:rPr>
          <w:rFonts w:hint="eastAsia" w:ascii="宋体" w:hAnsi="宋体" w:cs="宋体"/>
          <w:spacing w:val="8"/>
          <w:kern w:val="0"/>
          <w:sz w:val="24"/>
        </w:rPr>
      </w:pPr>
      <w:r>
        <w:rPr>
          <w:rFonts w:hint="eastAsia" w:ascii="黑体" w:hAnsi="宋体" w:eastAsia="黑体" w:cs="宋体"/>
          <w:spacing w:val="8"/>
          <w:kern w:val="0"/>
          <w:sz w:val="32"/>
          <w:szCs w:val="32"/>
          <w:lang w:bidi="ar"/>
        </w:rPr>
        <w:t>五、存在的主要问题及改进情况</w:t>
      </w:r>
    </w:p>
    <w:p>
      <w:pPr>
        <w:ind w:firstLine="640" w:firstLineChars="200"/>
        <w:rPr>
          <w:rFonts w:hint="eastAsia" w:ascii="仿宋_GB2312" w:eastAsia="仿宋_GB2312"/>
          <w:sz w:val="32"/>
          <w:szCs w:val="32"/>
        </w:rPr>
      </w:pPr>
      <w:r>
        <w:rPr>
          <w:rFonts w:hint="eastAsia" w:ascii="仿宋" w:hAnsi="仿宋" w:eastAsia="仿宋" w:cs="仿宋"/>
          <w:color w:val="000000"/>
          <w:sz w:val="32"/>
          <w:szCs w:val="32"/>
          <w:shd w:val="clear" w:color="auto" w:fill="FFFFFF"/>
        </w:rPr>
        <w:t>具体表现为</w:t>
      </w:r>
      <w:r>
        <w:rPr>
          <w:rFonts w:hint="eastAsia" w:ascii="仿宋" w:hAnsi="仿宋" w:eastAsia="仿宋" w:cs="仿宋"/>
          <w:kern w:val="0"/>
          <w:sz w:val="32"/>
          <w:szCs w:val="32"/>
        </w:rPr>
        <w:t>招商引资</w:t>
      </w:r>
      <w:r>
        <w:rPr>
          <w:rFonts w:hint="eastAsia" w:ascii="仿宋" w:hAnsi="仿宋" w:eastAsia="仿宋" w:cs="仿宋"/>
          <w:kern w:val="0"/>
          <w:sz w:val="32"/>
          <w:szCs w:val="32"/>
          <w:lang w:eastAsia="zh-CN"/>
        </w:rPr>
        <w:t>信息</w:t>
      </w:r>
      <w:r>
        <w:rPr>
          <w:rFonts w:hint="eastAsia" w:ascii="仿宋" w:hAnsi="仿宋" w:eastAsia="仿宋" w:cs="仿宋"/>
          <w:kern w:val="0"/>
          <w:sz w:val="32"/>
          <w:szCs w:val="32"/>
        </w:rPr>
        <w:t>发布较少</w:t>
      </w:r>
      <w:r>
        <w:rPr>
          <w:rFonts w:hint="eastAsia" w:ascii="仿宋" w:hAnsi="仿宋" w:eastAsia="仿宋" w:cs="仿宋"/>
          <w:color w:val="000000"/>
          <w:sz w:val="32"/>
          <w:szCs w:val="32"/>
          <w:shd w:val="clear" w:color="auto" w:fill="FFFFFF"/>
        </w:rPr>
        <w:t>。园区将在保证信息质量的同时，</w:t>
      </w:r>
      <w:r>
        <w:rPr>
          <w:rFonts w:hint="eastAsia" w:ascii="仿宋" w:hAnsi="仿宋" w:eastAsia="仿宋" w:cs="仿宋"/>
          <w:kern w:val="0"/>
          <w:sz w:val="32"/>
          <w:szCs w:val="32"/>
        </w:rPr>
        <w:t>对信息类别发布做好规划</w:t>
      </w:r>
      <w:r>
        <w:rPr>
          <w:rFonts w:hint="eastAsia" w:ascii="仿宋" w:hAnsi="仿宋" w:eastAsia="仿宋" w:cs="仿宋"/>
          <w:color w:val="000000"/>
          <w:sz w:val="32"/>
          <w:szCs w:val="32"/>
          <w:shd w:val="clear" w:color="auto" w:fill="FFFFFF"/>
        </w:rPr>
        <w:t>。</w:t>
      </w:r>
    </w:p>
    <w:p>
      <w:pPr>
        <w:widowControl/>
        <w:spacing w:line="560" w:lineRule="exact"/>
        <w:ind w:firstLine="672" w:firstLineChars="200"/>
        <w:jc w:val="left"/>
        <w:rPr>
          <w:rFonts w:hint="eastAsia" w:ascii="仿宋_GB2312" w:hAnsi="宋体" w:eastAsia="仿宋_GB2312" w:cs="宋体"/>
          <w:spacing w:val="8"/>
          <w:kern w:val="0"/>
          <w:sz w:val="32"/>
          <w:szCs w:val="32"/>
        </w:rPr>
      </w:pPr>
    </w:p>
    <w:p>
      <w:pPr>
        <w:widowControl/>
        <w:spacing w:line="560" w:lineRule="exact"/>
        <w:ind w:firstLine="675"/>
        <w:jc w:val="left"/>
        <w:rPr>
          <w:rFonts w:hint="eastAsia" w:ascii="宋体" w:hAnsi="宋体" w:cs="宋体"/>
          <w:spacing w:val="8"/>
          <w:kern w:val="0"/>
          <w:sz w:val="32"/>
          <w:szCs w:val="32"/>
        </w:rPr>
      </w:pPr>
      <w:r>
        <w:rPr>
          <w:rFonts w:hint="eastAsia" w:ascii="黑体" w:hAnsi="宋体" w:eastAsia="黑体" w:cs="宋体"/>
          <w:spacing w:val="8"/>
          <w:kern w:val="0"/>
          <w:sz w:val="32"/>
          <w:szCs w:val="32"/>
          <w:lang w:bidi="ar"/>
        </w:rPr>
        <w:t>六、其他需要报告的事项</w:t>
      </w:r>
    </w:p>
    <w:p>
      <w:pPr>
        <w:widowControl/>
        <w:spacing w:line="560" w:lineRule="exact"/>
        <w:jc w:val="left"/>
        <w:rPr>
          <w:rFonts w:hint="default" w:ascii="仿宋_GB2312" w:hAnsi="宋体" w:eastAsia="宋体" w:cs="宋体"/>
          <w:color w:val="9BC2E6"/>
          <w:spacing w:val="8"/>
          <w:kern w:val="0"/>
          <w:sz w:val="32"/>
          <w:szCs w:val="32"/>
          <w:lang w:val="en-US" w:eastAsia="zh-CN"/>
        </w:rPr>
      </w:pPr>
      <w:r>
        <w:rPr>
          <w:rFonts w:hint="eastAsia" w:ascii="宋体" w:hAnsi="宋体" w:cs="宋体"/>
          <w:spacing w:val="8"/>
          <w:kern w:val="0"/>
          <w:sz w:val="32"/>
          <w:szCs w:val="32"/>
          <w:lang w:bidi="ar"/>
        </w:rPr>
        <w:t>　　</w:t>
      </w:r>
      <w:r>
        <w:rPr>
          <w:rFonts w:hint="eastAsia" w:ascii="宋体" w:hAnsi="宋体" w:cs="宋体"/>
          <w:spacing w:val="8"/>
          <w:kern w:val="0"/>
          <w:sz w:val="32"/>
          <w:szCs w:val="32"/>
          <w:lang w:eastAsia="zh-CN" w:bidi="ar"/>
        </w:rPr>
        <w:t>发出收费通知的件数和总金额以及实际收取的总金额均为</w:t>
      </w:r>
      <w:r>
        <w:rPr>
          <w:rFonts w:hint="eastAsia" w:ascii="宋体" w:hAnsi="宋体" w:cs="宋体"/>
          <w:spacing w:val="8"/>
          <w:kern w:val="0"/>
          <w:sz w:val="32"/>
          <w:szCs w:val="32"/>
          <w:lang w:val="en-US" w:eastAsia="zh-CN" w:bidi="ar"/>
        </w:rPr>
        <w:t>0。</w:t>
      </w:r>
    </w:p>
    <w:p>
      <w:pPr>
        <w:pStyle w:val="2"/>
        <w:widowControl/>
        <w:spacing w:line="560" w:lineRule="exact"/>
      </w:pPr>
      <w:r>
        <w:rPr>
          <w:rFonts w:ascii="微软雅黑" w:hAnsi="微软雅黑" w:eastAsia="微软雅黑" w:cs="宋体"/>
          <w:color w:val="404040"/>
          <w:kern w:val="0"/>
          <w:sz w:val="32"/>
          <w:szCs w:val="32"/>
        </w:rPr>
        <w:t xml:space="preserve">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9DE897"/>
    <w:multiLevelType w:val="multilevel"/>
    <w:tmpl w:val="BA9DE897"/>
    <w:lvl w:ilvl="0" w:tentative="0">
      <w:start w:val="2"/>
      <w:numFmt w:val="chineseCounting"/>
      <w:suff w:val="nothing"/>
      <w:lvlText w:val="%1、"/>
      <w:lvlJc w:val="left"/>
      <w:pPr>
        <w:ind w:left="-1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5B6E2A"/>
    <w:rsid w:val="01593EC7"/>
    <w:rsid w:val="0B5B6E2A"/>
    <w:rsid w:val="10B47723"/>
    <w:rsid w:val="198A0551"/>
    <w:rsid w:val="206F377E"/>
    <w:rsid w:val="24A205DA"/>
    <w:rsid w:val="29F832CE"/>
    <w:rsid w:val="3463398D"/>
    <w:rsid w:val="52D739FC"/>
    <w:rsid w:val="696E0D08"/>
    <w:rsid w:val="76307777"/>
    <w:rsid w:val="7C9861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Plain Text"/>
    <w:basedOn w:val="1"/>
    <w:next w:val="1"/>
    <w:qFormat/>
    <w:uiPriority w:val="0"/>
    <w:rPr>
      <w:rFonts w:ascii="宋体" w:hAnsi="Courier New"/>
    </w:rPr>
  </w:style>
  <w:style w:type="paragraph" w:styleId="3">
    <w:name w:val="toc 3"/>
    <w:basedOn w:val="1"/>
    <w:next w:val="1"/>
    <w:unhideWhenUsed/>
    <w:qFormat/>
    <w:uiPriority w:val="39"/>
    <w:pPr>
      <w:ind w:left="840" w:leftChars="4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2024-01-02T10:18:00Z</dcterms:created>
  <dc:creator>Ren$hiro</dc:creator>
  <cp:lastModifiedBy>WJ412</cp:lastModifiedBy>
  <dcterms:modified xsi:type="dcterms:W3CDTF">2024-01-31T02:10:29Z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DFD9824A54AE4F698231AACC0F02C4D9</vt:lpwstr>
  </property>
</Properties>
</file>