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center"/>
        <w:rPr>
          <w:rFonts w:ascii="方正小标宋简体" w:eastAsia="方正小标宋简体"/>
          <w:sz w:val="44"/>
          <w:szCs w:val="44"/>
        </w:rPr>
      </w:pPr>
      <w:bookmarkStart w:id="0" w:name="OLE_LINK1"/>
      <w:bookmarkStart w:id="1" w:name="OLE_LINK2"/>
      <w:r>
        <w:rPr>
          <w:rFonts w:hint="eastAsia" w:ascii="方正小标宋简体" w:eastAsia="方正小标宋简体"/>
          <w:sz w:val="44"/>
          <w:szCs w:val="44"/>
        </w:rPr>
        <w:t>北京市丰台区医疗保障局</w:t>
      </w:r>
    </w:p>
    <w:p>
      <w:pPr>
        <w:spacing w:line="56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201</w:t>
      </w:r>
      <w:r>
        <w:rPr>
          <w:rFonts w:ascii="方正小标宋简体" w:eastAsia="方正小标宋简体"/>
          <w:sz w:val="44"/>
          <w:szCs w:val="44"/>
        </w:rPr>
        <w:t>9</w:t>
      </w:r>
      <w:r>
        <w:rPr>
          <w:rFonts w:hint="eastAsia" w:ascii="方正小标宋简体" w:eastAsia="方正小标宋简体"/>
          <w:sz w:val="44"/>
          <w:szCs w:val="44"/>
        </w:rPr>
        <w:t>年政府信息公开工作年度报告</w:t>
      </w:r>
    </w:p>
    <w:bookmarkEnd w:id="0"/>
    <w:bookmarkEnd w:id="1"/>
    <w:p>
      <w:pPr>
        <w:spacing w:line="560" w:lineRule="exact"/>
        <w:jc w:val="center"/>
        <w:rPr>
          <w:rFonts w:ascii="方正小标宋简体" w:eastAsia="方正小标宋简体"/>
          <w:sz w:val="44"/>
          <w:szCs w:val="44"/>
        </w:rPr>
      </w:pPr>
    </w:p>
    <w:p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bookmarkStart w:id="2" w:name="OLE_LINK3"/>
      <w:bookmarkStart w:id="3" w:name="OLE_LINK7"/>
      <w:r>
        <w:rPr>
          <w:rFonts w:hint="eastAsia" w:ascii="仿宋_GB2312" w:eastAsia="仿宋_GB2312"/>
          <w:sz w:val="32"/>
          <w:szCs w:val="32"/>
        </w:rPr>
        <w:t>依据《中华人民共和国政府信息公开条例》第五十条之规定，制作本报告。</w:t>
      </w:r>
    </w:p>
    <w:p>
      <w:pPr>
        <w:spacing w:line="560" w:lineRule="exact"/>
        <w:ind w:firstLine="640" w:firstLineChars="200"/>
        <w:jc w:val="left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一</w:t>
      </w:r>
      <w:r>
        <w:rPr>
          <w:rFonts w:ascii="黑体" w:hAnsi="黑体" w:eastAsia="黑体"/>
          <w:sz w:val="32"/>
          <w:szCs w:val="32"/>
        </w:rPr>
        <w:t>、</w:t>
      </w:r>
      <w:r>
        <w:rPr>
          <w:rFonts w:hint="eastAsia" w:ascii="黑体" w:hAnsi="黑体" w:eastAsia="黑体"/>
          <w:sz w:val="32"/>
          <w:szCs w:val="32"/>
        </w:rPr>
        <w:t>总体情况</w:t>
      </w:r>
    </w:p>
    <w:p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201</w:t>
      </w:r>
      <w:r>
        <w:rPr>
          <w:rFonts w:ascii="仿宋_GB2312" w:eastAsia="仿宋_GB2312"/>
          <w:sz w:val="32"/>
          <w:szCs w:val="32"/>
        </w:rPr>
        <w:t>9</w:t>
      </w:r>
      <w:r>
        <w:rPr>
          <w:rFonts w:hint="eastAsia" w:ascii="仿宋_GB2312" w:eastAsia="仿宋_GB2312"/>
          <w:sz w:val="32"/>
          <w:szCs w:val="32"/>
        </w:rPr>
        <w:t>年</w:t>
      </w:r>
      <w:r>
        <w:rPr>
          <w:rFonts w:ascii="仿宋_GB2312" w:eastAsia="仿宋_GB2312"/>
          <w:sz w:val="32"/>
          <w:szCs w:val="32"/>
        </w:rPr>
        <w:t>，</w:t>
      </w:r>
      <w:r>
        <w:rPr>
          <w:rFonts w:hint="eastAsia" w:ascii="仿宋_GB2312" w:eastAsia="仿宋_GB2312"/>
          <w:sz w:val="32"/>
          <w:szCs w:val="32"/>
        </w:rPr>
        <w:t>区医疗保障局</w:t>
      </w:r>
      <w:r>
        <w:rPr>
          <w:rFonts w:ascii="仿宋_GB2312" w:eastAsia="仿宋_GB2312"/>
          <w:sz w:val="32"/>
          <w:szCs w:val="32"/>
        </w:rPr>
        <w:t>按照丰台区人民政府统一工作部署，</w:t>
      </w:r>
      <w:r>
        <w:rPr>
          <w:rFonts w:hint="eastAsia" w:eastAsia="仿宋_GB2312"/>
          <w:sz w:val="32"/>
          <w:szCs w:val="32"/>
        </w:rPr>
        <w:t>聚焦全区医疗保障事业，努力</w:t>
      </w:r>
      <w:r>
        <w:rPr>
          <w:rFonts w:eastAsia="仿宋_GB2312"/>
          <w:sz w:val="32"/>
          <w:szCs w:val="32"/>
        </w:rPr>
        <w:t>推进</w:t>
      </w:r>
      <w:r>
        <w:rPr>
          <w:rFonts w:hint="eastAsia" w:eastAsia="仿宋_GB2312"/>
          <w:sz w:val="32"/>
          <w:szCs w:val="32"/>
        </w:rPr>
        <w:t>医疗保障事业相关</w:t>
      </w:r>
      <w:r>
        <w:rPr>
          <w:rFonts w:eastAsia="仿宋_GB2312"/>
          <w:sz w:val="32"/>
          <w:szCs w:val="32"/>
        </w:rPr>
        <w:t>决策、执行、管理、服务、结果公开，</w:t>
      </w:r>
      <w:r>
        <w:rPr>
          <w:rFonts w:hint="eastAsia" w:eastAsia="仿宋_GB2312"/>
          <w:sz w:val="32"/>
          <w:szCs w:val="32"/>
        </w:rPr>
        <w:t>积极深化</w:t>
      </w:r>
      <w:r>
        <w:rPr>
          <w:rFonts w:eastAsia="仿宋_GB2312"/>
          <w:sz w:val="32"/>
          <w:szCs w:val="32"/>
        </w:rPr>
        <w:t>政策解读，</w:t>
      </w:r>
      <w:r>
        <w:rPr>
          <w:rFonts w:hint="eastAsia" w:eastAsia="仿宋_GB2312"/>
          <w:sz w:val="32"/>
          <w:szCs w:val="32"/>
        </w:rPr>
        <w:t>努力</w:t>
      </w:r>
      <w:r>
        <w:rPr>
          <w:rFonts w:eastAsia="仿宋_GB2312"/>
          <w:sz w:val="32"/>
          <w:szCs w:val="32"/>
        </w:rPr>
        <w:t>回应群众关切，</w:t>
      </w:r>
      <w:r>
        <w:rPr>
          <w:rFonts w:hint="eastAsia" w:eastAsia="仿宋_GB2312"/>
          <w:sz w:val="32"/>
          <w:szCs w:val="32"/>
        </w:rPr>
        <w:t>持续保障我区医疗保障</w:t>
      </w:r>
      <w:r>
        <w:rPr>
          <w:rFonts w:eastAsia="仿宋_GB2312"/>
          <w:sz w:val="32"/>
          <w:szCs w:val="32"/>
        </w:rPr>
        <w:t>工作平稳</w:t>
      </w:r>
      <w:r>
        <w:rPr>
          <w:rFonts w:hint="eastAsia" w:eastAsia="仿宋_GB2312"/>
          <w:sz w:val="32"/>
          <w:szCs w:val="32"/>
        </w:rPr>
        <w:t>、</w:t>
      </w:r>
      <w:r>
        <w:rPr>
          <w:rFonts w:eastAsia="仿宋_GB2312"/>
          <w:sz w:val="32"/>
          <w:szCs w:val="32"/>
        </w:rPr>
        <w:t>健康</w:t>
      </w:r>
      <w:r>
        <w:rPr>
          <w:rFonts w:hint="eastAsia" w:eastAsia="仿宋_GB2312"/>
          <w:sz w:val="32"/>
          <w:szCs w:val="32"/>
        </w:rPr>
        <w:t>、</w:t>
      </w:r>
      <w:r>
        <w:rPr>
          <w:rFonts w:eastAsia="仿宋_GB2312"/>
          <w:sz w:val="32"/>
          <w:szCs w:val="32"/>
        </w:rPr>
        <w:t>持续发展。</w:t>
      </w:r>
    </w:p>
    <w:p>
      <w:pPr>
        <w:spacing w:line="560" w:lineRule="exact"/>
        <w:ind w:firstLine="640" w:firstLineChars="200"/>
        <w:rPr>
          <w:rFonts w:ascii="楷体_GB2312" w:eastAsia="楷体_GB2312"/>
          <w:sz w:val="32"/>
          <w:szCs w:val="32"/>
        </w:rPr>
      </w:pPr>
      <w:r>
        <w:rPr>
          <w:rFonts w:hint="eastAsia" w:ascii="楷体_GB2312" w:eastAsia="楷体_GB2312"/>
          <w:sz w:val="32"/>
          <w:szCs w:val="32"/>
        </w:rPr>
        <w:t>（一）主动公开情况</w:t>
      </w:r>
      <w:r>
        <w:rPr>
          <w:rFonts w:ascii="楷体_GB2312" w:eastAsia="楷体_GB2312"/>
          <w:sz w:val="32"/>
          <w:szCs w:val="32"/>
        </w:rPr>
        <w:t>。</w:t>
      </w:r>
    </w:p>
    <w:p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2019年，通过丰台区人民政府网站、“北京市丰台区医疗保障局”政府信息公开专栏等网站累计公开信息2</w:t>
      </w:r>
      <w:r>
        <w:rPr>
          <w:rFonts w:ascii="仿宋_GB2312" w:eastAsia="仿宋_GB2312"/>
          <w:sz w:val="32"/>
          <w:szCs w:val="32"/>
        </w:rPr>
        <w:t>0</w:t>
      </w:r>
      <w:r>
        <w:rPr>
          <w:rFonts w:hint="eastAsia" w:ascii="仿宋_GB2312" w:eastAsia="仿宋_GB2312"/>
          <w:sz w:val="32"/>
          <w:szCs w:val="32"/>
        </w:rPr>
        <w:t>余条。其中：通过局政府信息公开专栏，发布信息</w:t>
      </w:r>
      <w:r>
        <w:rPr>
          <w:rFonts w:ascii="仿宋_GB2312" w:eastAsia="仿宋_GB2312"/>
          <w:sz w:val="32"/>
          <w:szCs w:val="32"/>
        </w:rPr>
        <w:t>10</w:t>
      </w:r>
      <w:r>
        <w:rPr>
          <w:rFonts w:hint="eastAsia" w:ascii="仿宋_GB2312" w:eastAsia="仿宋_GB2312"/>
          <w:sz w:val="32"/>
          <w:szCs w:val="32"/>
        </w:rPr>
        <w:t>余条；通过区政府网站发布政府公告</w:t>
      </w:r>
      <w:r>
        <w:rPr>
          <w:rFonts w:ascii="仿宋_GB2312" w:eastAsia="仿宋_GB2312"/>
          <w:sz w:val="32"/>
          <w:szCs w:val="32"/>
        </w:rPr>
        <w:t>2</w:t>
      </w:r>
      <w:r>
        <w:rPr>
          <w:rFonts w:hint="eastAsia" w:ascii="仿宋_GB2312" w:eastAsia="仿宋_GB2312"/>
          <w:sz w:val="32"/>
          <w:szCs w:val="32"/>
        </w:rPr>
        <w:t>条，政府信息</w:t>
      </w:r>
      <w:r>
        <w:rPr>
          <w:rFonts w:ascii="仿宋_GB2312" w:eastAsia="仿宋_GB2312"/>
          <w:sz w:val="32"/>
          <w:szCs w:val="32"/>
        </w:rPr>
        <w:t>2</w:t>
      </w:r>
      <w:r>
        <w:rPr>
          <w:rFonts w:hint="eastAsia" w:ascii="仿宋_GB2312" w:eastAsia="仿宋_GB2312"/>
          <w:sz w:val="32"/>
          <w:szCs w:val="32"/>
        </w:rPr>
        <w:t>条；通过官方微信公众号公开信息</w:t>
      </w:r>
      <w:r>
        <w:rPr>
          <w:rFonts w:ascii="仿宋_GB2312" w:eastAsia="仿宋_GB2312"/>
          <w:sz w:val="32"/>
          <w:szCs w:val="32"/>
        </w:rPr>
        <w:t>114</w:t>
      </w:r>
      <w:r>
        <w:rPr>
          <w:rFonts w:hint="eastAsia" w:ascii="仿宋_GB2312" w:eastAsia="仿宋_GB2312"/>
          <w:sz w:val="32"/>
          <w:szCs w:val="32"/>
        </w:rPr>
        <w:t>余条。探索多维度信息公开模式，先后在人民网、千龙网、《北京医保》、今日头条等网站、杂志、媒体刊发新闻200余条。</w:t>
      </w:r>
    </w:p>
    <w:p>
      <w:pPr>
        <w:spacing w:line="560" w:lineRule="exact"/>
        <w:ind w:firstLine="640" w:firstLineChars="200"/>
        <w:rPr>
          <w:rFonts w:ascii="仿宋_GB2312" w:hAnsi="方正仿宋_GBK" w:eastAsia="仿宋_GB2312" w:cs="方正仿宋_GBK"/>
          <w:sz w:val="32"/>
          <w:szCs w:val="32"/>
        </w:rPr>
      </w:pPr>
      <w:r>
        <w:rPr>
          <w:rFonts w:hint="eastAsia" w:ascii="仿宋_GB2312" w:hAnsi="方正仿宋_GBK" w:eastAsia="仿宋_GB2312" w:cs="方正仿宋_GBK"/>
          <w:sz w:val="32"/>
          <w:szCs w:val="32"/>
        </w:rPr>
        <w:t>落实区政府工作部署，在丰台区人民政府网站、局政府信息公开专栏等多种平台，对外公布经批准的预算、决算、政府购买服务目录，做好部门预决算公开。</w:t>
      </w:r>
    </w:p>
    <w:p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hAnsi="方正仿宋_GBK" w:eastAsia="仿宋_GB2312" w:cs="方正仿宋_GBK"/>
          <w:sz w:val="32"/>
          <w:szCs w:val="32"/>
        </w:rPr>
        <w:t>利用互联网媒体，大力做好医疗保险政策解读工作，定期公开各项社会保险最新动态和关系百姓切身利益的通知信息。及时将医疗保险、生育保险等方面的解读内容、最新办事流程推送给百姓群众，</w:t>
      </w:r>
    </w:p>
    <w:p>
      <w:pPr>
        <w:spacing w:line="560" w:lineRule="exact"/>
        <w:ind w:firstLine="640" w:firstLineChars="200"/>
        <w:rPr>
          <w:rFonts w:ascii="楷体_GB2312" w:eastAsia="楷体_GB2312"/>
          <w:sz w:val="32"/>
          <w:szCs w:val="32"/>
        </w:rPr>
      </w:pPr>
      <w:r>
        <w:rPr>
          <w:rFonts w:hint="eastAsia" w:ascii="楷体_GB2312" w:eastAsia="楷体_GB2312"/>
          <w:sz w:val="32"/>
          <w:szCs w:val="32"/>
        </w:rPr>
        <w:t>（二）依申请</w:t>
      </w:r>
      <w:r>
        <w:rPr>
          <w:rFonts w:ascii="楷体_GB2312" w:eastAsia="楷体_GB2312"/>
          <w:sz w:val="32"/>
          <w:szCs w:val="32"/>
        </w:rPr>
        <w:t>公开办理情况</w:t>
      </w:r>
    </w:p>
    <w:p>
      <w:pPr>
        <w:spacing w:line="560" w:lineRule="exact"/>
        <w:ind w:firstLine="640" w:firstLineChars="200"/>
        <w:rPr>
          <w:rFonts w:ascii="仿宋_GB2312" w:hAnsi="宋体" w:eastAsia="仿宋_GB2312"/>
          <w:sz w:val="32"/>
          <w:szCs w:val="32"/>
        </w:rPr>
      </w:pPr>
      <w:r>
        <w:rPr>
          <w:rFonts w:ascii="仿宋_GB2312" w:hAnsi="宋体" w:eastAsia="仿宋_GB2312"/>
          <w:sz w:val="32"/>
          <w:szCs w:val="32"/>
        </w:rPr>
        <w:t>1.</w:t>
      </w:r>
      <w:r>
        <w:rPr>
          <w:rFonts w:hint="eastAsia" w:ascii="仿宋_GB2312" w:hAnsi="宋体" w:eastAsia="仿宋_GB2312"/>
          <w:sz w:val="32"/>
          <w:szCs w:val="32"/>
        </w:rPr>
        <w:t>申请情况</w:t>
      </w:r>
    </w:p>
    <w:p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201</w:t>
      </w:r>
      <w:r>
        <w:rPr>
          <w:rFonts w:ascii="仿宋_GB2312" w:eastAsia="仿宋_GB2312"/>
          <w:sz w:val="32"/>
          <w:szCs w:val="32"/>
        </w:rPr>
        <w:t>9</w:t>
      </w:r>
      <w:r>
        <w:rPr>
          <w:rFonts w:hint="eastAsia" w:ascii="仿宋_GB2312" w:eastAsia="仿宋_GB2312"/>
          <w:sz w:val="32"/>
          <w:szCs w:val="32"/>
        </w:rPr>
        <w:t>年度</w:t>
      </w:r>
      <w:r>
        <w:rPr>
          <w:rFonts w:ascii="仿宋_GB2312" w:eastAsia="仿宋_GB2312"/>
          <w:sz w:val="32"/>
          <w:szCs w:val="32"/>
        </w:rPr>
        <w:t>，</w:t>
      </w:r>
      <w:r>
        <w:rPr>
          <w:rFonts w:hint="eastAsia" w:ascii="仿宋_GB2312" w:hAnsi="宋体" w:eastAsia="仿宋_GB2312"/>
          <w:sz w:val="32"/>
          <w:szCs w:val="32"/>
        </w:rPr>
        <w:t>收到</w:t>
      </w:r>
      <w:r>
        <w:rPr>
          <w:rFonts w:ascii="仿宋_GB2312" w:hAnsi="宋体" w:eastAsia="仿宋_GB2312"/>
          <w:sz w:val="32"/>
          <w:szCs w:val="32"/>
        </w:rPr>
        <w:t>政府信息公开申请0</w:t>
      </w:r>
      <w:r>
        <w:rPr>
          <w:rFonts w:hint="eastAsia" w:ascii="仿宋_GB2312" w:hAnsi="宋体" w:eastAsia="仿宋_GB2312"/>
          <w:sz w:val="32"/>
          <w:szCs w:val="32"/>
        </w:rPr>
        <w:t>件。</w:t>
      </w:r>
      <w:r>
        <w:rPr>
          <w:rFonts w:ascii="仿宋_GB2312" w:eastAsia="仿宋_GB2312"/>
          <w:sz w:val="32"/>
          <w:szCs w:val="32"/>
        </w:rPr>
        <w:t xml:space="preserve"> </w:t>
      </w:r>
    </w:p>
    <w:p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2.答复情况</w:t>
      </w:r>
    </w:p>
    <w:p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无。</w:t>
      </w:r>
    </w:p>
    <w:p>
      <w:pPr>
        <w:tabs>
          <w:tab w:val="left" w:pos="1418"/>
          <w:tab w:val="left" w:pos="1560"/>
        </w:tabs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楷体_GB2312" w:hAnsi="方正仿宋_GBK" w:eastAsia="楷体_GB2312" w:cs="方正仿宋_GBK"/>
          <w:sz w:val="32"/>
          <w:szCs w:val="32"/>
        </w:rPr>
        <w:t>（三）政府</w:t>
      </w:r>
      <w:r>
        <w:rPr>
          <w:rFonts w:ascii="楷体_GB2312" w:hAnsi="方正仿宋_GBK" w:eastAsia="楷体_GB2312" w:cs="方正仿宋_GBK"/>
          <w:sz w:val="32"/>
          <w:szCs w:val="32"/>
        </w:rPr>
        <w:t>信息资源的规范化、标准化管理</w:t>
      </w:r>
      <w:r>
        <w:rPr>
          <w:rFonts w:hint="eastAsia" w:ascii="楷体_GB2312" w:hAnsi="方正仿宋_GBK" w:eastAsia="楷体_GB2312" w:cs="方正仿宋_GBK"/>
          <w:sz w:val="32"/>
          <w:szCs w:val="32"/>
        </w:rPr>
        <w:t>情况</w:t>
      </w:r>
      <w:r>
        <w:rPr>
          <w:rFonts w:ascii="楷体_GB2312" w:hAnsi="方正仿宋_GBK" w:eastAsia="楷体_GB2312" w:cs="方正仿宋_GBK"/>
          <w:sz w:val="32"/>
          <w:szCs w:val="32"/>
        </w:rPr>
        <w:t>。</w:t>
      </w:r>
      <w:r>
        <w:rPr>
          <w:rFonts w:hint="eastAsia" w:ascii="仿宋_GB2312" w:hAnsi="方正仿宋_GBK" w:eastAsia="仿宋_GB2312" w:cs="方正仿宋_GBK"/>
          <w:sz w:val="32"/>
          <w:szCs w:val="32"/>
        </w:rPr>
        <w:t>区医保局于3月22日正式成立，自成立以来，局党组</w:t>
      </w:r>
      <w:r>
        <w:rPr>
          <w:rFonts w:hint="eastAsia" w:ascii="仿宋_GB2312" w:eastAsia="仿宋_GB2312"/>
          <w:sz w:val="32"/>
          <w:szCs w:val="32"/>
        </w:rPr>
        <w:t>高度重视政府信息公开工作，明确主管局长肖立新同志分管此项工作，在机构改革过渡期间成立工作专班，由专人负责政府信息公开工作；机构改革过渡期间结束后，成立以办公室为政府信息公开牵头部门，</w:t>
      </w:r>
      <w:r>
        <w:rPr>
          <w:rFonts w:ascii="仿宋_GB2312" w:eastAsia="仿宋_GB2312"/>
          <w:sz w:val="32"/>
          <w:szCs w:val="32"/>
        </w:rPr>
        <w:t>法制</w:t>
      </w:r>
      <w:r>
        <w:rPr>
          <w:rFonts w:hint="eastAsia" w:ascii="仿宋_GB2312" w:eastAsia="仿宋_GB2312"/>
          <w:sz w:val="32"/>
          <w:szCs w:val="32"/>
        </w:rPr>
        <w:t>专班</w:t>
      </w:r>
      <w:r>
        <w:rPr>
          <w:rFonts w:ascii="仿宋_GB2312" w:eastAsia="仿宋_GB2312"/>
          <w:sz w:val="32"/>
          <w:szCs w:val="32"/>
        </w:rPr>
        <w:t>为</w:t>
      </w:r>
      <w:r>
        <w:rPr>
          <w:rFonts w:hint="eastAsia" w:ascii="仿宋_GB2312" w:eastAsia="仿宋_GB2312"/>
          <w:sz w:val="32"/>
          <w:szCs w:val="32"/>
        </w:rPr>
        <w:t>法制核查</w:t>
      </w:r>
      <w:r>
        <w:rPr>
          <w:rFonts w:ascii="仿宋_GB2312" w:eastAsia="仿宋_GB2312"/>
          <w:sz w:val="32"/>
          <w:szCs w:val="32"/>
        </w:rPr>
        <w:t>部门</w:t>
      </w:r>
      <w:r>
        <w:rPr>
          <w:rFonts w:hint="eastAsia" w:ascii="仿宋_GB2312" w:eastAsia="仿宋_GB2312"/>
          <w:sz w:val="32"/>
          <w:szCs w:val="32"/>
        </w:rPr>
        <w:t>，各部门联动的协调机制。主动与市、区两级政府信息公开部门沟通，建立健全工作机制。认真落实按照法定时限及时发布并实时更新主动公开内容。坚持“以人民为中心”思想，依靠互联网、</w:t>
      </w:r>
      <w:r>
        <w:rPr>
          <w:rFonts w:ascii="仿宋_GB2312" w:eastAsia="仿宋_GB2312"/>
          <w:sz w:val="32"/>
          <w:szCs w:val="32"/>
        </w:rPr>
        <w:t>移动媒体等多种途径</w:t>
      </w:r>
      <w:r>
        <w:rPr>
          <w:rFonts w:hint="eastAsia" w:ascii="仿宋_GB2312" w:eastAsia="仿宋_GB2312"/>
          <w:sz w:val="32"/>
          <w:szCs w:val="32"/>
        </w:rPr>
        <w:t>及时发布医疗保险相关政策信息和</w:t>
      </w:r>
      <w:r>
        <w:rPr>
          <w:rFonts w:ascii="仿宋_GB2312" w:eastAsia="仿宋_GB2312"/>
          <w:sz w:val="32"/>
          <w:szCs w:val="32"/>
        </w:rPr>
        <w:t>工作动态</w:t>
      </w:r>
      <w:r>
        <w:rPr>
          <w:rFonts w:hint="eastAsia" w:ascii="仿宋_GB2312" w:eastAsia="仿宋_GB2312"/>
          <w:sz w:val="32"/>
          <w:szCs w:val="32"/>
        </w:rPr>
        <w:t>。</w:t>
      </w:r>
    </w:p>
    <w:p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楷体_GB2312" w:eastAsia="楷体_GB2312"/>
          <w:sz w:val="32"/>
          <w:szCs w:val="32"/>
        </w:rPr>
        <w:t>（四）政府信息</w:t>
      </w:r>
      <w:r>
        <w:rPr>
          <w:rFonts w:ascii="楷体_GB2312" w:eastAsia="楷体_GB2312"/>
          <w:sz w:val="32"/>
          <w:szCs w:val="32"/>
        </w:rPr>
        <w:t>公开平台建设情况。</w:t>
      </w:r>
      <w:bookmarkEnd w:id="2"/>
      <w:r>
        <w:rPr>
          <w:rFonts w:hint="eastAsia" w:ascii="仿宋_GB2312" w:eastAsia="仿宋_GB2312"/>
          <w:sz w:val="32"/>
          <w:szCs w:val="32"/>
        </w:rPr>
        <w:t>牢牢把握“丰台区医疗保障局政府信息公开专栏”的基本定位，聚焦法定主动公开内容，以专门性内容的发布和管理，使我局政府信息公开平台成为社会公众便捷、全面获取重点政府信息的权威渠道。按照工作要求主动</w:t>
      </w:r>
      <w:r>
        <w:rPr>
          <w:rFonts w:ascii="仿宋_GB2312" w:eastAsia="仿宋_GB2312"/>
          <w:sz w:val="32"/>
          <w:szCs w:val="32"/>
        </w:rPr>
        <w:t>完善</w:t>
      </w:r>
      <w:r>
        <w:rPr>
          <w:rFonts w:hint="eastAsia" w:ascii="仿宋_GB2312" w:eastAsia="仿宋_GB2312"/>
          <w:sz w:val="32"/>
          <w:szCs w:val="32"/>
        </w:rPr>
        <w:t>政府信息公开专栏相关组成部分，包括政府信息公开指南、相关制度、法定主动公开内容及政府信息公开工作年度报告。</w:t>
      </w:r>
    </w:p>
    <w:p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hAnsi="黑体" w:eastAsia="仿宋_GB2312"/>
          <w:kern w:val="0"/>
          <w:sz w:val="32"/>
          <w:szCs w:val="32"/>
        </w:rPr>
        <w:t>以局微信公众平台为突破口，</w:t>
      </w:r>
      <w:r>
        <w:rPr>
          <w:rFonts w:hint="eastAsia" w:ascii="仿宋_GB2312" w:hAnsi="黑体" w:eastAsia="仿宋_GB2312"/>
          <w:kern w:val="0"/>
          <w:sz w:val="32"/>
          <w:szCs w:val="44"/>
        </w:rPr>
        <w:t>引入“知识管理”理念，创建线上咨询服务问题素材库，统一政策解答口径；</w:t>
      </w:r>
      <w:r>
        <w:rPr>
          <w:rFonts w:hint="eastAsia" w:ascii="仿宋_GB2312" w:hAnsi="黑体" w:eastAsia="仿宋_GB2312"/>
          <w:kern w:val="0"/>
          <w:sz w:val="32"/>
          <w:szCs w:val="32"/>
        </w:rPr>
        <w:t>强化线上咨询服务，分析提取咨询常见关键字，实现一键输入自动回复，节省咨询时间；整合医疗保险相关信息查询方式，实现药品目录一键查询，经办材料一键下载，标准化教学操作视频一键收看，确保群众第一时间了解最新的政策信息，让服务更加精准、贴心。</w:t>
      </w:r>
    </w:p>
    <w:p>
      <w:pPr>
        <w:widowControl/>
        <w:shd w:val="clear" w:color="auto" w:fill="FFFFFF"/>
        <w:spacing w:line="560" w:lineRule="exact"/>
        <w:ind w:firstLine="640" w:firstLineChars="200"/>
        <w:rPr>
          <w:rFonts w:ascii="楷体_GB2312" w:eastAsia="楷体_GB2312" w:hAnsiTheme="minorEastAsia"/>
          <w:sz w:val="32"/>
          <w:szCs w:val="32"/>
        </w:rPr>
      </w:pPr>
      <w:bookmarkStart w:id="4" w:name="OLE_LINK4"/>
      <w:r>
        <w:rPr>
          <w:rFonts w:hint="eastAsia" w:ascii="楷体_GB2312" w:eastAsia="楷体_GB2312" w:hAnsiTheme="minorEastAsia"/>
          <w:sz w:val="32"/>
          <w:szCs w:val="32"/>
        </w:rPr>
        <w:t>（五）政府信息</w:t>
      </w:r>
      <w:r>
        <w:rPr>
          <w:rFonts w:ascii="楷体_GB2312" w:eastAsia="楷体_GB2312" w:hAnsiTheme="minorEastAsia"/>
          <w:sz w:val="32"/>
          <w:szCs w:val="32"/>
        </w:rPr>
        <w:t>公开监督保障及教育培训</w:t>
      </w:r>
      <w:r>
        <w:rPr>
          <w:rFonts w:hint="eastAsia" w:ascii="楷体_GB2312" w:eastAsia="楷体_GB2312" w:hAnsiTheme="minorEastAsia"/>
          <w:sz w:val="32"/>
          <w:szCs w:val="32"/>
        </w:rPr>
        <w:t>情况</w:t>
      </w:r>
      <w:r>
        <w:rPr>
          <w:rFonts w:ascii="楷体_GB2312" w:eastAsia="楷体_GB2312" w:hAnsiTheme="minorEastAsia"/>
          <w:sz w:val="32"/>
          <w:szCs w:val="32"/>
        </w:rPr>
        <w:t>。</w:t>
      </w:r>
      <w:r>
        <w:rPr>
          <w:rFonts w:hint="eastAsia" w:ascii="仿宋_GB2312" w:eastAsia="仿宋_GB2312"/>
          <w:sz w:val="32"/>
          <w:szCs w:val="32"/>
        </w:rPr>
        <w:t>设立公民、法人或者其他组织政府信息公开</w:t>
      </w:r>
      <w:r>
        <w:rPr>
          <w:rFonts w:ascii="仿宋_GB2312" w:eastAsia="仿宋_GB2312"/>
          <w:sz w:val="32"/>
          <w:szCs w:val="32"/>
        </w:rPr>
        <w:t>监督投诉</w:t>
      </w:r>
      <w:r>
        <w:rPr>
          <w:rFonts w:hint="eastAsia" w:ascii="仿宋_GB2312" w:eastAsia="仿宋_GB2312"/>
          <w:sz w:val="32"/>
          <w:szCs w:val="32"/>
        </w:rPr>
        <w:t>举报受理电话，确立政府信息</w:t>
      </w:r>
      <w:r>
        <w:rPr>
          <w:rFonts w:ascii="仿宋_GB2312" w:eastAsia="仿宋_GB2312"/>
          <w:sz w:val="32"/>
          <w:szCs w:val="32"/>
        </w:rPr>
        <w:t>公开工作</w:t>
      </w:r>
      <w:r>
        <w:rPr>
          <w:rFonts w:hint="eastAsia" w:ascii="仿宋_GB2312" w:eastAsia="仿宋_GB2312"/>
          <w:sz w:val="32"/>
          <w:szCs w:val="32"/>
        </w:rPr>
        <w:t>部门领导专线</w:t>
      </w:r>
      <w:r>
        <w:rPr>
          <w:rFonts w:ascii="仿宋_GB2312" w:eastAsia="仿宋_GB2312"/>
          <w:sz w:val="32"/>
          <w:szCs w:val="32"/>
        </w:rPr>
        <w:t>负责</w:t>
      </w:r>
      <w:r>
        <w:rPr>
          <w:rFonts w:hint="eastAsia" w:ascii="仿宋_GB2312" w:eastAsia="仿宋_GB2312"/>
          <w:sz w:val="32"/>
          <w:szCs w:val="32"/>
        </w:rPr>
        <w:t>。畅通公众</w:t>
      </w:r>
      <w:r>
        <w:rPr>
          <w:rFonts w:ascii="仿宋_GB2312" w:eastAsia="仿宋_GB2312"/>
          <w:sz w:val="32"/>
          <w:szCs w:val="32"/>
        </w:rPr>
        <w:t>监督渠道，</w:t>
      </w:r>
      <w:r>
        <w:rPr>
          <w:rFonts w:hint="eastAsia" w:ascii="仿宋_GB2312" w:eastAsia="仿宋_GB2312"/>
          <w:sz w:val="32"/>
          <w:szCs w:val="32"/>
        </w:rPr>
        <w:t>广泛听取</w:t>
      </w:r>
      <w:r>
        <w:rPr>
          <w:rFonts w:ascii="仿宋_GB2312" w:eastAsia="仿宋_GB2312"/>
          <w:sz w:val="32"/>
          <w:szCs w:val="32"/>
        </w:rPr>
        <w:t>公众意见，发现问题及时整改，严格</w:t>
      </w:r>
      <w:r>
        <w:rPr>
          <w:rFonts w:hint="eastAsia" w:ascii="仿宋_GB2312" w:eastAsia="仿宋_GB2312"/>
          <w:sz w:val="32"/>
          <w:szCs w:val="32"/>
        </w:rPr>
        <w:t>确保</w:t>
      </w:r>
      <w:r>
        <w:rPr>
          <w:rFonts w:ascii="仿宋_GB2312" w:eastAsia="仿宋_GB2312"/>
          <w:sz w:val="32"/>
          <w:szCs w:val="32"/>
        </w:rPr>
        <w:t>政府信息公开监督</w:t>
      </w:r>
      <w:r>
        <w:rPr>
          <w:rFonts w:hint="eastAsia" w:ascii="仿宋_GB2312" w:eastAsia="仿宋_GB2312"/>
          <w:sz w:val="32"/>
          <w:szCs w:val="32"/>
        </w:rPr>
        <w:t>措施</w:t>
      </w:r>
      <w:r>
        <w:rPr>
          <w:rFonts w:ascii="仿宋_GB2312" w:eastAsia="仿宋_GB2312"/>
          <w:sz w:val="32"/>
          <w:szCs w:val="32"/>
        </w:rPr>
        <w:t>有力</w:t>
      </w:r>
      <w:r>
        <w:rPr>
          <w:rFonts w:hint="eastAsia" w:ascii="仿宋_GB2312" w:eastAsia="仿宋_GB2312"/>
          <w:sz w:val="32"/>
          <w:szCs w:val="32"/>
        </w:rPr>
        <w:t>、</w:t>
      </w:r>
      <w:r>
        <w:rPr>
          <w:rFonts w:ascii="仿宋_GB2312" w:eastAsia="仿宋_GB2312"/>
          <w:sz w:val="32"/>
          <w:szCs w:val="32"/>
        </w:rPr>
        <w:t>保障到位</w:t>
      </w:r>
      <w:r>
        <w:rPr>
          <w:rFonts w:hint="eastAsia" w:ascii="仿宋_GB2312" w:eastAsia="仿宋_GB2312"/>
          <w:sz w:val="32"/>
          <w:szCs w:val="32"/>
        </w:rPr>
        <w:t>。将政务公开列入局长办公会会前学习、局</w:t>
      </w:r>
      <w:bookmarkStart w:id="7" w:name="_GoBack"/>
      <w:bookmarkEnd w:id="7"/>
      <w:r>
        <w:rPr>
          <w:rFonts w:hint="eastAsia" w:ascii="仿宋_GB2312" w:eastAsia="仿宋_GB2312"/>
          <w:sz w:val="32"/>
          <w:szCs w:val="32"/>
          <w:lang w:eastAsia="zh-CN"/>
        </w:rPr>
        <w:t>理论学习中心组</w:t>
      </w:r>
      <w:r>
        <w:rPr>
          <w:rFonts w:hint="eastAsia" w:ascii="仿宋_GB2312" w:eastAsia="仿宋_GB2312"/>
          <w:sz w:val="32"/>
          <w:szCs w:val="32"/>
        </w:rPr>
        <w:t>学习重点内容，不断增强干部依法行政意识，全年共组织会前学法、</w:t>
      </w:r>
      <w:r>
        <w:rPr>
          <w:rFonts w:hint="eastAsia" w:ascii="仿宋_GB2312" w:eastAsia="仿宋_GB2312"/>
          <w:sz w:val="32"/>
          <w:szCs w:val="32"/>
          <w:lang w:eastAsia="zh-CN"/>
        </w:rPr>
        <w:t>理论学习中心组</w:t>
      </w:r>
      <w:r>
        <w:rPr>
          <w:rFonts w:hint="eastAsia" w:ascii="仿宋_GB2312" w:eastAsia="仿宋_GB2312"/>
          <w:sz w:val="32"/>
          <w:szCs w:val="32"/>
        </w:rPr>
        <w:t>学习1</w:t>
      </w:r>
      <w:r>
        <w:rPr>
          <w:rFonts w:ascii="仿宋_GB2312" w:eastAsia="仿宋_GB2312"/>
          <w:sz w:val="32"/>
          <w:szCs w:val="32"/>
        </w:rPr>
        <w:t>2</w:t>
      </w:r>
      <w:r>
        <w:rPr>
          <w:rFonts w:hint="eastAsia" w:ascii="仿宋_GB2312" w:eastAsia="仿宋_GB2312"/>
          <w:sz w:val="32"/>
          <w:szCs w:val="32"/>
        </w:rPr>
        <w:t>次，形成办事依法、遇事找法、解决问题用法、化解矛盾靠法的良好法治环境。</w:t>
      </w:r>
      <w:r>
        <w:rPr>
          <w:rFonts w:ascii="仿宋_GB2312" w:eastAsia="仿宋_GB2312"/>
          <w:sz w:val="32"/>
          <w:szCs w:val="32"/>
        </w:rPr>
        <w:t>将依法行政</w:t>
      </w:r>
      <w:r>
        <w:rPr>
          <w:rFonts w:hint="eastAsia" w:ascii="仿宋_GB2312" w:eastAsia="仿宋_GB2312"/>
          <w:sz w:val="32"/>
          <w:szCs w:val="32"/>
        </w:rPr>
        <w:t>、《中华人民共和国政府信息公开条例</w:t>
      </w:r>
      <w:r>
        <w:rPr>
          <w:rFonts w:ascii="仿宋_GB2312" w:eastAsia="仿宋_GB2312"/>
          <w:sz w:val="32"/>
          <w:szCs w:val="32"/>
        </w:rPr>
        <w:t>》</w:t>
      </w:r>
      <w:r>
        <w:rPr>
          <w:rFonts w:hint="eastAsia" w:ascii="仿宋_GB2312" w:eastAsia="仿宋_GB2312"/>
          <w:sz w:val="32"/>
          <w:szCs w:val="32"/>
        </w:rPr>
        <w:t>、《北京市政府信息公开规定》等教育</w:t>
      </w:r>
      <w:r>
        <w:rPr>
          <w:rFonts w:ascii="仿宋_GB2312" w:eastAsia="仿宋_GB2312"/>
          <w:sz w:val="32"/>
          <w:szCs w:val="32"/>
        </w:rPr>
        <w:t>内容</w:t>
      </w:r>
      <w:r>
        <w:rPr>
          <w:rFonts w:hint="eastAsia" w:ascii="仿宋_GB2312" w:eastAsia="仿宋_GB2312"/>
          <w:sz w:val="32"/>
          <w:szCs w:val="32"/>
        </w:rPr>
        <w:t>纳入全局干部内部培训课程</w:t>
      </w:r>
      <w:r>
        <w:rPr>
          <w:rFonts w:ascii="仿宋_GB2312" w:eastAsia="仿宋_GB2312"/>
          <w:sz w:val="32"/>
          <w:szCs w:val="32"/>
        </w:rPr>
        <w:t>。</w:t>
      </w:r>
      <w:r>
        <w:rPr>
          <w:rFonts w:hint="eastAsia" w:ascii="仿宋_GB2312" w:eastAsia="仿宋_GB2312"/>
          <w:sz w:val="32"/>
          <w:szCs w:val="32"/>
        </w:rPr>
        <w:t>全年</w:t>
      </w:r>
      <w:r>
        <w:rPr>
          <w:rFonts w:ascii="仿宋_GB2312" w:eastAsia="仿宋_GB2312"/>
          <w:sz w:val="32"/>
          <w:szCs w:val="32"/>
        </w:rPr>
        <w:t>开展</w:t>
      </w:r>
      <w:r>
        <w:rPr>
          <w:rFonts w:hint="eastAsia" w:ascii="仿宋_GB2312" w:eastAsia="仿宋_GB2312"/>
          <w:sz w:val="32"/>
          <w:szCs w:val="32"/>
        </w:rPr>
        <w:t>各类</w:t>
      </w:r>
      <w:r>
        <w:rPr>
          <w:rFonts w:ascii="仿宋_GB2312" w:eastAsia="仿宋_GB2312"/>
          <w:sz w:val="32"/>
          <w:szCs w:val="32"/>
        </w:rPr>
        <w:t>政府信息公开教育培训3</w:t>
      </w:r>
      <w:r>
        <w:rPr>
          <w:rFonts w:hint="eastAsia" w:ascii="仿宋_GB2312" w:eastAsia="仿宋_GB2312"/>
          <w:sz w:val="32"/>
          <w:szCs w:val="32"/>
        </w:rPr>
        <w:t>次</w:t>
      </w:r>
      <w:r>
        <w:rPr>
          <w:rFonts w:ascii="仿宋_GB2312" w:eastAsia="仿宋_GB2312"/>
          <w:sz w:val="32"/>
          <w:szCs w:val="32"/>
        </w:rPr>
        <w:t>，累计培训80</w:t>
      </w:r>
      <w:r>
        <w:rPr>
          <w:rFonts w:hint="eastAsia" w:ascii="仿宋_GB2312" w:eastAsia="仿宋_GB2312"/>
          <w:sz w:val="32"/>
          <w:szCs w:val="32"/>
        </w:rPr>
        <w:t>余</w:t>
      </w:r>
      <w:r>
        <w:rPr>
          <w:rFonts w:ascii="仿宋_GB2312" w:eastAsia="仿宋_GB2312"/>
          <w:sz w:val="32"/>
          <w:szCs w:val="32"/>
        </w:rPr>
        <w:t>人次</w:t>
      </w:r>
      <w:r>
        <w:rPr>
          <w:rFonts w:hint="eastAsia" w:ascii="仿宋_GB2312" w:eastAsia="仿宋_GB2312"/>
          <w:sz w:val="32"/>
          <w:szCs w:val="32"/>
        </w:rPr>
        <w:t>，有效提升</w:t>
      </w:r>
      <w:r>
        <w:rPr>
          <w:rFonts w:ascii="仿宋_GB2312" w:eastAsia="仿宋_GB2312"/>
          <w:sz w:val="32"/>
          <w:szCs w:val="32"/>
        </w:rPr>
        <w:t>我</w:t>
      </w:r>
      <w:r>
        <w:rPr>
          <w:rFonts w:hint="eastAsia" w:ascii="仿宋_GB2312" w:eastAsia="仿宋_GB2312"/>
          <w:sz w:val="32"/>
          <w:szCs w:val="32"/>
        </w:rPr>
        <w:t>局干部</w:t>
      </w:r>
      <w:r>
        <w:rPr>
          <w:rFonts w:ascii="仿宋_GB2312" w:eastAsia="仿宋_GB2312"/>
          <w:sz w:val="32"/>
          <w:szCs w:val="32"/>
        </w:rPr>
        <w:t>政府</w:t>
      </w:r>
      <w:r>
        <w:rPr>
          <w:rFonts w:hint="eastAsia" w:ascii="仿宋_GB2312" w:eastAsia="仿宋_GB2312"/>
          <w:sz w:val="32"/>
          <w:szCs w:val="32"/>
        </w:rPr>
        <w:t>信息公开</w:t>
      </w:r>
      <w:r>
        <w:rPr>
          <w:rFonts w:ascii="仿宋_GB2312" w:eastAsia="仿宋_GB2312"/>
          <w:sz w:val="32"/>
          <w:szCs w:val="32"/>
        </w:rPr>
        <w:t>工作意识和工作水平</w:t>
      </w:r>
      <w:r>
        <w:rPr>
          <w:rFonts w:hint="eastAsia" w:eastAsia="仿宋_GB2312"/>
          <w:sz w:val="32"/>
          <w:szCs w:val="32"/>
        </w:rPr>
        <w:t>。</w:t>
      </w:r>
    </w:p>
    <w:p>
      <w:pPr>
        <w:adjustRightInd w:val="0"/>
        <w:snapToGrid w:val="0"/>
        <w:spacing w:line="560" w:lineRule="exact"/>
        <w:ind w:firstLine="640" w:firstLineChars="200"/>
        <w:rPr>
          <w:rFonts w:ascii="仿宋_GB2312" w:hAnsi="宋体" w:eastAsia="仿宋_GB2312"/>
          <w:sz w:val="32"/>
          <w:szCs w:val="32"/>
        </w:rPr>
      </w:pPr>
      <w:r>
        <w:rPr>
          <w:rFonts w:hint="eastAsia" w:ascii="楷体_GB2312" w:eastAsia="楷体_GB2312"/>
          <w:sz w:val="32"/>
          <w:szCs w:val="32"/>
        </w:rPr>
        <w:t>（六）市</w:t>
      </w:r>
      <w:r>
        <w:rPr>
          <w:rFonts w:ascii="楷体_GB2312" w:eastAsia="楷体_GB2312"/>
          <w:sz w:val="32"/>
          <w:szCs w:val="32"/>
        </w:rPr>
        <w:t>和区人民政府工作考核、社会</w:t>
      </w:r>
      <w:r>
        <w:rPr>
          <w:rFonts w:hint="eastAsia" w:ascii="楷体_GB2312" w:eastAsia="楷体_GB2312"/>
          <w:sz w:val="32"/>
          <w:szCs w:val="32"/>
        </w:rPr>
        <w:t>评议和</w:t>
      </w:r>
      <w:r>
        <w:rPr>
          <w:rFonts w:ascii="楷体_GB2312" w:eastAsia="楷体_GB2312"/>
          <w:sz w:val="32"/>
          <w:szCs w:val="32"/>
        </w:rPr>
        <w:t>责任追究</w:t>
      </w:r>
      <w:r>
        <w:rPr>
          <w:rFonts w:hint="eastAsia" w:ascii="楷体_GB2312" w:eastAsia="楷体_GB2312"/>
          <w:sz w:val="32"/>
          <w:szCs w:val="32"/>
        </w:rPr>
        <w:t>结果</w:t>
      </w:r>
      <w:r>
        <w:rPr>
          <w:rFonts w:ascii="楷体_GB2312" w:eastAsia="楷体_GB2312"/>
          <w:sz w:val="32"/>
          <w:szCs w:val="32"/>
        </w:rPr>
        <w:t>情况。</w:t>
      </w:r>
      <w:r>
        <w:rPr>
          <w:rFonts w:hint="eastAsia" w:ascii="仿宋_GB2312" w:eastAsia="仿宋_GB2312"/>
          <w:sz w:val="32"/>
          <w:szCs w:val="32"/>
        </w:rPr>
        <w:t>根据最近北京市医疗保险事务管理中心考核结果，我局医保中心全市排名第三。</w:t>
      </w:r>
    </w:p>
    <w:p>
      <w:pPr>
        <w:spacing w:line="560" w:lineRule="exact"/>
        <w:ind w:firstLine="640" w:firstLineChars="200"/>
        <w:jc w:val="left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二</w:t>
      </w:r>
      <w:r>
        <w:rPr>
          <w:rFonts w:ascii="黑体" w:hAnsi="黑体" w:eastAsia="黑体"/>
          <w:sz w:val="32"/>
          <w:szCs w:val="32"/>
        </w:rPr>
        <w:t>、主动公开政府信息情况</w:t>
      </w:r>
    </w:p>
    <w:tbl>
      <w:tblPr>
        <w:tblStyle w:val="6"/>
        <w:tblW w:w="8505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94"/>
        <w:gridCol w:w="1084"/>
        <w:gridCol w:w="2117"/>
        <w:gridCol w:w="1426"/>
        <w:gridCol w:w="1839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1128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C6D9F1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第二十条第（一）项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45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信息内容</w:t>
            </w:r>
          </w:p>
        </w:tc>
        <w:tc>
          <w:tcPr>
            <w:tcW w:w="26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本年新制作数量</w:t>
            </w:r>
          </w:p>
        </w:tc>
        <w:tc>
          <w:tcPr>
            <w:tcW w:w="17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本年新公开数量</w:t>
            </w:r>
          </w:p>
        </w:tc>
        <w:tc>
          <w:tcPr>
            <w:tcW w:w="22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对外公开总数量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45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规章</w:t>
            </w:r>
          </w:p>
        </w:tc>
        <w:tc>
          <w:tcPr>
            <w:tcW w:w="26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17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22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45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规范性文件</w:t>
            </w:r>
          </w:p>
        </w:tc>
        <w:tc>
          <w:tcPr>
            <w:tcW w:w="26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17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22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1128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C6D9F1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第二十条第（五）项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45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信息内容</w:t>
            </w:r>
          </w:p>
        </w:tc>
        <w:tc>
          <w:tcPr>
            <w:tcW w:w="26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上一年项目数量</w:t>
            </w:r>
          </w:p>
        </w:tc>
        <w:tc>
          <w:tcPr>
            <w:tcW w:w="17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本年增/减</w:t>
            </w:r>
          </w:p>
        </w:tc>
        <w:tc>
          <w:tcPr>
            <w:tcW w:w="22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处理决定数量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45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行政许可</w:t>
            </w:r>
          </w:p>
        </w:tc>
        <w:tc>
          <w:tcPr>
            <w:tcW w:w="26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17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22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325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其他对外管理服务事项</w:t>
            </w:r>
          </w:p>
        </w:tc>
        <w:tc>
          <w:tcPr>
            <w:tcW w:w="13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行政检查</w:t>
            </w:r>
          </w:p>
        </w:tc>
        <w:tc>
          <w:tcPr>
            <w:tcW w:w="26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17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22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325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行政确认</w:t>
            </w:r>
          </w:p>
        </w:tc>
        <w:tc>
          <w:tcPr>
            <w:tcW w:w="26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17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22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1128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C6D9F1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第二十条第（六）项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45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信息内容</w:t>
            </w:r>
          </w:p>
        </w:tc>
        <w:tc>
          <w:tcPr>
            <w:tcW w:w="26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上一年项目数量</w:t>
            </w:r>
          </w:p>
        </w:tc>
        <w:tc>
          <w:tcPr>
            <w:tcW w:w="17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本年增/减</w:t>
            </w:r>
          </w:p>
        </w:tc>
        <w:tc>
          <w:tcPr>
            <w:tcW w:w="22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处理决定数量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45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行政处罚</w:t>
            </w:r>
          </w:p>
        </w:tc>
        <w:tc>
          <w:tcPr>
            <w:tcW w:w="26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17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22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45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行政强制</w:t>
            </w:r>
          </w:p>
        </w:tc>
        <w:tc>
          <w:tcPr>
            <w:tcW w:w="26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17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22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1128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C6D9F1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第二十条第（八）项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45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信息内容</w:t>
            </w:r>
          </w:p>
        </w:tc>
        <w:tc>
          <w:tcPr>
            <w:tcW w:w="26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上一年项目数量</w:t>
            </w:r>
          </w:p>
        </w:tc>
        <w:tc>
          <w:tcPr>
            <w:tcW w:w="405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本年增/减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45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行政事业性收费</w:t>
            </w:r>
          </w:p>
        </w:tc>
        <w:tc>
          <w:tcPr>
            <w:tcW w:w="26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405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1128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C6D9F1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第二十条第（九）项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45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信息内容</w:t>
            </w:r>
          </w:p>
        </w:tc>
        <w:tc>
          <w:tcPr>
            <w:tcW w:w="26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采购项目数量</w:t>
            </w:r>
          </w:p>
        </w:tc>
        <w:tc>
          <w:tcPr>
            <w:tcW w:w="405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采购总金额（万元，保留四位小数）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45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政府集中采购</w:t>
            </w:r>
          </w:p>
        </w:tc>
        <w:tc>
          <w:tcPr>
            <w:tcW w:w="26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16</w:t>
            </w:r>
          </w:p>
        </w:tc>
        <w:tc>
          <w:tcPr>
            <w:tcW w:w="405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46.2803</w:t>
            </w:r>
          </w:p>
        </w:tc>
      </w:tr>
      <w:bookmarkEnd w:id="4"/>
    </w:tbl>
    <w:p>
      <w:pPr>
        <w:spacing w:line="560" w:lineRule="exact"/>
        <w:ind w:firstLine="640" w:firstLineChars="200"/>
        <w:jc w:val="left"/>
        <w:rPr>
          <w:rFonts w:ascii="黑体" w:hAnsi="黑体" w:eastAsia="黑体"/>
          <w:sz w:val="32"/>
          <w:szCs w:val="32"/>
        </w:rPr>
      </w:pPr>
      <w:bookmarkStart w:id="5" w:name="OLE_LINK8"/>
    </w:p>
    <w:p>
      <w:pPr>
        <w:spacing w:line="560" w:lineRule="exact"/>
        <w:ind w:firstLine="640" w:firstLineChars="200"/>
        <w:jc w:val="left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三</w:t>
      </w:r>
      <w:r>
        <w:rPr>
          <w:rFonts w:ascii="黑体" w:hAnsi="黑体" w:eastAsia="黑体"/>
          <w:sz w:val="32"/>
          <w:szCs w:val="32"/>
        </w:rPr>
        <w:t>、</w:t>
      </w:r>
      <w:r>
        <w:rPr>
          <w:rFonts w:hint="eastAsia" w:ascii="黑体" w:hAnsi="黑体" w:eastAsia="黑体"/>
          <w:sz w:val="32"/>
          <w:szCs w:val="32"/>
        </w:rPr>
        <w:t>收到</w:t>
      </w:r>
      <w:r>
        <w:rPr>
          <w:rFonts w:ascii="黑体" w:hAnsi="黑体" w:eastAsia="黑体"/>
          <w:sz w:val="32"/>
          <w:szCs w:val="32"/>
        </w:rPr>
        <w:t>和处理政府信息公开申请情况</w:t>
      </w:r>
    </w:p>
    <w:tbl>
      <w:tblPr>
        <w:tblStyle w:val="6"/>
        <w:tblW w:w="8505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5"/>
        <w:gridCol w:w="1027"/>
        <w:gridCol w:w="2104"/>
        <w:gridCol w:w="627"/>
        <w:gridCol w:w="627"/>
        <w:gridCol w:w="627"/>
        <w:gridCol w:w="627"/>
        <w:gridCol w:w="627"/>
        <w:gridCol w:w="627"/>
        <w:gridCol w:w="627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4640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（本列数据的勾稽关系为：第一项加第二项之和，等于第三项加第四项之和）</w:t>
            </w:r>
          </w:p>
        </w:tc>
        <w:tc>
          <w:tcPr>
            <w:tcW w:w="4760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申请人情况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4640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8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自然人</w:t>
            </w:r>
          </w:p>
        </w:tc>
        <w:tc>
          <w:tcPr>
            <w:tcW w:w="340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法人或其他组织</w:t>
            </w:r>
          </w:p>
        </w:tc>
        <w:tc>
          <w:tcPr>
            <w:tcW w:w="68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总计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4640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商业企业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科研机构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社会公益组织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法律服务机构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其他</w:t>
            </w:r>
          </w:p>
        </w:tc>
        <w:tc>
          <w:tcPr>
            <w:tcW w:w="6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46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一、本年新收政府信息公开申请数量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46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二、上年结转政府信息公开申请数量</w:t>
            </w:r>
          </w:p>
        </w:tc>
        <w:tc>
          <w:tcPr>
            <w:tcW w:w="6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6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6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6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6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6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6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三、本年度办理结果</w:t>
            </w:r>
          </w:p>
        </w:tc>
        <w:tc>
          <w:tcPr>
            <w:tcW w:w="356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楷体" w:hAnsi="楷体" w:eastAsia="楷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楷体" w:hAnsi="楷体" w:eastAsia="楷体" w:cs="宋体"/>
                <w:color w:val="000000"/>
                <w:kern w:val="0"/>
                <w:sz w:val="20"/>
                <w:szCs w:val="20"/>
              </w:rPr>
              <w:t>（一）予以公开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0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56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楷体" w:hAnsi="楷体" w:eastAsia="楷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楷体" w:hAnsi="楷体" w:eastAsia="楷体" w:cs="宋体"/>
                <w:color w:val="000000"/>
                <w:kern w:val="0"/>
                <w:sz w:val="20"/>
                <w:szCs w:val="20"/>
              </w:rPr>
              <w:t>（二）部分公开（区分处理的，只计这一情形，不计其他情形）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0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楷体" w:hAnsi="楷体" w:eastAsia="楷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楷体" w:hAnsi="楷体" w:eastAsia="楷体" w:cs="宋体"/>
                <w:color w:val="000000"/>
                <w:kern w:val="0"/>
                <w:sz w:val="20"/>
                <w:szCs w:val="20"/>
              </w:rPr>
              <w:t>（三）不予公开</w:t>
            </w:r>
          </w:p>
        </w:tc>
        <w:tc>
          <w:tcPr>
            <w:tcW w:w="2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楷体" w:hAnsi="楷体" w:eastAsia="楷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楷体" w:hAnsi="楷体" w:eastAsia="楷体" w:cs="宋体"/>
                <w:color w:val="000000"/>
                <w:kern w:val="0"/>
                <w:sz w:val="20"/>
                <w:szCs w:val="20"/>
              </w:rPr>
              <w:t>1.属于国家秘密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0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楷体" w:hAnsi="楷体" w:eastAsia="楷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楷体" w:hAnsi="楷体" w:eastAsia="楷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楷体" w:hAnsi="楷体" w:eastAsia="楷体" w:cs="宋体"/>
                <w:color w:val="000000"/>
                <w:kern w:val="0"/>
                <w:sz w:val="20"/>
                <w:szCs w:val="20"/>
              </w:rPr>
              <w:t>2.其他法律行政法规禁止公开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0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楷体" w:hAnsi="楷体" w:eastAsia="楷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楷体" w:hAnsi="楷体" w:eastAsia="楷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楷体" w:hAnsi="楷体" w:eastAsia="楷体" w:cs="宋体"/>
                <w:color w:val="000000"/>
                <w:kern w:val="0"/>
                <w:sz w:val="20"/>
                <w:szCs w:val="20"/>
              </w:rPr>
              <w:t>3.危及“三安全一稳定”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0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楷体" w:hAnsi="楷体" w:eastAsia="楷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楷体" w:hAnsi="楷体" w:eastAsia="楷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楷体" w:hAnsi="楷体" w:eastAsia="楷体" w:cs="宋体"/>
                <w:color w:val="000000"/>
                <w:kern w:val="0"/>
                <w:sz w:val="20"/>
                <w:szCs w:val="20"/>
              </w:rPr>
              <w:t>4.保护第三方合法权益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0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楷体" w:hAnsi="楷体" w:eastAsia="楷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楷体" w:hAnsi="楷体" w:eastAsia="楷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楷体" w:hAnsi="楷体" w:eastAsia="楷体" w:cs="宋体"/>
                <w:color w:val="000000"/>
                <w:kern w:val="0"/>
                <w:sz w:val="20"/>
                <w:szCs w:val="20"/>
              </w:rPr>
              <w:t>5.属于三类内部事务信息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0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楷体" w:hAnsi="楷体" w:eastAsia="楷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楷体" w:hAnsi="楷体" w:eastAsia="楷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楷体" w:hAnsi="楷体" w:eastAsia="楷体" w:cs="宋体"/>
                <w:color w:val="000000"/>
                <w:kern w:val="0"/>
                <w:sz w:val="20"/>
                <w:szCs w:val="20"/>
              </w:rPr>
              <w:t>6.属于四类过程性信息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0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楷体" w:hAnsi="楷体" w:eastAsia="楷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楷体" w:hAnsi="楷体" w:eastAsia="楷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楷体" w:hAnsi="楷体" w:eastAsia="楷体" w:cs="宋体"/>
                <w:color w:val="000000"/>
                <w:kern w:val="0"/>
                <w:sz w:val="20"/>
                <w:szCs w:val="20"/>
              </w:rPr>
              <w:t>7.属于行政执法案卷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0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楷体" w:hAnsi="楷体" w:eastAsia="楷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楷体" w:hAnsi="楷体" w:eastAsia="楷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楷体" w:hAnsi="楷体" w:eastAsia="楷体" w:cs="宋体"/>
                <w:color w:val="000000"/>
                <w:kern w:val="0"/>
                <w:sz w:val="20"/>
                <w:szCs w:val="20"/>
              </w:rPr>
              <w:t>8.属于行政查询事项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0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楷体" w:hAnsi="楷体" w:eastAsia="楷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楷体" w:hAnsi="楷体" w:eastAsia="楷体" w:cs="宋体"/>
                <w:color w:val="000000"/>
                <w:kern w:val="0"/>
                <w:sz w:val="20"/>
                <w:szCs w:val="20"/>
              </w:rPr>
              <w:t>（四）无法提供</w:t>
            </w:r>
          </w:p>
        </w:tc>
        <w:tc>
          <w:tcPr>
            <w:tcW w:w="2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楷体" w:hAnsi="楷体" w:eastAsia="楷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楷体" w:hAnsi="楷体" w:eastAsia="楷体" w:cs="宋体"/>
                <w:color w:val="000000"/>
                <w:kern w:val="0"/>
                <w:sz w:val="20"/>
                <w:szCs w:val="20"/>
              </w:rPr>
              <w:t>1.本机关不掌握相关政府信息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0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楷体" w:hAnsi="楷体" w:eastAsia="楷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楷体" w:hAnsi="楷体" w:eastAsia="楷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楷体" w:hAnsi="楷体" w:eastAsia="楷体" w:cs="宋体"/>
                <w:color w:val="000000"/>
                <w:kern w:val="0"/>
                <w:sz w:val="20"/>
                <w:szCs w:val="20"/>
              </w:rPr>
              <w:t>2.没有现成信息需要另行制作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0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楷体" w:hAnsi="楷体" w:eastAsia="楷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楷体" w:hAnsi="楷体" w:eastAsia="楷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楷体" w:hAnsi="楷体" w:eastAsia="楷体" w:cs="宋体"/>
                <w:color w:val="000000"/>
                <w:kern w:val="0"/>
                <w:sz w:val="20"/>
                <w:szCs w:val="20"/>
              </w:rPr>
              <w:t>3.补正后申请内容仍不明确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0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楷体" w:hAnsi="楷体" w:eastAsia="楷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楷体" w:hAnsi="楷体" w:eastAsia="楷体" w:cs="宋体"/>
                <w:color w:val="000000"/>
                <w:kern w:val="0"/>
                <w:sz w:val="20"/>
                <w:szCs w:val="20"/>
              </w:rPr>
              <w:t>（五）不予处理</w:t>
            </w:r>
          </w:p>
        </w:tc>
        <w:tc>
          <w:tcPr>
            <w:tcW w:w="2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楷体" w:hAnsi="楷体" w:eastAsia="楷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楷体" w:hAnsi="楷体" w:eastAsia="楷体" w:cs="宋体"/>
                <w:color w:val="000000"/>
                <w:kern w:val="0"/>
                <w:sz w:val="20"/>
                <w:szCs w:val="20"/>
              </w:rPr>
              <w:t>1.信访举报投诉类申请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0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楷体" w:hAnsi="楷体" w:eastAsia="楷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楷体" w:hAnsi="楷体" w:eastAsia="楷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楷体" w:hAnsi="楷体" w:eastAsia="楷体" w:cs="宋体"/>
                <w:color w:val="000000"/>
                <w:kern w:val="0"/>
                <w:sz w:val="20"/>
                <w:szCs w:val="20"/>
              </w:rPr>
              <w:t>2.重复申请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0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楷体" w:hAnsi="楷体" w:eastAsia="楷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楷体" w:hAnsi="楷体" w:eastAsia="楷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楷体" w:hAnsi="楷体" w:eastAsia="楷体" w:cs="宋体"/>
                <w:color w:val="000000"/>
                <w:kern w:val="0"/>
                <w:sz w:val="20"/>
                <w:szCs w:val="20"/>
              </w:rPr>
              <w:t>3.要求提供公开出版物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0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楷体" w:hAnsi="楷体" w:eastAsia="楷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楷体" w:hAnsi="楷体" w:eastAsia="楷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楷体" w:hAnsi="楷体" w:eastAsia="楷体" w:cs="宋体"/>
                <w:color w:val="000000"/>
                <w:kern w:val="0"/>
                <w:sz w:val="20"/>
                <w:szCs w:val="20"/>
              </w:rPr>
              <w:t>4.无正当理由大量反复申请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0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楷体" w:hAnsi="楷体" w:eastAsia="楷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楷体" w:hAnsi="楷体" w:eastAsia="楷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楷体" w:hAnsi="楷体" w:eastAsia="楷体" w:cs="宋体"/>
                <w:color w:val="000000"/>
                <w:kern w:val="0"/>
                <w:sz w:val="20"/>
                <w:szCs w:val="20"/>
              </w:rPr>
              <w:t>5.要求行政机关确认或重新出具已获取信息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0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56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楷体" w:hAnsi="楷体" w:eastAsia="楷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楷体" w:hAnsi="楷体" w:eastAsia="楷体" w:cs="宋体"/>
                <w:color w:val="000000"/>
                <w:kern w:val="0"/>
                <w:sz w:val="20"/>
                <w:szCs w:val="20"/>
              </w:rPr>
              <w:t>（六）其他处理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0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56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楷体" w:hAnsi="楷体" w:eastAsia="楷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楷体" w:hAnsi="楷体" w:eastAsia="楷体" w:cs="宋体"/>
                <w:color w:val="000000"/>
                <w:kern w:val="0"/>
                <w:sz w:val="20"/>
                <w:szCs w:val="20"/>
              </w:rPr>
              <w:t>（七）总计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46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四、结转下年度继续办理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</w:tr>
    </w:tbl>
    <w:p>
      <w:pPr>
        <w:spacing w:line="560" w:lineRule="exact"/>
        <w:ind w:firstLine="640" w:firstLineChars="200"/>
        <w:jc w:val="left"/>
        <w:rPr>
          <w:rFonts w:ascii="黑体" w:hAnsi="黑体" w:eastAsia="黑体"/>
          <w:sz w:val="32"/>
          <w:szCs w:val="32"/>
        </w:rPr>
      </w:pPr>
    </w:p>
    <w:p>
      <w:pPr>
        <w:spacing w:line="560" w:lineRule="exact"/>
        <w:ind w:firstLine="640" w:firstLineChars="200"/>
        <w:jc w:val="left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四</w:t>
      </w:r>
      <w:r>
        <w:rPr>
          <w:rFonts w:ascii="黑体" w:hAnsi="黑体" w:eastAsia="黑体"/>
          <w:sz w:val="32"/>
          <w:szCs w:val="32"/>
        </w:rPr>
        <w:t>、政府信息公开行政复议</w:t>
      </w:r>
      <w:r>
        <w:rPr>
          <w:rFonts w:hint="eastAsia" w:ascii="黑体" w:hAnsi="黑体" w:eastAsia="黑体"/>
          <w:sz w:val="32"/>
          <w:szCs w:val="32"/>
        </w:rPr>
        <w:t>、</w:t>
      </w:r>
      <w:r>
        <w:rPr>
          <w:rFonts w:ascii="黑体" w:hAnsi="黑体" w:eastAsia="黑体"/>
          <w:sz w:val="32"/>
          <w:szCs w:val="32"/>
        </w:rPr>
        <w:t>行政诉讼情况</w:t>
      </w:r>
    </w:p>
    <w:tbl>
      <w:tblPr>
        <w:tblStyle w:val="6"/>
        <w:tblW w:w="8505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280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行政复议</w:t>
            </w:r>
          </w:p>
        </w:tc>
        <w:tc>
          <w:tcPr>
            <w:tcW w:w="5600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行政诉讼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56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结果维持</w:t>
            </w:r>
          </w:p>
        </w:tc>
        <w:tc>
          <w:tcPr>
            <w:tcW w:w="56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结果纠正</w:t>
            </w:r>
          </w:p>
        </w:tc>
        <w:tc>
          <w:tcPr>
            <w:tcW w:w="56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其他结果</w:t>
            </w:r>
          </w:p>
        </w:tc>
        <w:tc>
          <w:tcPr>
            <w:tcW w:w="56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尚未审结</w:t>
            </w:r>
          </w:p>
        </w:tc>
        <w:tc>
          <w:tcPr>
            <w:tcW w:w="56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总计</w:t>
            </w:r>
          </w:p>
        </w:tc>
        <w:tc>
          <w:tcPr>
            <w:tcW w:w="280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未经复议直接起诉</w:t>
            </w:r>
          </w:p>
        </w:tc>
        <w:tc>
          <w:tcPr>
            <w:tcW w:w="280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复议后起诉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5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结果维持</w:t>
            </w:r>
          </w:p>
        </w:tc>
        <w:tc>
          <w:tcPr>
            <w:tcW w:w="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结果纠正</w:t>
            </w:r>
          </w:p>
        </w:tc>
        <w:tc>
          <w:tcPr>
            <w:tcW w:w="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其他结果</w:t>
            </w:r>
          </w:p>
        </w:tc>
        <w:tc>
          <w:tcPr>
            <w:tcW w:w="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尚未审结</w:t>
            </w:r>
          </w:p>
        </w:tc>
        <w:tc>
          <w:tcPr>
            <w:tcW w:w="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总计</w:t>
            </w:r>
          </w:p>
        </w:tc>
        <w:tc>
          <w:tcPr>
            <w:tcW w:w="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结果维持</w:t>
            </w:r>
          </w:p>
        </w:tc>
        <w:tc>
          <w:tcPr>
            <w:tcW w:w="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结果纠正</w:t>
            </w:r>
          </w:p>
        </w:tc>
        <w:tc>
          <w:tcPr>
            <w:tcW w:w="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其他结果</w:t>
            </w:r>
          </w:p>
        </w:tc>
        <w:tc>
          <w:tcPr>
            <w:tcW w:w="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尚未审结</w:t>
            </w:r>
          </w:p>
        </w:tc>
        <w:tc>
          <w:tcPr>
            <w:tcW w:w="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总计</w:t>
            </w:r>
          </w:p>
        </w:tc>
      </w:tr>
      <w:tr>
        <w:trPr>
          <w:trHeight w:val="585" w:hRule="atLeast"/>
          <w:jc w:val="center"/>
        </w:trPr>
        <w:tc>
          <w:tcPr>
            <w:tcW w:w="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alibri" w:hAnsi="Calibri" w:eastAsia="宋体" w:cs="宋体"/>
                <w:color w:val="000000"/>
                <w:kern w:val="0"/>
                <w:szCs w:val="21"/>
              </w:rPr>
            </w:pPr>
            <w:r>
              <w:rPr>
                <w:rFonts w:ascii="Calibri" w:hAnsi="Calibri" w:eastAsia="宋体" w:cs="宋体"/>
                <w:color w:val="000000"/>
                <w:kern w:val="0"/>
                <w:szCs w:val="21"/>
              </w:rPr>
              <w:t>0</w:t>
            </w:r>
          </w:p>
        </w:tc>
      </w:tr>
      <w:bookmarkEnd w:id="5"/>
    </w:tbl>
    <w:p>
      <w:pPr>
        <w:spacing w:line="560" w:lineRule="exact"/>
        <w:ind w:firstLine="640" w:firstLineChars="200"/>
        <w:jc w:val="left"/>
        <w:rPr>
          <w:rFonts w:ascii="黑体" w:hAnsi="黑体" w:eastAsia="黑体"/>
          <w:sz w:val="32"/>
          <w:szCs w:val="32"/>
        </w:rPr>
      </w:pPr>
      <w:bookmarkStart w:id="6" w:name="OLE_LINK10"/>
      <w:r>
        <w:rPr>
          <w:rFonts w:hint="eastAsia" w:ascii="黑体" w:hAnsi="黑体" w:eastAsia="黑体"/>
          <w:sz w:val="32"/>
          <w:szCs w:val="32"/>
        </w:rPr>
        <w:t>五</w:t>
      </w:r>
      <w:r>
        <w:rPr>
          <w:rFonts w:ascii="黑体" w:hAnsi="黑体" w:eastAsia="黑体"/>
          <w:sz w:val="32"/>
          <w:szCs w:val="32"/>
        </w:rPr>
        <w:t>、</w:t>
      </w:r>
      <w:r>
        <w:rPr>
          <w:rFonts w:hint="eastAsia" w:ascii="黑体" w:hAnsi="黑体" w:eastAsia="黑体"/>
          <w:sz w:val="32"/>
          <w:szCs w:val="32"/>
        </w:rPr>
        <w:t>存在</w:t>
      </w:r>
      <w:r>
        <w:rPr>
          <w:rFonts w:ascii="黑体" w:hAnsi="黑体" w:eastAsia="黑体"/>
          <w:sz w:val="32"/>
          <w:szCs w:val="32"/>
        </w:rPr>
        <w:t>的主要问题及改进情况</w:t>
      </w:r>
    </w:p>
    <w:p>
      <w:pPr>
        <w:pStyle w:val="5"/>
        <w:adjustRightInd w:val="0"/>
        <w:snapToGrid w:val="0"/>
        <w:spacing w:before="0" w:beforeAutospacing="0" w:after="0" w:line="560" w:lineRule="exact"/>
        <w:ind w:firstLine="640" w:firstLineChars="200"/>
        <w:jc w:val="both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2</w:t>
      </w:r>
      <w:r>
        <w:rPr>
          <w:rFonts w:ascii="仿宋_GB2312" w:eastAsia="仿宋_GB2312"/>
          <w:sz w:val="32"/>
          <w:szCs w:val="32"/>
        </w:rPr>
        <w:t>019</w:t>
      </w:r>
      <w:r>
        <w:rPr>
          <w:rFonts w:hint="eastAsia" w:ascii="仿宋_GB2312" w:eastAsia="仿宋_GB2312"/>
          <w:sz w:val="32"/>
          <w:szCs w:val="32"/>
        </w:rPr>
        <w:t>年，区医疗保障局作为新成立部门，在</w:t>
      </w:r>
      <w:r>
        <w:rPr>
          <w:rFonts w:ascii="仿宋_GB2312" w:eastAsia="仿宋_GB2312"/>
          <w:sz w:val="32"/>
          <w:szCs w:val="32"/>
        </w:rPr>
        <w:t>政府信息公开工作</w:t>
      </w:r>
      <w:r>
        <w:rPr>
          <w:rFonts w:hint="eastAsia" w:ascii="仿宋_GB2312" w:eastAsia="仿宋_GB2312"/>
          <w:sz w:val="32"/>
          <w:szCs w:val="32"/>
        </w:rPr>
        <w:t>方面存在着许多不足：一是应对政府信息公开工作业务知识储备不够，经验不足；二是信息公开工作相关体制机制不够健全，工作流程需进一步细化；三是信息公开的深度广度不足，涉及公众参与、政策解读等内容与群众需求仍存在一定差距；四是</w:t>
      </w:r>
      <w:r>
        <w:rPr>
          <w:rFonts w:ascii="仿宋_GB2312" w:eastAsia="仿宋_GB2312"/>
          <w:sz w:val="32"/>
          <w:szCs w:val="32"/>
        </w:rPr>
        <w:t>信息公开</w:t>
      </w:r>
      <w:r>
        <w:rPr>
          <w:rFonts w:hint="eastAsia" w:ascii="仿宋_GB2312" w:eastAsia="仿宋_GB2312"/>
          <w:sz w:val="32"/>
          <w:szCs w:val="32"/>
        </w:rPr>
        <w:t>回应</w:t>
      </w:r>
      <w:r>
        <w:rPr>
          <w:rFonts w:ascii="仿宋_GB2312" w:eastAsia="仿宋_GB2312"/>
          <w:sz w:val="32"/>
          <w:szCs w:val="32"/>
        </w:rPr>
        <w:t>群众关注的热点信息</w:t>
      </w:r>
      <w:r>
        <w:rPr>
          <w:rFonts w:hint="eastAsia" w:ascii="仿宋_GB2312" w:eastAsia="仿宋_GB2312"/>
          <w:sz w:val="32"/>
          <w:szCs w:val="32"/>
        </w:rPr>
        <w:t>形式单一。</w:t>
      </w:r>
    </w:p>
    <w:p>
      <w:pPr>
        <w:pStyle w:val="5"/>
        <w:adjustRightInd w:val="0"/>
        <w:snapToGrid w:val="0"/>
        <w:spacing w:before="0" w:beforeAutospacing="0" w:after="0" w:line="560" w:lineRule="exact"/>
        <w:ind w:firstLine="640" w:firstLineChars="200"/>
        <w:jc w:val="both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2</w:t>
      </w:r>
      <w:r>
        <w:rPr>
          <w:rFonts w:ascii="仿宋_GB2312" w:eastAsia="仿宋_GB2312"/>
          <w:sz w:val="32"/>
          <w:szCs w:val="32"/>
        </w:rPr>
        <w:t>020</w:t>
      </w:r>
      <w:r>
        <w:rPr>
          <w:rFonts w:hint="eastAsia" w:ascii="仿宋_GB2312" w:eastAsia="仿宋_GB2312"/>
          <w:sz w:val="32"/>
          <w:szCs w:val="32"/>
        </w:rPr>
        <w:t>年我们将在以下方面着力加强政府信息公开工作，一是完善</w:t>
      </w:r>
      <w:r>
        <w:rPr>
          <w:rFonts w:ascii="仿宋_GB2312" w:eastAsia="仿宋_GB2312"/>
          <w:sz w:val="32"/>
          <w:szCs w:val="32"/>
        </w:rPr>
        <w:t>信息公开工作</w:t>
      </w:r>
      <w:r>
        <w:rPr>
          <w:rFonts w:hint="eastAsia" w:ascii="仿宋_GB2312" w:eastAsia="仿宋_GB2312"/>
          <w:sz w:val="32"/>
          <w:szCs w:val="32"/>
        </w:rPr>
        <w:t>法制化，建立健全制度体系；二是主动做</w:t>
      </w:r>
      <w:r>
        <w:rPr>
          <w:rFonts w:ascii="仿宋_GB2312" w:eastAsia="仿宋_GB2312"/>
          <w:sz w:val="32"/>
          <w:szCs w:val="32"/>
        </w:rPr>
        <w:t>好公开</w:t>
      </w:r>
      <w:r>
        <w:rPr>
          <w:rFonts w:hint="eastAsia" w:ascii="仿宋_GB2312" w:eastAsia="仿宋_GB2312"/>
          <w:sz w:val="32"/>
          <w:szCs w:val="32"/>
        </w:rPr>
        <w:t>信息的</w:t>
      </w:r>
      <w:r>
        <w:rPr>
          <w:rFonts w:ascii="仿宋_GB2312" w:eastAsia="仿宋_GB2312"/>
          <w:sz w:val="32"/>
          <w:szCs w:val="32"/>
        </w:rPr>
        <w:t>及时发布，加强对公众关注度高的政府信息的</w:t>
      </w:r>
      <w:r>
        <w:rPr>
          <w:rFonts w:hint="eastAsia" w:ascii="仿宋_GB2312" w:eastAsia="仿宋_GB2312"/>
          <w:sz w:val="32"/>
          <w:szCs w:val="32"/>
        </w:rPr>
        <w:t>解读；三是规范</w:t>
      </w:r>
      <w:r>
        <w:rPr>
          <w:rFonts w:ascii="仿宋_GB2312" w:eastAsia="仿宋_GB2312"/>
          <w:sz w:val="32"/>
          <w:szCs w:val="32"/>
        </w:rPr>
        <w:t>信息公开流程，提高</w:t>
      </w:r>
      <w:r>
        <w:rPr>
          <w:rFonts w:hint="eastAsia" w:ascii="仿宋_GB2312" w:eastAsia="仿宋_GB2312"/>
          <w:sz w:val="32"/>
          <w:szCs w:val="32"/>
        </w:rPr>
        <w:t>依</w:t>
      </w:r>
      <w:r>
        <w:rPr>
          <w:rFonts w:ascii="仿宋_GB2312" w:eastAsia="仿宋_GB2312"/>
          <w:sz w:val="32"/>
          <w:szCs w:val="32"/>
        </w:rPr>
        <w:t>申请公开的处理效率</w:t>
      </w:r>
      <w:r>
        <w:rPr>
          <w:rFonts w:hint="eastAsia" w:ascii="仿宋_GB2312" w:eastAsia="仿宋_GB2312"/>
          <w:sz w:val="32"/>
          <w:szCs w:val="32"/>
        </w:rPr>
        <w:t>和</w:t>
      </w:r>
      <w:r>
        <w:rPr>
          <w:rFonts w:ascii="仿宋_GB2312" w:eastAsia="仿宋_GB2312"/>
          <w:sz w:val="32"/>
          <w:szCs w:val="32"/>
        </w:rPr>
        <w:t>速度</w:t>
      </w:r>
      <w:r>
        <w:rPr>
          <w:rFonts w:hint="eastAsia" w:ascii="仿宋_GB2312" w:eastAsia="仿宋_GB2312"/>
          <w:sz w:val="32"/>
          <w:szCs w:val="32"/>
        </w:rPr>
        <w:t>；四是积极利用政府信息公开专栏、</w:t>
      </w:r>
      <w:r>
        <w:rPr>
          <w:rFonts w:ascii="仿宋_GB2312" w:eastAsia="仿宋_GB2312"/>
          <w:sz w:val="32"/>
          <w:szCs w:val="32"/>
        </w:rPr>
        <w:t>微信</w:t>
      </w:r>
      <w:r>
        <w:rPr>
          <w:rFonts w:hint="eastAsia" w:ascii="仿宋_GB2312" w:eastAsia="仿宋_GB2312"/>
          <w:sz w:val="32"/>
          <w:szCs w:val="32"/>
        </w:rPr>
        <w:t>公众平台</w:t>
      </w:r>
      <w:r>
        <w:rPr>
          <w:rFonts w:ascii="仿宋_GB2312" w:eastAsia="仿宋_GB2312"/>
          <w:sz w:val="32"/>
          <w:szCs w:val="32"/>
        </w:rPr>
        <w:t>等</w:t>
      </w:r>
      <w:r>
        <w:rPr>
          <w:rFonts w:hint="eastAsia" w:ascii="仿宋_GB2312" w:eastAsia="仿宋_GB2312"/>
          <w:sz w:val="32"/>
          <w:szCs w:val="32"/>
        </w:rPr>
        <w:t>“互联网+”</w:t>
      </w:r>
      <w:r>
        <w:rPr>
          <w:rFonts w:ascii="仿宋_GB2312" w:eastAsia="仿宋_GB2312"/>
          <w:sz w:val="32"/>
          <w:szCs w:val="32"/>
        </w:rPr>
        <w:t>方式</w:t>
      </w:r>
      <w:r>
        <w:rPr>
          <w:rFonts w:hint="eastAsia" w:ascii="仿宋_GB2312" w:eastAsia="仿宋_GB2312"/>
          <w:sz w:val="32"/>
          <w:szCs w:val="32"/>
        </w:rPr>
        <w:t>开展</w:t>
      </w:r>
      <w:r>
        <w:rPr>
          <w:rFonts w:ascii="仿宋_GB2312" w:eastAsia="仿宋_GB2312"/>
          <w:sz w:val="32"/>
          <w:szCs w:val="32"/>
        </w:rPr>
        <w:t>信息公开工作</w:t>
      </w:r>
      <w:r>
        <w:rPr>
          <w:rFonts w:hint="eastAsia" w:ascii="仿宋_GB2312" w:eastAsia="仿宋_GB2312"/>
          <w:sz w:val="32"/>
          <w:szCs w:val="32"/>
        </w:rPr>
        <w:t>，利用新媒体平台解读医疗保险相关政策，</w:t>
      </w:r>
      <w:r>
        <w:rPr>
          <w:rFonts w:ascii="仿宋_GB2312" w:eastAsia="仿宋_GB2312"/>
          <w:sz w:val="32"/>
          <w:szCs w:val="32"/>
        </w:rPr>
        <w:t>完善信息公开载体建设。</w:t>
      </w:r>
    </w:p>
    <w:p>
      <w:pPr>
        <w:pStyle w:val="16"/>
        <w:spacing w:line="560" w:lineRule="exact"/>
        <w:ind w:firstLine="640" w:firstLineChars="200"/>
        <w:jc w:val="both"/>
        <w:rPr>
          <w:rFonts w:ascii="黑体" w:hAnsi="黑体" w:eastAsia="黑体" w:cstheme="minorBidi"/>
          <w:color w:val="auto"/>
          <w:kern w:val="2"/>
          <w:sz w:val="32"/>
          <w:szCs w:val="32"/>
        </w:rPr>
      </w:pPr>
      <w:r>
        <w:rPr>
          <w:rFonts w:hint="eastAsia" w:ascii="黑体" w:hAnsi="黑体" w:eastAsia="黑体" w:cstheme="minorBidi"/>
          <w:color w:val="auto"/>
          <w:kern w:val="2"/>
          <w:sz w:val="32"/>
          <w:szCs w:val="32"/>
        </w:rPr>
        <w:t>六</w:t>
      </w:r>
      <w:r>
        <w:rPr>
          <w:rFonts w:ascii="黑体" w:hAnsi="黑体" w:eastAsia="黑体" w:cstheme="minorBidi"/>
          <w:color w:val="auto"/>
          <w:kern w:val="2"/>
          <w:sz w:val="32"/>
          <w:szCs w:val="32"/>
        </w:rPr>
        <w:t>、其他需要报告的事项</w:t>
      </w:r>
    </w:p>
    <w:p>
      <w:pPr>
        <w:pStyle w:val="16"/>
        <w:spacing w:line="560" w:lineRule="exact"/>
        <w:ind w:firstLine="640" w:firstLineChars="200"/>
        <w:jc w:val="both"/>
        <w:rPr>
          <w:rFonts w:ascii="仿宋_GB2312" w:eastAsia="仿宋_GB2312" w:hAnsiTheme="minorHAnsi" w:cstheme="minorBidi"/>
          <w:color w:val="auto"/>
          <w:kern w:val="2"/>
          <w:sz w:val="32"/>
          <w:szCs w:val="32"/>
        </w:rPr>
      </w:pPr>
      <w:r>
        <w:rPr>
          <w:rFonts w:hint="eastAsia" w:ascii="仿宋_GB2312" w:eastAsia="仿宋_GB2312" w:hAnsiTheme="minorHAnsi" w:cstheme="minorBidi"/>
          <w:color w:val="auto"/>
          <w:kern w:val="2"/>
          <w:sz w:val="32"/>
          <w:szCs w:val="32"/>
          <w:lang w:eastAsia="zh-CN"/>
        </w:rPr>
        <w:t>无</w:t>
      </w:r>
      <w:r>
        <w:rPr>
          <w:rFonts w:hint="eastAsia" w:ascii="仿宋_GB2312" w:eastAsia="仿宋_GB2312" w:hAnsiTheme="minorHAnsi" w:cstheme="minorBidi"/>
          <w:color w:val="auto"/>
          <w:kern w:val="2"/>
          <w:sz w:val="32"/>
          <w:szCs w:val="32"/>
        </w:rPr>
        <w:t>。</w:t>
      </w:r>
    </w:p>
    <w:p>
      <w:pPr>
        <w:pStyle w:val="16"/>
        <w:spacing w:line="560" w:lineRule="exact"/>
        <w:jc w:val="both"/>
        <w:rPr>
          <w:rFonts w:ascii="仿宋_GB2312" w:eastAsia="仿宋_GB2312" w:hAnsiTheme="minorHAnsi" w:cstheme="minorBidi"/>
          <w:color w:val="auto"/>
          <w:kern w:val="2"/>
          <w:sz w:val="32"/>
          <w:szCs w:val="32"/>
        </w:rPr>
      </w:pPr>
    </w:p>
    <w:p>
      <w:pPr>
        <w:pStyle w:val="16"/>
        <w:spacing w:line="560" w:lineRule="exact"/>
        <w:jc w:val="both"/>
        <w:rPr>
          <w:rFonts w:ascii="仿宋_GB2312" w:eastAsia="仿宋_GB2312" w:hAnsiTheme="minorHAnsi" w:cstheme="minorBidi"/>
          <w:color w:val="auto"/>
          <w:kern w:val="2"/>
          <w:sz w:val="32"/>
          <w:szCs w:val="32"/>
        </w:rPr>
      </w:pPr>
    </w:p>
    <w:p>
      <w:pPr>
        <w:spacing w:line="560" w:lineRule="exact"/>
        <w:ind w:firstLine="640" w:firstLineChars="200"/>
        <w:jc w:val="right"/>
        <w:rPr>
          <w:rFonts w:ascii="仿宋_GB2312" w:eastAsia="仿宋_GB2312"/>
          <w:sz w:val="32"/>
          <w:szCs w:val="32"/>
        </w:rPr>
      </w:pPr>
    </w:p>
    <w:p>
      <w:pPr>
        <w:spacing w:line="560" w:lineRule="exact"/>
        <w:ind w:firstLine="640" w:firstLineChars="200"/>
        <w:jc w:val="right"/>
        <w:rPr>
          <w:rFonts w:ascii="仿宋_GB2312" w:eastAsia="仿宋_GB2312"/>
          <w:sz w:val="32"/>
          <w:szCs w:val="32"/>
        </w:rPr>
      </w:pPr>
    </w:p>
    <w:p>
      <w:pPr>
        <w:spacing w:line="560" w:lineRule="exact"/>
        <w:ind w:firstLine="640" w:firstLineChars="200"/>
        <w:jc w:val="righ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北京市</w:t>
      </w:r>
      <w:r>
        <w:rPr>
          <w:rFonts w:ascii="仿宋_GB2312" w:eastAsia="仿宋_GB2312"/>
          <w:sz w:val="32"/>
          <w:szCs w:val="32"/>
        </w:rPr>
        <w:t>丰台区</w:t>
      </w:r>
      <w:r>
        <w:rPr>
          <w:rFonts w:hint="eastAsia" w:ascii="仿宋_GB2312" w:eastAsia="仿宋_GB2312"/>
          <w:sz w:val="32"/>
          <w:szCs w:val="32"/>
        </w:rPr>
        <w:t>医疗保障局</w:t>
      </w:r>
    </w:p>
    <w:p>
      <w:pPr>
        <w:wordWrap w:val="0"/>
        <w:spacing w:line="560" w:lineRule="exact"/>
        <w:ind w:firstLine="640" w:firstLineChars="200"/>
        <w:jc w:val="righ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20</w:t>
      </w:r>
      <w:r>
        <w:rPr>
          <w:rFonts w:ascii="仿宋_GB2312" w:eastAsia="仿宋_GB2312"/>
          <w:sz w:val="32"/>
          <w:szCs w:val="32"/>
        </w:rPr>
        <w:t>20</w:t>
      </w:r>
      <w:r>
        <w:rPr>
          <w:rFonts w:hint="eastAsia" w:ascii="仿宋_GB2312" w:eastAsia="仿宋_GB2312"/>
          <w:sz w:val="32"/>
          <w:szCs w:val="32"/>
        </w:rPr>
        <w:t>年</w:t>
      </w:r>
      <w:r>
        <w:rPr>
          <w:rFonts w:ascii="仿宋_GB2312" w:eastAsia="仿宋_GB2312"/>
          <w:sz w:val="32"/>
          <w:szCs w:val="32"/>
        </w:rPr>
        <w:t>1</w:t>
      </w:r>
      <w:r>
        <w:rPr>
          <w:rFonts w:hint="eastAsia" w:ascii="仿宋_GB2312" w:eastAsia="仿宋_GB2312"/>
          <w:sz w:val="32"/>
          <w:szCs w:val="32"/>
        </w:rPr>
        <w:t>月</w:t>
      </w:r>
      <w:bookmarkEnd w:id="3"/>
      <w:r>
        <w:rPr>
          <w:rFonts w:hint="eastAsia" w:ascii="仿宋_GB2312" w:eastAsia="仿宋_GB2312"/>
          <w:sz w:val="32"/>
          <w:szCs w:val="32"/>
        </w:rPr>
        <w:t xml:space="preserve"> </w:t>
      </w:r>
      <w:bookmarkEnd w:id="6"/>
      <w:r>
        <w:rPr>
          <w:rFonts w:ascii="仿宋_GB2312" w:eastAsia="仿宋_GB2312"/>
          <w:sz w:val="32"/>
          <w:szCs w:val="32"/>
        </w:rPr>
        <w:t xml:space="preserve">  </w:t>
      </w:r>
    </w:p>
    <w:sectPr>
      <w:pgSz w:w="11906" w:h="16838"/>
      <w:pgMar w:top="2098" w:right="1531" w:bottom="1985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_GBK">
    <w:altName w:val="微软雅黑"/>
    <w:panose1 w:val="00000000000000000000"/>
    <w:charset w:val="86"/>
    <w:family w:val="script"/>
    <w:pitch w:val="default"/>
    <w:sig w:usb0="00000000" w:usb1="00000000" w:usb2="00000010" w:usb3="00000000" w:csb0="003C004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TEwZmZjOTc5NTQ5YTFkN2NhZTc2MzE3OWJhYjZhMTYifQ=="/>
    <w:docVar w:name="KSO_WPS_MARK_KEY" w:val="a1df2f42-f958-4799-a68a-6a75da692c33"/>
  </w:docVars>
  <w:rsids>
    <w:rsidRoot w:val="006A17D2"/>
    <w:rsid w:val="00012103"/>
    <w:rsid w:val="000152F1"/>
    <w:rsid w:val="0001560C"/>
    <w:rsid w:val="00023165"/>
    <w:rsid w:val="00035683"/>
    <w:rsid w:val="00035E67"/>
    <w:rsid w:val="00037CCC"/>
    <w:rsid w:val="000415C7"/>
    <w:rsid w:val="000435BA"/>
    <w:rsid w:val="00064FF1"/>
    <w:rsid w:val="00072B13"/>
    <w:rsid w:val="00075350"/>
    <w:rsid w:val="0008194B"/>
    <w:rsid w:val="000904AA"/>
    <w:rsid w:val="00093F61"/>
    <w:rsid w:val="000951DF"/>
    <w:rsid w:val="00097649"/>
    <w:rsid w:val="000A6C54"/>
    <w:rsid w:val="000D2992"/>
    <w:rsid w:val="000E4B67"/>
    <w:rsid w:val="00101A4A"/>
    <w:rsid w:val="00106C96"/>
    <w:rsid w:val="001136B9"/>
    <w:rsid w:val="00132572"/>
    <w:rsid w:val="00134682"/>
    <w:rsid w:val="00153EE0"/>
    <w:rsid w:val="00157AB4"/>
    <w:rsid w:val="00170DDA"/>
    <w:rsid w:val="00176D6F"/>
    <w:rsid w:val="00180460"/>
    <w:rsid w:val="001879DD"/>
    <w:rsid w:val="00187B1A"/>
    <w:rsid w:val="0019389E"/>
    <w:rsid w:val="00195FCA"/>
    <w:rsid w:val="00196AED"/>
    <w:rsid w:val="001B090F"/>
    <w:rsid w:val="001B0BE2"/>
    <w:rsid w:val="001C3786"/>
    <w:rsid w:val="001C3E86"/>
    <w:rsid w:val="001D3324"/>
    <w:rsid w:val="001D3E7A"/>
    <w:rsid w:val="001D5152"/>
    <w:rsid w:val="001E0592"/>
    <w:rsid w:val="001E193B"/>
    <w:rsid w:val="001E4EF3"/>
    <w:rsid w:val="001F063C"/>
    <w:rsid w:val="001F274D"/>
    <w:rsid w:val="001F2E4A"/>
    <w:rsid w:val="001F4263"/>
    <w:rsid w:val="002232C4"/>
    <w:rsid w:val="00235E01"/>
    <w:rsid w:val="00252E65"/>
    <w:rsid w:val="00256B79"/>
    <w:rsid w:val="00261879"/>
    <w:rsid w:val="0027591B"/>
    <w:rsid w:val="00281351"/>
    <w:rsid w:val="00283954"/>
    <w:rsid w:val="00283FF3"/>
    <w:rsid w:val="002B044F"/>
    <w:rsid w:val="002B70E4"/>
    <w:rsid w:val="002C0349"/>
    <w:rsid w:val="002E6581"/>
    <w:rsid w:val="002F6C03"/>
    <w:rsid w:val="0030574C"/>
    <w:rsid w:val="003127F6"/>
    <w:rsid w:val="00322237"/>
    <w:rsid w:val="0034457F"/>
    <w:rsid w:val="003460B9"/>
    <w:rsid w:val="00351D71"/>
    <w:rsid w:val="00351DE5"/>
    <w:rsid w:val="00367D91"/>
    <w:rsid w:val="00372D35"/>
    <w:rsid w:val="00374853"/>
    <w:rsid w:val="00376880"/>
    <w:rsid w:val="003915AA"/>
    <w:rsid w:val="003A599D"/>
    <w:rsid w:val="003B2641"/>
    <w:rsid w:val="003B5D3C"/>
    <w:rsid w:val="003C57A2"/>
    <w:rsid w:val="003D6F5E"/>
    <w:rsid w:val="003E193A"/>
    <w:rsid w:val="003E6956"/>
    <w:rsid w:val="003F1E7F"/>
    <w:rsid w:val="003F2038"/>
    <w:rsid w:val="003F53D1"/>
    <w:rsid w:val="003F7884"/>
    <w:rsid w:val="00406D43"/>
    <w:rsid w:val="0042305E"/>
    <w:rsid w:val="00424CAA"/>
    <w:rsid w:val="00432403"/>
    <w:rsid w:val="00442CF4"/>
    <w:rsid w:val="00444397"/>
    <w:rsid w:val="00446836"/>
    <w:rsid w:val="0045210E"/>
    <w:rsid w:val="004556F4"/>
    <w:rsid w:val="004661AD"/>
    <w:rsid w:val="00467E24"/>
    <w:rsid w:val="004723A6"/>
    <w:rsid w:val="004A788B"/>
    <w:rsid w:val="004B2761"/>
    <w:rsid w:val="004B2FD5"/>
    <w:rsid w:val="004C2A6A"/>
    <w:rsid w:val="004C49D1"/>
    <w:rsid w:val="004D51FD"/>
    <w:rsid w:val="004E164E"/>
    <w:rsid w:val="005004FD"/>
    <w:rsid w:val="00505D7A"/>
    <w:rsid w:val="00506E2F"/>
    <w:rsid w:val="00512954"/>
    <w:rsid w:val="00513E00"/>
    <w:rsid w:val="00522705"/>
    <w:rsid w:val="00522E58"/>
    <w:rsid w:val="005515AE"/>
    <w:rsid w:val="00557133"/>
    <w:rsid w:val="00563579"/>
    <w:rsid w:val="00573643"/>
    <w:rsid w:val="00596B45"/>
    <w:rsid w:val="005A4FD5"/>
    <w:rsid w:val="005A5374"/>
    <w:rsid w:val="005B0907"/>
    <w:rsid w:val="005B77C8"/>
    <w:rsid w:val="005D0BA4"/>
    <w:rsid w:val="005D1347"/>
    <w:rsid w:val="005D26C0"/>
    <w:rsid w:val="005D36B6"/>
    <w:rsid w:val="005D5480"/>
    <w:rsid w:val="005D5895"/>
    <w:rsid w:val="005E26E9"/>
    <w:rsid w:val="005E6667"/>
    <w:rsid w:val="005F1A7B"/>
    <w:rsid w:val="005F4FC3"/>
    <w:rsid w:val="00605283"/>
    <w:rsid w:val="00624576"/>
    <w:rsid w:val="00635884"/>
    <w:rsid w:val="00643665"/>
    <w:rsid w:val="00652A4E"/>
    <w:rsid w:val="006614CB"/>
    <w:rsid w:val="00673102"/>
    <w:rsid w:val="00677BF8"/>
    <w:rsid w:val="00677F55"/>
    <w:rsid w:val="0068240E"/>
    <w:rsid w:val="00691935"/>
    <w:rsid w:val="006A17D2"/>
    <w:rsid w:val="006A1DD5"/>
    <w:rsid w:val="006B2BCD"/>
    <w:rsid w:val="006C62CC"/>
    <w:rsid w:val="006D5221"/>
    <w:rsid w:val="006F10EA"/>
    <w:rsid w:val="006F465B"/>
    <w:rsid w:val="007100BA"/>
    <w:rsid w:val="00712EFA"/>
    <w:rsid w:val="007260D4"/>
    <w:rsid w:val="0072620F"/>
    <w:rsid w:val="00737703"/>
    <w:rsid w:val="0075589E"/>
    <w:rsid w:val="00770173"/>
    <w:rsid w:val="00776413"/>
    <w:rsid w:val="00777FAE"/>
    <w:rsid w:val="007812B4"/>
    <w:rsid w:val="00781DC8"/>
    <w:rsid w:val="00783D23"/>
    <w:rsid w:val="00791411"/>
    <w:rsid w:val="00793D0F"/>
    <w:rsid w:val="007A4B52"/>
    <w:rsid w:val="007A530C"/>
    <w:rsid w:val="007A6E3C"/>
    <w:rsid w:val="007B05CA"/>
    <w:rsid w:val="007B38AD"/>
    <w:rsid w:val="007B781F"/>
    <w:rsid w:val="007C3AC2"/>
    <w:rsid w:val="007D6A92"/>
    <w:rsid w:val="007F0A57"/>
    <w:rsid w:val="007F171E"/>
    <w:rsid w:val="007F28F5"/>
    <w:rsid w:val="007F611A"/>
    <w:rsid w:val="007F62BA"/>
    <w:rsid w:val="00835F3D"/>
    <w:rsid w:val="0084691A"/>
    <w:rsid w:val="008503BF"/>
    <w:rsid w:val="00864B5C"/>
    <w:rsid w:val="00875D97"/>
    <w:rsid w:val="008977F7"/>
    <w:rsid w:val="008A0D3C"/>
    <w:rsid w:val="008A35E2"/>
    <w:rsid w:val="008A6915"/>
    <w:rsid w:val="008B5794"/>
    <w:rsid w:val="008D55AB"/>
    <w:rsid w:val="008D7895"/>
    <w:rsid w:val="008E22EB"/>
    <w:rsid w:val="008E7996"/>
    <w:rsid w:val="008F0EF5"/>
    <w:rsid w:val="009116FD"/>
    <w:rsid w:val="00915FF7"/>
    <w:rsid w:val="00925407"/>
    <w:rsid w:val="00934369"/>
    <w:rsid w:val="00940804"/>
    <w:rsid w:val="00943D32"/>
    <w:rsid w:val="0094597F"/>
    <w:rsid w:val="00951236"/>
    <w:rsid w:val="0095514A"/>
    <w:rsid w:val="009719C6"/>
    <w:rsid w:val="009748E7"/>
    <w:rsid w:val="00974901"/>
    <w:rsid w:val="009769A1"/>
    <w:rsid w:val="00987E21"/>
    <w:rsid w:val="0099314F"/>
    <w:rsid w:val="009A1245"/>
    <w:rsid w:val="009A308A"/>
    <w:rsid w:val="009B7B0A"/>
    <w:rsid w:val="009C29C8"/>
    <w:rsid w:val="009C322F"/>
    <w:rsid w:val="009C3840"/>
    <w:rsid w:val="009C3BAC"/>
    <w:rsid w:val="009E37DD"/>
    <w:rsid w:val="009F0A58"/>
    <w:rsid w:val="009F5AAD"/>
    <w:rsid w:val="00A038BA"/>
    <w:rsid w:val="00A24517"/>
    <w:rsid w:val="00A275C7"/>
    <w:rsid w:val="00A3665B"/>
    <w:rsid w:val="00A45C6C"/>
    <w:rsid w:val="00A476C3"/>
    <w:rsid w:val="00A83875"/>
    <w:rsid w:val="00A97B6E"/>
    <w:rsid w:val="00AC573B"/>
    <w:rsid w:val="00AD0E12"/>
    <w:rsid w:val="00AD7B12"/>
    <w:rsid w:val="00AE7377"/>
    <w:rsid w:val="00AE74C4"/>
    <w:rsid w:val="00B01E71"/>
    <w:rsid w:val="00B0786C"/>
    <w:rsid w:val="00B16384"/>
    <w:rsid w:val="00B20FFE"/>
    <w:rsid w:val="00B217D9"/>
    <w:rsid w:val="00B244E8"/>
    <w:rsid w:val="00B3218C"/>
    <w:rsid w:val="00B36346"/>
    <w:rsid w:val="00B42678"/>
    <w:rsid w:val="00B56DC3"/>
    <w:rsid w:val="00B65636"/>
    <w:rsid w:val="00B667A1"/>
    <w:rsid w:val="00B6704A"/>
    <w:rsid w:val="00B70253"/>
    <w:rsid w:val="00B76BCB"/>
    <w:rsid w:val="00B80606"/>
    <w:rsid w:val="00B9165A"/>
    <w:rsid w:val="00B93DA8"/>
    <w:rsid w:val="00BB2715"/>
    <w:rsid w:val="00BB34FB"/>
    <w:rsid w:val="00BC0092"/>
    <w:rsid w:val="00BE24BB"/>
    <w:rsid w:val="00BE3325"/>
    <w:rsid w:val="00BE34BB"/>
    <w:rsid w:val="00BF4F4D"/>
    <w:rsid w:val="00BF7A05"/>
    <w:rsid w:val="00C11D9B"/>
    <w:rsid w:val="00C1344D"/>
    <w:rsid w:val="00C15DE4"/>
    <w:rsid w:val="00C50297"/>
    <w:rsid w:val="00C60E16"/>
    <w:rsid w:val="00C620CA"/>
    <w:rsid w:val="00C62AA9"/>
    <w:rsid w:val="00C67AC3"/>
    <w:rsid w:val="00C72DA2"/>
    <w:rsid w:val="00C7365D"/>
    <w:rsid w:val="00C7584C"/>
    <w:rsid w:val="00C8250B"/>
    <w:rsid w:val="00C831BB"/>
    <w:rsid w:val="00C862A1"/>
    <w:rsid w:val="00C92F1B"/>
    <w:rsid w:val="00CA4809"/>
    <w:rsid w:val="00CB5F70"/>
    <w:rsid w:val="00CD4220"/>
    <w:rsid w:val="00CD5844"/>
    <w:rsid w:val="00CE7488"/>
    <w:rsid w:val="00CF1022"/>
    <w:rsid w:val="00CF3BDB"/>
    <w:rsid w:val="00CF5119"/>
    <w:rsid w:val="00D0317F"/>
    <w:rsid w:val="00D059E5"/>
    <w:rsid w:val="00D10EA0"/>
    <w:rsid w:val="00D141C6"/>
    <w:rsid w:val="00D14213"/>
    <w:rsid w:val="00D16A30"/>
    <w:rsid w:val="00D24772"/>
    <w:rsid w:val="00D25563"/>
    <w:rsid w:val="00D261D0"/>
    <w:rsid w:val="00D32646"/>
    <w:rsid w:val="00D40BDC"/>
    <w:rsid w:val="00D67AC6"/>
    <w:rsid w:val="00D70432"/>
    <w:rsid w:val="00D71622"/>
    <w:rsid w:val="00DC4D8A"/>
    <w:rsid w:val="00DE5E63"/>
    <w:rsid w:val="00DE70E0"/>
    <w:rsid w:val="00DE7E9D"/>
    <w:rsid w:val="00E07927"/>
    <w:rsid w:val="00E07D55"/>
    <w:rsid w:val="00E1102F"/>
    <w:rsid w:val="00E12292"/>
    <w:rsid w:val="00E30694"/>
    <w:rsid w:val="00E32ACA"/>
    <w:rsid w:val="00E363F5"/>
    <w:rsid w:val="00E61048"/>
    <w:rsid w:val="00E631A3"/>
    <w:rsid w:val="00E65545"/>
    <w:rsid w:val="00E752AA"/>
    <w:rsid w:val="00E84E5D"/>
    <w:rsid w:val="00E85AEC"/>
    <w:rsid w:val="00EA03EC"/>
    <w:rsid w:val="00EB2961"/>
    <w:rsid w:val="00EB68CF"/>
    <w:rsid w:val="00EC0189"/>
    <w:rsid w:val="00EC0F7A"/>
    <w:rsid w:val="00ED06C9"/>
    <w:rsid w:val="00ED3713"/>
    <w:rsid w:val="00ED5E6C"/>
    <w:rsid w:val="00EE26FA"/>
    <w:rsid w:val="00EE64BF"/>
    <w:rsid w:val="00EF28F8"/>
    <w:rsid w:val="00F00AC2"/>
    <w:rsid w:val="00F01FB2"/>
    <w:rsid w:val="00F123BE"/>
    <w:rsid w:val="00F2491C"/>
    <w:rsid w:val="00F34A3B"/>
    <w:rsid w:val="00F5117B"/>
    <w:rsid w:val="00F72432"/>
    <w:rsid w:val="00F871F9"/>
    <w:rsid w:val="00F93CB1"/>
    <w:rsid w:val="00FA0FFC"/>
    <w:rsid w:val="00FA28B2"/>
    <w:rsid w:val="00FA42DE"/>
    <w:rsid w:val="00FA542E"/>
    <w:rsid w:val="00FA6CEE"/>
    <w:rsid w:val="00FB52EC"/>
    <w:rsid w:val="00FC535B"/>
    <w:rsid w:val="00FC5CA2"/>
    <w:rsid w:val="00FC661B"/>
    <w:rsid w:val="00FD0C91"/>
    <w:rsid w:val="00FD0D0B"/>
    <w:rsid w:val="00FD3ED7"/>
    <w:rsid w:val="29D53D35"/>
    <w:rsid w:val="42296ABD"/>
    <w:rsid w:val="599A5A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qFormat="1" w:unhideWhenUsed="0" w:uiPriority="0" w:semiHidden="0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2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0"/>
    <w:pPr>
      <w:widowControl/>
      <w:spacing w:before="100" w:beforeAutospacing="1" w:after="90" w:line="360" w:lineRule="atLeast"/>
      <w:ind w:firstLine="480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8">
    <w:name w:val="Strong"/>
    <w:basedOn w:val="7"/>
    <w:qFormat/>
    <w:uiPriority w:val="22"/>
    <w:rPr>
      <w:b/>
      <w:bCs/>
    </w:rPr>
  </w:style>
  <w:style w:type="character" w:styleId="9">
    <w:name w:val="line number"/>
    <w:qFormat/>
    <w:uiPriority w:val="0"/>
  </w:style>
  <w:style w:type="character" w:styleId="10">
    <w:name w:val="Hyperlink"/>
    <w:qFormat/>
    <w:uiPriority w:val="0"/>
    <w:rPr>
      <w:color w:val="000000"/>
      <w:u w:val="none"/>
    </w:rPr>
  </w:style>
  <w:style w:type="character" w:customStyle="1" w:styleId="11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12">
    <w:name w:val="页脚 Char"/>
    <w:basedOn w:val="7"/>
    <w:link w:val="3"/>
    <w:qFormat/>
    <w:uiPriority w:val="99"/>
    <w:rPr>
      <w:sz w:val="18"/>
      <w:szCs w:val="18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  <w:style w:type="character" w:customStyle="1" w:styleId="14">
    <w:name w:val="批注框文本 Char"/>
    <w:basedOn w:val="7"/>
    <w:link w:val="2"/>
    <w:semiHidden/>
    <w:qFormat/>
    <w:uiPriority w:val="99"/>
    <w:rPr>
      <w:sz w:val="18"/>
      <w:szCs w:val="18"/>
    </w:rPr>
  </w:style>
  <w:style w:type="character" w:customStyle="1" w:styleId="15">
    <w:name w:val="ml-201"/>
    <w:basedOn w:val="7"/>
    <w:qFormat/>
    <w:uiPriority w:val="0"/>
  </w:style>
  <w:style w:type="paragraph" w:customStyle="1" w:styleId="16">
    <w:name w:val="Default"/>
    <w:qFormat/>
    <w:uiPriority w:val="0"/>
    <w:pPr>
      <w:widowControl w:val="0"/>
      <w:autoSpaceDE w:val="0"/>
      <w:autoSpaceDN w:val="0"/>
      <w:adjustRightInd w:val="0"/>
    </w:pPr>
    <w:rPr>
      <w:rFonts w:ascii="仿宋" w:hAnsi="仿宋" w:cs="仿宋" w:eastAsiaTheme="minorEastAsia"/>
      <w:color w:val="000000"/>
      <w:kern w:val="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CBC4EB-AF5A-4264-A20C-3F7BEE65BAF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Sky123.Org</Company>
  <Pages>7</Pages>
  <Words>2787</Words>
  <Characters>2842</Characters>
  <Lines>23</Lines>
  <Paragraphs>6</Paragraphs>
  <TotalTime>639</TotalTime>
  <ScaleCrop>false</ScaleCrop>
  <LinksUpToDate>false</LinksUpToDate>
  <CharactersWithSpaces>2846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2019-12-19T01:20:00Z</dcterms:created>
  <dc:creator>Sky123.Org</dc:creator>
  <cp:lastModifiedBy>血月舞殇</cp:lastModifiedBy>
  <cp:lastPrinted>2016-02-15T02:26:00Z</cp:lastPrinted>
  <dcterms:modified xsi:type="dcterms:W3CDTF">2024-10-31T02:48:43Z</dcterms:modified>
  <cp:revision>64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81C6FEF153EF47DE9F064582E22A1170</vt:lpwstr>
  </property>
</Properties>
</file>