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丰台区信访办公室</w:t>
      </w:r>
    </w:p>
    <w:p>
      <w:pPr>
        <w:spacing w:line="64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2016年政府信息公开工作年度报告</w:t>
      </w:r>
    </w:p>
    <w:p>
      <w:pPr>
        <w:rPr>
          <w:rFonts w:ascii="仿宋_GB2312" w:hAnsi="宋体" w:eastAsia="仿宋_GB2312" w:cs="宋体"/>
          <w:b/>
          <w:kern w:val="0"/>
          <w:sz w:val="32"/>
          <w:szCs w:val="32"/>
        </w:rPr>
      </w:pPr>
    </w:p>
    <w:p>
      <w:pPr>
        <w:spacing w:line="640" w:lineRule="exact"/>
        <w:ind w:firstLine="640" w:firstLineChars="200"/>
        <w:rPr>
          <w:rFonts w:ascii="仿宋_GB2312" w:eastAsia="仿宋_GB2312"/>
          <w:sz w:val="32"/>
          <w:szCs w:val="32"/>
        </w:rPr>
      </w:pPr>
      <w:r>
        <w:rPr>
          <w:rFonts w:hint="eastAsia" w:ascii="仿宋_GB2312" w:eastAsia="仿宋_GB2312"/>
          <w:sz w:val="32"/>
          <w:szCs w:val="32"/>
        </w:rPr>
        <w:t>本报告是根据《中华人民共和国政府信息公开条例》要求，由丰台区信访办公室编制的20</w:t>
      </w:r>
      <w:bookmarkStart w:id="0" w:name="_GoBack"/>
      <w:bookmarkEnd w:id="0"/>
      <w:r>
        <w:rPr>
          <w:rFonts w:hint="eastAsia" w:ascii="仿宋_GB2312" w:eastAsia="仿宋_GB2312"/>
          <w:sz w:val="32"/>
          <w:szCs w:val="32"/>
        </w:rPr>
        <w:t>16年度政府信息公开年度报告。</w:t>
      </w:r>
    </w:p>
    <w:p>
      <w:pPr>
        <w:spacing w:line="64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全文包括年度工作开展情况，主动公开政府信息情况，依申请公开政府信息和不予公开政府信息情况，因政府信息公开申请行政复议、提起行政诉讼情况</w:t>
      </w:r>
      <w:r>
        <w:rPr>
          <w:rFonts w:hint="eastAsia" w:ascii="仿宋_GB2312" w:hAnsi="宋体" w:eastAsia="仿宋_GB2312" w:cs="宋体"/>
          <w:kern w:val="0"/>
          <w:sz w:val="32"/>
          <w:szCs w:val="32"/>
        </w:rPr>
        <w:t>，政府信息公开工作存在的主要问题及改进情况等内容。</w:t>
      </w:r>
    </w:p>
    <w:p>
      <w:pPr>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本报告中所列数据的统计期限自2016年1月1日起，至2016年12月31日止。本报告电子版可在丰台区信访办公室政府网站</w:t>
      </w:r>
      <w:r>
        <w:rPr>
          <w:rFonts w:ascii="仿宋_GB2312" w:hAnsi="宋体" w:eastAsia="仿宋_GB2312" w:cs="宋体"/>
          <w:kern w:val="0"/>
          <w:sz w:val="32"/>
          <w:szCs w:val="32"/>
        </w:rPr>
        <w:t>http://xfb.bjft.gov.cn</w:t>
      </w:r>
      <w:r>
        <w:rPr>
          <w:rFonts w:hint="eastAsia" w:ascii="仿宋_GB2312" w:hAnsi="宋体" w:eastAsia="仿宋_GB2312" w:cs="宋体"/>
          <w:kern w:val="0"/>
          <w:sz w:val="32"/>
          <w:szCs w:val="32"/>
        </w:rPr>
        <w:t>政府信息公开专栏中下载。如对本报告有任何疑问，请联系丰台区信访办公室（地址：北京市丰台区文体路2号；邮编：100071；联系电话：83656423；电子邮箱：</w:t>
      </w:r>
      <w:r>
        <w:fldChar w:fldCharType="begin"/>
      </w:r>
      <w:r>
        <w:instrText xml:space="preserve"> HYPERLINK "mailto:bjsftqxfb@163.com" </w:instrText>
      </w:r>
      <w:r>
        <w:fldChar w:fldCharType="separate"/>
      </w:r>
      <w:r>
        <w:rPr>
          <w:rFonts w:hint="eastAsia" w:ascii="仿宋_GB2312" w:hAnsi="宋体" w:eastAsia="仿宋_GB2312" w:cs="宋体"/>
          <w:kern w:val="0"/>
          <w:sz w:val="32"/>
          <w:szCs w:val="32"/>
        </w:rPr>
        <w:t>bjsftqxfb@163.com</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w:t>
      </w:r>
    </w:p>
    <w:p>
      <w:pPr>
        <w:spacing w:line="640" w:lineRule="exact"/>
        <w:ind w:firstLine="640" w:firstLineChars="200"/>
        <w:rPr>
          <w:rFonts w:ascii="仿宋_GB2312" w:hAnsi="宋体" w:eastAsia="仿宋_GB2312" w:cs="宋体"/>
          <w:kern w:val="0"/>
          <w:sz w:val="32"/>
          <w:szCs w:val="32"/>
        </w:rPr>
      </w:pPr>
    </w:p>
    <w:p>
      <w:pPr>
        <w:pStyle w:val="12"/>
        <w:numPr>
          <w:ilvl w:val="0"/>
          <w:numId w:val="1"/>
        </w:numPr>
        <w:spacing w:line="640" w:lineRule="exact"/>
        <w:ind w:firstLineChars="0"/>
        <w:jc w:val="left"/>
        <w:rPr>
          <w:rFonts w:ascii="仿宋_GB2312" w:hAnsi="宋体" w:eastAsia="仿宋_GB2312" w:cs="宋体"/>
          <w:b/>
          <w:kern w:val="0"/>
          <w:sz w:val="32"/>
          <w:szCs w:val="32"/>
        </w:rPr>
      </w:pPr>
      <w:r>
        <w:rPr>
          <w:rFonts w:hint="eastAsia" w:ascii="仿宋_GB2312" w:hAnsi="宋体" w:eastAsia="仿宋_GB2312" w:cs="宋体"/>
          <w:b/>
          <w:kern w:val="0"/>
          <w:sz w:val="32"/>
          <w:szCs w:val="32"/>
        </w:rPr>
        <w:t>年度工作开展情况</w:t>
      </w:r>
    </w:p>
    <w:p>
      <w:pPr>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2016年，丰台区信访办公室贯彻落实《北京市政府信息公开规定》和《北京市2016年政务公开工作要点》，有序推进政府信息公开工作。</w:t>
      </w:r>
    </w:p>
    <w:p>
      <w:pPr>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加强组织领导，成立政府信息公开工作领导小组，将政府信息公开工作落实到具体科室和个人；拓展申请政府信息公开渠道，申请人可通过邮寄、网站、电子邮箱等多种途径申请本部门政府信息公开；以信访接待大厅为依托，提供政府信息查询场所；严格贯彻落实政府信息</w:t>
      </w:r>
      <w:r>
        <w:rPr>
          <w:rFonts w:ascii="仿宋_GB2312" w:hAnsi="宋体" w:eastAsia="仿宋_GB2312" w:cs="宋体"/>
          <w:kern w:val="0"/>
          <w:sz w:val="32"/>
          <w:szCs w:val="32"/>
        </w:rPr>
        <w:t>保密审查</w:t>
      </w:r>
      <w:r>
        <w:rPr>
          <w:rFonts w:hint="eastAsia" w:ascii="仿宋_GB2312" w:hAnsi="宋体" w:eastAsia="仿宋_GB2312" w:cs="宋体"/>
          <w:kern w:val="0"/>
          <w:sz w:val="32"/>
          <w:szCs w:val="32"/>
        </w:rPr>
        <w:t xml:space="preserve">和发布机制，按照“先审查、后公开”的规范程序做好政府信息主动公开工作；借鉴典型经验做法，做好政府信息依申请公开工作；参与各类政府信息公开培训，提高政府信息公开工作人员业务素质。 </w:t>
      </w:r>
    </w:p>
    <w:p>
      <w:pPr>
        <w:spacing w:line="640" w:lineRule="exact"/>
        <w:ind w:firstLine="643" w:firstLineChars="200"/>
        <w:jc w:val="left"/>
        <w:rPr>
          <w:rFonts w:ascii="仿宋_GB2312" w:eastAsia="仿宋_GB2312"/>
          <w:b/>
          <w:sz w:val="32"/>
          <w:szCs w:val="32"/>
        </w:rPr>
      </w:pPr>
      <w:r>
        <w:rPr>
          <w:rFonts w:hint="eastAsia" w:ascii="仿宋_GB2312" w:eastAsia="仿宋_GB2312"/>
          <w:b/>
          <w:sz w:val="32"/>
          <w:szCs w:val="32"/>
        </w:rPr>
        <w:t>二、主动公开政府信息情况</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主动公开政府信息公开数量稳步上升。2016年，丰台区信访办公室共计主动公开政府信息53条，较2015年度增加26.2%。</w:t>
      </w:r>
      <w:r>
        <w:rPr>
          <w:rFonts w:hint="eastAsia" w:ascii="仿宋_GB2312" w:hAnsi="华文中宋" w:eastAsia="仿宋_GB2312"/>
          <w:snapToGrid w:val="0"/>
          <w:kern w:val="0"/>
          <w:sz w:val="32"/>
          <w:szCs w:val="32"/>
        </w:rPr>
        <w:t>其中，工作动态类信息51条，占总数的96.2%；重点领域信息2条，占总数的3.8%。</w:t>
      </w:r>
    </w:p>
    <w:p>
      <w:pPr>
        <w:spacing w:line="640" w:lineRule="exact"/>
        <w:ind w:firstLine="643" w:firstLineChars="200"/>
        <w:rPr>
          <w:rFonts w:ascii="仿宋_GB2312" w:eastAsia="仿宋_GB2312"/>
          <w:b/>
          <w:sz w:val="32"/>
          <w:szCs w:val="32"/>
        </w:rPr>
      </w:pPr>
      <w:r>
        <w:rPr>
          <w:rFonts w:hint="eastAsia" w:ascii="仿宋_GB2312" w:eastAsia="仿宋_GB2312"/>
          <w:b/>
          <w:sz w:val="32"/>
          <w:szCs w:val="32"/>
        </w:rPr>
        <w:t>三、依申请公开政府信息和不予公开政府信息情况</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2016年，丰台区信访办公室收到依申请公开申请1件，已在规定办理时限内作出政府信息不存在答复。</w:t>
      </w:r>
    </w:p>
    <w:p>
      <w:pPr>
        <w:spacing w:line="640" w:lineRule="exact"/>
        <w:ind w:firstLine="643" w:firstLineChars="200"/>
        <w:rPr>
          <w:rFonts w:ascii="仿宋_GB2312" w:eastAsia="仿宋_GB2312"/>
          <w:b/>
          <w:sz w:val="32"/>
          <w:szCs w:val="32"/>
        </w:rPr>
      </w:pPr>
      <w:r>
        <w:rPr>
          <w:rFonts w:hint="eastAsia" w:ascii="仿宋_GB2312" w:eastAsia="仿宋_GB2312"/>
          <w:b/>
          <w:sz w:val="32"/>
          <w:szCs w:val="32"/>
        </w:rPr>
        <w:t>四、因政府信息公开申请行政复议、提起行政诉讼情况</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2016年，丰台区信访办公室未收到与政府信息公开有关的行政复议和行政诉讼，未接到有关举报。</w:t>
      </w:r>
    </w:p>
    <w:p>
      <w:pPr>
        <w:spacing w:line="640" w:lineRule="exact"/>
        <w:ind w:firstLine="643" w:firstLineChars="200"/>
        <w:rPr>
          <w:rFonts w:ascii="仿宋_GB2312" w:eastAsia="仿宋_GB2312"/>
          <w:b/>
          <w:sz w:val="32"/>
          <w:szCs w:val="32"/>
        </w:rPr>
      </w:pPr>
      <w:r>
        <w:rPr>
          <w:rFonts w:hint="eastAsia" w:ascii="仿宋_GB2312" w:eastAsia="仿宋_GB2312"/>
          <w:b/>
          <w:sz w:val="32"/>
          <w:szCs w:val="32"/>
        </w:rPr>
        <w:t>五、政府信息公开收费及免除费用情况</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2016年，丰台区信访办公室未收取信息公开费用。</w:t>
      </w:r>
    </w:p>
    <w:p>
      <w:pPr>
        <w:spacing w:line="640" w:lineRule="exact"/>
        <w:ind w:firstLine="643" w:firstLineChars="200"/>
        <w:rPr>
          <w:rFonts w:ascii="仿宋_GB2312" w:eastAsia="仿宋_GB2312"/>
          <w:b/>
          <w:sz w:val="32"/>
          <w:szCs w:val="32"/>
        </w:rPr>
      </w:pPr>
      <w:r>
        <w:rPr>
          <w:rFonts w:hint="eastAsia" w:ascii="仿宋_GB2312" w:eastAsia="仿宋_GB2312"/>
          <w:b/>
          <w:sz w:val="32"/>
          <w:szCs w:val="32"/>
        </w:rPr>
        <w:t>六、存在的主要问题及改进情况</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政府信息公开工作存在的问题有：主动公开政府信息内容不够丰富，篇幅相对较短，未体现出信访工作的整体情况；政府信息公开工作人员不具有过硬的业务素质，尤其在政府信息依申请公开方面缺乏经验，对政府信息的范畴把握不到位，造成实际工作面临困难。</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2017年，丰台区信访办公室将继续按照区政府信息公开办的工作要求和部署，贯彻落实《中华人民共和国政府信息公开条例》和《北京市政府信息公开规定》，加强组织领导，推进本部门政府信息公开工作。一是加强自身学习，提高政府信息写作能力和公开质量；二是结合政府信息公开规定学习研究典型政府信息依申请公开案例，把握政府信息范畴，提高依申请公开业务能力。</w:t>
      </w:r>
    </w:p>
    <w:p>
      <w:pPr>
        <w:spacing w:line="640" w:lineRule="exact"/>
        <w:ind w:firstLine="640" w:firstLineChars="200"/>
        <w:rPr>
          <w:rFonts w:ascii="仿宋_GB2312" w:eastAsia="仿宋_GB2312"/>
          <w:sz w:val="32"/>
          <w:szCs w:val="32"/>
        </w:rPr>
      </w:pPr>
    </w:p>
    <w:p>
      <w:pPr>
        <w:spacing w:line="640" w:lineRule="exact"/>
      </w:pPr>
    </w:p>
    <w:p>
      <w:pPr>
        <w:spacing w:line="640" w:lineRule="exact"/>
        <w:ind w:firstLine="4480" w:firstLineChars="1400"/>
        <w:rPr>
          <w:rFonts w:ascii="仿宋_GB2312" w:eastAsia="仿宋_GB2312"/>
          <w:sz w:val="32"/>
          <w:szCs w:val="32"/>
        </w:rPr>
      </w:pPr>
      <w:r>
        <w:rPr>
          <w:rFonts w:hint="eastAsia" w:ascii="仿宋_GB2312" w:eastAsia="仿宋_GB2312"/>
          <w:sz w:val="32"/>
          <w:szCs w:val="32"/>
        </w:rPr>
        <w:t>丰台区信访办公室</w:t>
      </w:r>
    </w:p>
    <w:p>
      <w:pPr>
        <w:spacing w:line="640" w:lineRule="exact"/>
        <w:ind w:firstLine="5280" w:firstLineChars="1650"/>
        <w:rPr>
          <w:rFonts w:ascii="仿宋_GB2312" w:eastAsia="仿宋_GB2312"/>
          <w:sz w:val="32"/>
          <w:szCs w:val="32"/>
        </w:rPr>
      </w:pPr>
      <w:r>
        <w:rPr>
          <w:rFonts w:hint="eastAsia" w:ascii="仿宋_GB2312" w:eastAsia="仿宋_GB2312"/>
          <w:sz w:val="32"/>
          <w:szCs w:val="32"/>
        </w:rPr>
        <w:t>2017年3月</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10"/>
          <w:szCs w:val="10"/>
        </w:rPr>
      </w:pPr>
      <w:r>
        <w:rPr>
          <w:rFonts w:hint="eastAsia" w:ascii="仿宋_GB2312" w:eastAsia="仿宋_GB2312"/>
          <w:sz w:val="32"/>
          <w:szCs w:val="32"/>
        </w:rPr>
        <w:t>附表：政府信息公开情况统计表（2016年度）</w:t>
      </w:r>
    </w:p>
    <w:p>
      <w:pPr>
        <w:rPr>
          <w:rFonts w:ascii="仿宋_GB2312" w:eastAsia="仿宋_GB2312"/>
          <w:sz w:val="10"/>
          <w:szCs w:val="10"/>
        </w:rPr>
      </w:pPr>
    </w:p>
    <w:tbl>
      <w:tblPr>
        <w:tblStyle w:val="6"/>
        <w:tblW w:w="10206" w:type="dxa"/>
        <w:jc w:val="center"/>
        <w:tblLayout w:type="fixed"/>
        <w:tblCellMar>
          <w:top w:w="0" w:type="dxa"/>
          <w:left w:w="108" w:type="dxa"/>
          <w:bottom w:w="0" w:type="dxa"/>
          <w:right w:w="108" w:type="dxa"/>
        </w:tblCellMar>
      </w:tblPr>
      <w:tblGrid>
        <w:gridCol w:w="8038"/>
        <w:gridCol w:w="1134"/>
        <w:gridCol w:w="1034"/>
      </w:tblGrid>
      <w:tr>
        <w:tblPrEx>
          <w:tblCellMar>
            <w:top w:w="0" w:type="dxa"/>
            <w:left w:w="108" w:type="dxa"/>
            <w:bottom w:w="0" w:type="dxa"/>
            <w:right w:w="108" w:type="dxa"/>
          </w:tblCellMar>
        </w:tblPrEx>
        <w:trPr>
          <w:trHeight w:val="435" w:hRule="atLeast"/>
          <w:jc w:val="center"/>
        </w:trPr>
        <w:tc>
          <w:tcPr>
            <w:tcW w:w="8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统 计 指 标</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单位</w:t>
            </w:r>
          </w:p>
        </w:tc>
        <w:tc>
          <w:tcPr>
            <w:tcW w:w="103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统计数</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 一、主动公开情况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60" w:hRule="atLeast"/>
          <w:jc w:val="center"/>
        </w:trPr>
        <w:tc>
          <w:tcPr>
            <w:tcW w:w="8038" w:type="dxa"/>
            <w:tcBorders>
              <w:top w:val="nil"/>
              <w:left w:val="single" w:color="000000" w:sz="4" w:space="0"/>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  （一）主动公开政府信息数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53</w:t>
            </w:r>
          </w:p>
        </w:tc>
      </w:tr>
      <w:tr>
        <w:tblPrEx>
          <w:tblCellMar>
            <w:top w:w="0" w:type="dxa"/>
            <w:left w:w="108" w:type="dxa"/>
            <w:bottom w:w="0" w:type="dxa"/>
            <w:right w:w="108" w:type="dxa"/>
          </w:tblCellMar>
        </w:tblPrEx>
        <w:trPr>
          <w:trHeight w:val="360"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    （不同渠道和方式公开相同信息计1条）</w:t>
            </w:r>
          </w:p>
        </w:tc>
        <w:tc>
          <w:tcPr>
            <w:tcW w:w="11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10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     其中：主动公开规范性文件数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        制发规范性文件总数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360" w:hRule="atLeast"/>
          <w:jc w:val="center"/>
        </w:trPr>
        <w:tc>
          <w:tcPr>
            <w:tcW w:w="8038" w:type="dxa"/>
            <w:tcBorders>
              <w:top w:val="nil"/>
              <w:left w:val="single" w:color="000000" w:sz="4" w:space="0"/>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  （二）重点领域公开政府信息数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r>
      <w:tr>
        <w:tblPrEx>
          <w:tblCellMar>
            <w:top w:w="0" w:type="dxa"/>
            <w:left w:w="108" w:type="dxa"/>
            <w:bottom w:w="0" w:type="dxa"/>
            <w:right w:w="108" w:type="dxa"/>
          </w:tblCellMar>
        </w:tblPrEx>
        <w:trPr>
          <w:trHeight w:val="360"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    （不同渠道和方式公开相同信息计1条）</w:t>
            </w:r>
          </w:p>
        </w:tc>
        <w:tc>
          <w:tcPr>
            <w:tcW w:w="11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10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     其中：主动公开财政预算决算、</w:t>
            </w:r>
            <w:r>
              <w:rPr>
                <w:rFonts w:hint="eastAsia" w:ascii="宋体" w:hAnsi="宋体" w:eastAsia="宋体" w:cs="宋体"/>
                <w:kern w:val="0"/>
                <w:sz w:val="22"/>
                <w:lang w:eastAsia="zh-CN"/>
              </w:rPr>
              <w:t>“三公”经费</w:t>
            </w:r>
            <w:r>
              <w:rPr>
                <w:rFonts w:hint="eastAsia" w:ascii="宋体" w:hAnsi="宋体" w:eastAsia="宋体" w:cs="宋体"/>
                <w:kern w:val="0"/>
                <w:sz w:val="22"/>
              </w:rPr>
              <w:t>和行政经费信息数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r>
      <w:tr>
        <w:tblPrEx>
          <w:tblCellMar>
            <w:top w:w="0" w:type="dxa"/>
            <w:left w:w="108" w:type="dxa"/>
            <w:bottom w:w="0" w:type="dxa"/>
            <w:right w:w="108" w:type="dxa"/>
          </w:tblCellMar>
        </w:tblPrEx>
        <w:trPr>
          <w:trHeight w:val="7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ind w:left="1760" w:hanging="1760" w:hangingChars="800"/>
              <w:jc w:val="left"/>
              <w:rPr>
                <w:rFonts w:ascii="宋体" w:hAnsi="宋体" w:eastAsia="宋体" w:cs="宋体"/>
                <w:kern w:val="0"/>
                <w:sz w:val="22"/>
              </w:rPr>
            </w:pPr>
            <w:r>
              <w:rPr>
                <w:rFonts w:hint="eastAsia" w:ascii="宋体" w:hAnsi="宋体" w:eastAsia="宋体" w:cs="宋体"/>
                <w:kern w:val="0"/>
                <w:sz w:val="22"/>
              </w:rPr>
              <w:t>        主动公开保障性安居工程建设计划、项目开工和竣工情况，保   障性住房的分配和退出等信息数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ind w:left="1760" w:hanging="1760" w:hangingChars="800"/>
              <w:jc w:val="left"/>
              <w:rPr>
                <w:rFonts w:ascii="宋体" w:hAnsi="宋体" w:eastAsia="宋体" w:cs="宋体"/>
                <w:kern w:val="0"/>
                <w:sz w:val="22"/>
              </w:rPr>
            </w:pPr>
            <w:r>
              <w:rPr>
                <w:rFonts w:hint="eastAsia" w:ascii="宋体" w:hAnsi="宋体" w:eastAsia="宋体" w:cs="宋体"/>
                <w:kern w:val="0"/>
                <w:sz w:val="22"/>
              </w:rPr>
              <w:t>        主动公开食品安全标准，食品生产经营许可、专项检查整治等        信息数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ind w:left="1760" w:hanging="1760" w:hangingChars="800"/>
              <w:jc w:val="left"/>
              <w:rPr>
                <w:rFonts w:ascii="宋体" w:hAnsi="宋体" w:eastAsia="宋体" w:cs="宋体"/>
                <w:kern w:val="0"/>
                <w:sz w:val="22"/>
              </w:rPr>
            </w:pPr>
            <w:r>
              <w:rPr>
                <w:rFonts w:hint="eastAsia" w:ascii="宋体" w:hAnsi="宋体" w:eastAsia="宋体" w:cs="宋体"/>
                <w:kern w:val="0"/>
                <w:sz w:val="22"/>
              </w:rPr>
              <w:t>        主动公开环境核查审批、环境状况公报和重特大突发环境事件        等信息数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ind w:left="1760" w:hanging="1760" w:hangingChars="800"/>
              <w:jc w:val="left"/>
              <w:rPr>
                <w:rFonts w:ascii="宋体" w:hAnsi="宋体" w:eastAsia="宋体" w:cs="宋体"/>
                <w:kern w:val="0"/>
                <w:sz w:val="22"/>
              </w:rPr>
            </w:pPr>
            <w:r>
              <w:rPr>
                <w:rFonts w:hint="eastAsia" w:ascii="宋体" w:hAnsi="宋体" w:eastAsia="宋体" w:cs="宋体"/>
                <w:kern w:val="0"/>
                <w:sz w:val="22"/>
              </w:rPr>
              <w:t>        主动公开招投标违法违规行为及处理情况、国有资金占控股或        者主导地位依法应当招标的项目等信息数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ind w:left="1760" w:hanging="1760" w:hangingChars="800"/>
              <w:jc w:val="left"/>
              <w:rPr>
                <w:rFonts w:ascii="宋体" w:hAnsi="宋体" w:eastAsia="宋体" w:cs="宋体"/>
                <w:kern w:val="0"/>
                <w:sz w:val="22"/>
              </w:rPr>
            </w:pPr>
            <w:r>
              <w:rPr>
                <w:rFonts w:hint="eastAsia" w:ascii="宋体" w:hAnsi="宋体" w:eastAsia="宋体" w:cs="宋体"/>
                <w:kern w:val="0"/>
                <w:sz w:val="22"/>
              </w:rPr>
              <w:t>        主动公开生产安全事故的政府举措、处置进展、风险预警、防        范措施等信息数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ind w:left="1760" w:hanging="1760" w:hangingChars="800"/>
              <w:jc w:val="left"/>
              <w:rPr>
                <w:rFonts w:ascii="宋体" w:hAnsi="宋体" w:eastAsia="宋体" w:cs="宋体"/>
                <w:kern w:val="0"/>
                <w:sz w:val="22"/>
              </w:rPr>
            </w:pPr>
            <w:r>
              <w:rPr>
                <w:rFonts w:hint="eastAsia" w:ascii="宋体" w:hAnsi="宋体" w:eastAsia="宋体" w:cs="宋体"/>
                <w:kern w:val="0"/>
                <w:sz w:val="22"/>
              </w:rPr>
              <w:t>        主动公开农用地转为建设用地批准、征收集体土地批准、征地        公告、征地补偿安置公示、集体土地征收结案等信息数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ind w:left="1760" w:hanging="1760" w:hangingChars="800"/>
              <w:jc w:val="left"/>
              <w:rPr>
                <w:rFonts w:ascii="宋体" w:hAnsi="宋体" w:eastAsia="宋体" w:cs="宋体"/>
                <w:kern w:val="0"/>
                <w:sz w:val="22"/>
              </w:rPr>
            </w:pPr>
            <w:r>
              <w:rPr>
                <w:rFonts w:hint="eastAsia" w:ascii="宋体" w:hAnsi="宋体" w:eastAsia="宋体" w:cs="宋体"/>
                <w:kern w:val="0"/>
                <w:sz w:val="22"/>
              </w:rPr>
              <w:t>        主动公开政府指导价、政府定价和收费标准调整的项目、价格、依据、执行时间和范围等信息数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ind w:left="1760" w:hanging="1760" w:hangingChars="800"/>
              <w:jc w:val="left"/>
              <w:rPr>
                <w:rFonts w:ascii="宋体" w:hAnsi="宋体" w:eastAsia="宋体" w:cs="宋体"/>
                <w:kern w:val="0"/>
                <w:sz w:val="22"/>
              </w:rPr>
            </w:pPr>
            <w:r>
              <w:rPr>
                <w:rFonts w:hint="eastAsia" w:ascii="宋体" w:hAnsi="宋体" w:eastAsia="宋体" w:cs="宋体"/>
                <w:kern w:val="0"/>
                <w:sz w:val="22"/>
              </w:rPr>
              <w:t>        主动公开本市企业信用信息系统中的警示信息和良好信息等信        息数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        主动公开政府部门预算执行审计结果等信息数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7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ind w:left="1760" w:hanging="1760" w:hangingChars="800"/>
              <w:jc w:val="left"/>
              <w:rPr>
                <w:rFonts w:ascii="宋体" w:hAnsi="宋体" w:eastAsia="宋体" w:cs="宋体"/>
                <w:kern w:val="0"/>
                <w:sz w:val="22"/>
              </w:rPr>
            </w:pPr>
            <w:r>
              <w:rPr>
                <w:rFonts w:hint="eastAsia" w:ascii="宋体" w:hAnsi="宋体" w:eastAsia="宋体" w:cs="宋体"/>
                <w:kern w:val="0"/>
                <w:sz w:val="22"/>
              </w:rPr>
              <w:t>        主动公开行政机关对与人民群众利益密切相关的公共企事业单        位进行监督管理的信息数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        主动公开市人民政府决定主动公开的其他信息数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  （三）通过不同渠道和方式公开政府信息的情况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       1.政府公报公开政府信息数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       2.政府网站公开政府信息数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53</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       3.政务微博公开政府信息数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       4.政务微信公开政府信息数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       5.其他方式公开政府信息数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 二、回应解读情况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60" w:hRule="atLeast"/>
          <w:jc w:val="center"/>
        </w:trPr>
        <w:tc>
          <w:tcPr>
            <w:tcW w:w="8038" w:type="dxa"/>
            <w:tcBorders>
              <w:top w:val="nil"/>
              <w:left w:val="single" w:color="000000" w:sz="4" w:space="0"/>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  （一）回应公众关注热点或重大舆情数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次</w:t>
            </w:r>
          </w:p>
        </w:tc>
        <w:tc>
          <w:tcPr>
            <w:tcW w:w="10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360"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     （不同方式回应同一热点或舆情计1次）</w:t>
            </w:r>
          </w:p>
        </w:tc>
        <w:tc>
          <w:tcPr>
            <w:tcW w:w="11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10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  （二）通过不同渠道和方式回应解读的情况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       1.参加或举办新闻发布会总次数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         其中：主要负责同志参加新闻发布会次数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       2.政府网站在线访谈次数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         其中：主要负责同志参加政府网站在线访谈次数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       3.政策解读稿件发布数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篇</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       4.微博微信回应事件数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       5.其他方式回应事件数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 三、依申请公开情况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  （一）收到申请数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       1.当面申请数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       2.传真申请数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       3.网络申请数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       4.信函申请数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  （二）申请办结数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       1.按时办结数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       2.延期办结数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  （三）申请答复数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       1.属于已主动公开范围数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       2.同意公开答复数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       3.同意部分公开答复数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       4.不同意公开答复数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         其中：涉及国家秘密</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            涉及商业秘密</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            涉及个人隐私</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            危及国家安全、公共安全、经济安全和社会稳定</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            不是《条例》所指政府信息</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            法律法规规定的其他情形</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       5.不属于本行政机关公开数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       6.申请信息不存在数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       7.告知作出更改补充数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       8.告知通过其他途径办理数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 四、行政复议数量</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  （一）维持具体行政行为数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  （二）被依法纠错数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  （三）其他情形数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 五、行政诉讼数量</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  （一）维持具体行政行为或者驳回原告诉讼请求数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  （二）被依法纠错数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  （三）其他情形数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 六、举报投诉数量</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件</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 七、依申请公开信息收取的费用</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元</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 八、机构建设和保障经费情况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  （一）政府信息公开工作专门机构数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  （二）设置政府信息公开查阅点数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  （三）从事政府信息公开工作人员数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人</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       1.专职人员数（不包括政府公报及政府网站工作人员数）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人</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       2.兼职人员数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人</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r>
      <w:tr>
        <w:tblPrEx>
          <w:tblCellMar>
            <w:top w:w="0" w:type="dxa"/>
            <w:left w:w="108" w:type="dxa"/>
            <w:bottom w:w="0" w:type="dxa"/>
            <w:right w:w="108" w:type="dxa"/>
          </w:tblCellMar>
        </w:tblPrEx>
        <w:trPr>
          <w:trHeight w:val="7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ind w:left="1100" w:hanging="1100" w:hangingChars="500"/>
              <w:jc w:val="left"/>
              <w:rPr>
                <w:rFonts w:ascii="宋体" w:hAnsi="宋体" w:eastAsia="宋体" w:cs="宋体"/>
                <w:kern w:val="0"/>
                <w:sz w:val="22"/>
              </w:rPr>
            </w:pPr>
            <w:r>
              <w:rPr>
                <w:rFonts w:hint="eastAsia" w:ascii="宋体" w:hAnsi="宋体" w:eastAsia="宋体" w:cs="宋体"/>
                <w:kern w:val="0"/>
                <w:sz w:val="22"/>
              </w:rPr>
              <w:t>  （四）政府信息公开专项经费（不包括用于政府公报编辑管理及政府网站建     设维护等方面的经费）</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元</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 九、政府信息公开会议和培训情况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  （一）召开政府信息公开工作会议或专题会议数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  （二）举办各类培训班数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35" w:hRule="atLeast"/>
          <w:jc w:val="center"/>
        </w:trPr>
        <w:tc>
          <w:tcPr>
            <w:tcW w:w="803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  （三）接受培训人员数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人次</w:t>
            </w:r>
          </w:p>
        </w:tc>
        <w:tc>
          <w:tcPr>
            <w:tcW w:w="10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r>
    </w:tbl>
    <w:p>
      <w:pPr>
        <w:ind w:firstLine="640" w:firstLineChars="200"/>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169C8"/>
    <w:multiLevelType w:val="multilevel"/>
    <w:tmpl w:val="18C169C8"/>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b584d506-e617-4a66-ab79-e7bc327a6143"/>
  </w:docVars>
  <w:rsids>
    <w:rsidRoot w:val="00782148"/>
    <w:rsid w:val="000205E3"/>
    <w:rsid w:val="00034ED2"/>
    <w:rsid w:val="000364D2"/>
    <w:rsid w:val="000A4FC5"/>
    <w:rsid w:val="00146315"/>
    <w:rsid w:val="0019383A"/>
    <w:rsid w:val="001A1B94"/>
    <w:rsid w:val="001D4299"/>
    <w:rsid w:val="0021616F"/>
    <w:rsid w:val="00267AC4"/>
    <w:rsid w:val="00286A75"/>
    <w:rsid w:val="002B5DCC"/>
    <w:rsid w:val="002F1627"/>
    <w:rsid w:val="003048EE"/>
    <w:rsid w:val="00307963"/>
    <w:rsid w:val="0031762E"/>
    <w:rsid w:val="003420A2"/>
    <w:rsid w:val="0038224E"/>
    <w:rsid w:val="003C01C4"/>
    <w:rsid w:val="003E322E"/>
    <w:rsid w:val="003E39D9"/>
    <w:rsid w:val="003F5443"/>
    <w:rsid w:val="004142C8"/>
    <w:rsid w:val="00424E5D"/>
    <w:rsid w:val="004A73F9"/>
    <w:rsid w:val="004E1783"/>
    <w:rsid w:val="005052FE"/>
    <w:rsid w:val="00533CC0"/>
    <w:rsid w:val="00564E7D"/>
    <w:rsid w:val="00570BB9"/>
    <w:rsid w:val="00574352"/>
    <w:rsid w:val="0058359B"/>
    <w:rsid w:val="005A1728"/>
    <w:rsid w:val="005B0760"/>
    <w:rsid w:val="00604F7C"/>
    <w:rsid w:val="00605C99"/>
    <w:rsid w:val="0062382E"/>
    <w:rsid w:val="00664787"/>
    <w:rsid w:val="006870FD"/>
    <w:rsid w:val="006D2B09"/>
    <w:rsid w:val="006E4FC7"/>
    <w:rsid w:val="0071064A"/>
    <w:rsid w:val="00737C9E"/>
    <w:rsid w:val="0074343F"/>
    <w:rsid w:val="0074395E"/>
    <w:rsid w:val="00766BDC"/>
    <w:rsid w:val="007802FC"/>
    <w:rsid w:val="00782148"/>
    <w:rsid w:val="00797674"/>
    <w:rsid w:val="0079775A"/>
    <w:rsid w:val="007A4A83"/>
    <w:rsid w:val="007A6265"/>
    <w:rsid w:val="007B1767"/>
    <w:rsid w:val="007D208C"/>
    <w:rsid w:val="00857943"/>
    <w:rsid w:val="0088055D"/>
    <w:rsid w:val="00890426"/>
    <w:rsid w:val="008D74C9"/>
    <w:rsid w:val="00901D2F"/>
    <w:rsid w:val="00906C5B"/>
    <w:rsid w:val="009120C7"/>
    <w:rsid w:val="00930071"/>
    <w:rsid w:val="00961DC2"/>
    <w:rsid w:val="0098029C"/>
    <w:rsid w:val="009A45A8"/>
    <w:rsid w:val="009C43A6"/>
    <w:rsid w:val="009C52AD"/>
    <w:rsid w:val="009C6BE3"/>
    <w:rsid w:val="009D2346"/>
    <w:rsid w:val="009D4F04"/>
    <w:rsid w:val="00A04F73"/>
    <w:rsid w:val="00A51CA6"/>
    <w:rsid w:val="00A63353"/>
    <w:rsid w:val="00A70625"/>
    <w:rsid w:val="00A86C17"/>
    <w:rsid w:val="00AC4074"/>
    <w:rsid w:val="00AC7852"/>
    <w:rsid w:val="00AE3E81"/>
    <w:rsid w:val="00B24BC0"/>
    <w:rsid w:val="00B32375"/>
    <w:rsid w:val="00BE6F3D"/>
    <w:rsid w:val="00BF782B"/>
    <w:rsid w:val="00C24072"/>
    <w:rsid w:val="00C723EA"/>
    <w:rsid w:val="00C81BFE"/>
    <w:rsid w:val="00C85C1A"/>
    <w:rsid w:val="00CA11A4"/>
    <w:rsid w:val="00CA56F9"/>
    <w:rsid w:val="00CF3654"/>
    <w:rsid w:val="00D06C2B"/>
    <w:rsid w:val="00D26647"/>
    <w:rsid w:val="00D65B71"/>
    <w:rsid w:val="00DD6BB9"/>
    <w:rsid w:val="00DE6F38"/>
    <w:rsid w:val="00DF44D7"/>
    <w:rsid w:val="00E253EB"/>
    <w:rsid w:val="00EB3DCD"/>
    <w:rsid w:val="00ED25A9"/>
    <w:rsid w:val="00F23776"/>
    <w:rsid w:val="00F31FE2"/>
    <w:rsid w:val="00F6417C"/>
    <w:rsid w:val="47F36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uiPriority w:val="99"/>
    <w:rPr>
      <w:rFonts w:ascii="宋体" w:eastAsia="宋体"/>
      <w:sz w:val="18"/>
      <w:szCs w:val="18"/>
    </w:rPr>
  </w:style>
  <w:style w:type="paragraph" w:styleId="3">
    <w:name w:val="Balloon Text"/>
    <w:basedOn w:val="1"/>
    <w:link w:val="14"/>
    <w:semiHidden/>
    <w:unhideWhenUsed/>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Hyperlink"/>
    <w:basedOn w:val="7"/>
    <w:unhideWhenUsed/>
    <w:uiPriority w:val="99"/>
    <w:rPr>
      <w:color w:val="0000FF" w:themeColor="hyperlink"/>
      <w:u w:val="single"/>
      <w14:textFill>
        <w14:solidFill>
          <w14:schemeClr w14:val="hlink"/>
        </w14:solidFill>
      </w14:textFill>
    </w:rPr>
  </w:style>
  <w:style w:type="paragraph" w:customStyle="1" w:styleId="10">
    <w:name w:val="Char Char Char Char"/>
    <w:basedOn w:val="2"/>
    <w:uiPriority w:val="0"/>
    <w:pPr>
      <w:shd w:val="clear" w:color="auto" w:fill="000080"/>
      <w:adjustRightInd w:val="0"/>
      <w:spacing w:line="436" w:lineRule="exact"/>
      <w:ind w:left="357"/>
      <w:jc w:val="left"/>
      <w:outlineLvl w:val="3"/>
    </w:pPr>
    <w:rPr>
      <w:rFonts w:ascii="Tahoma" w:hAnsi="Tahoma" w:cs="Times New Roman"/>
      <w:b/>
      <w:sz w:val="24"/>
      <w:szCs w:val="24"/>
    </w:rPr>
  </w:style>
  <w:style w:type="character" w:customStyle="1" w:styleId="11">
    <w:name w:val="文档结构图 Char"/>
    <w:basedOn w:val="7"/>
    <w:link w:val="2"/>
    <w:semiHidden/>
    <w:uiPriority w:val="99"/>
    <w:rPr>
      <w:rFonts w:ascii="宋体" w:eastAsia="宋体"/>
      <w:sz w:val="18"/>
      <w:szCs w:val="18"/>
    </w:rPr>
  </w:style>
  <w:style w:type="paragraph" w:styleId="12">
    <w:name w:val="List Paragraph"/>
    <w:basedOn w:val="1"/>
    <w:qFormat/>
    <w:uiPriority w:val="34"/>
    <w:pPr>
      <w:ind w:firstLine="420" w:firstLineChars="200"/>
    </w:pPr>
  </w:style>
  <w:style w:type="paragraph" w:customStyle="1" w:styleId="13">
    <w:name w:val="Char Char Char Char1"/>
    <w:basedOn w:val="2"/>
    <w:uiPriority w:val="0"/>
    <w:pPr>
      <w:shd w:val="clear" w:color="auto" w:fill="000080"/>
      <w:adjustRightInd w:val="0"/>
      <w:spacing w:line="436" w:lineRule="exact"/>
      <w:ind w:left="357"/>
      <w:jc w:val="left"/>
      <w:outlineLvl w:val="3"/>
    </w:pPr>
    <w:rPr>
      <w:rFonts w:ascii="Tahoma" w:hAnsi="Tahoma" w:cs="Times New Roman"/>
      <w:b/>
      <w:sz w:val="24"/>
      <w:szCs w:val="32"/>
    </w:rPr>
  </w:style>
  <w:style w:type="character" w:customStyle="1" w:styleId="14">
    <w:name w:val="批注框文本 Char"/>
    <w:basedOn w:val="7"/>
    <w:link w:val="3"/>
    <w:semiHidden/>
    <w:uiPriority w:val="99"/>
    <w:rPr>
      <w:sz w:val="18"/>
      <w:szCs w:val="18"/>
    </w:rPr>
  </w:style>
  <w:style w:type="character" w:customStyle="1" w:styleId="15">
    <w:name w:val="页眉 Char"/>
    <w:basedOn w:val="7"/>
    <w:link w:val="5"/>
    <w:uiPriority w:val="99"/>
    <w:rPr>
      <w:sz w:val="18"/>
      <w:szCs w:val="18"/>
    </w:rPr>
  </w:style>
  <w:style w:type="character" w:customStyle="1" w:styleId="16">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2639</Words>
  <Characters>3218</Characters>
  <Lines>25</Lines>
  <Paragraphs>7</Paragraphs>
  <TotalTime>3752</TotalTime>
  <ScaleCrop>false</ScaleCrop>
  <LinksUpToDate>false</LinksUpToDate>
  <CharactersWithSpaces>3229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2015-03-16T01:47:00Z</dcterms:created>
  <dc:creator>MJJ</dc:creator>
  <cp:lastModifiedBy>血月舞殇</cp:lastModifiedBy>
  <cp:lastPrinted>2017-02-08T08:56:00Z</cp:lastPrinted>
  <dcterms:modified xsi:type="dcterms:W3CDTF">2025-03-12T03:33:00Z</dcterms:modified>
  <cp:revision>354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28F66E1E22064A06B74C31F957BCA906</vt:lpwstr>
  </property>
</Properties>
</file>