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北京市丰台区统计局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2025年，北京市丰台区统计局调查队（以下简称丰台局队）认真贯彻落实《政府信息公开条例》和丰台区政务公开工作要求，紧紧围绕市区中心工作，持续健全公开工作机制，加强主动公开和依申请公开工作，积极回应社会关切，全力做好政府信息公开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丰台局队高度重视政务公开工作，召开专题会议研究部署年度政府信息公开工作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。编制丰台局队2025年政务公开工作方案，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明确重点任务、压实责任分工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。及时更新政府信息主动公开清单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，规范公开工作。进一步加强对外提供统计数据管理工作，严格执行信息公开多级审批机制，推进政府信息全链条管理。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（二）主动公开情况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围绕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数据发布、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全国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"/>
        </w:rPr>
        <w:t>1%人口抽样调查、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统计年定报、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统计执法等重点工作，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主动公开各类统计数据与统计信息。做好五经普公报的发布与解读，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提升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普查资料应用效能。坚持创新策划，设计推出图文海报、统计普法视频、宣传漫画等统计宣传产品，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不断丰富信息公开与数据解读形式。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2025年，通过丰台区政府网站发布各类信息326条，其中统计数据类信息261条；“丰台统计”微信公众号发布157条图文信息；“丰台统计”微博发布137条图文信息。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（三）依申请公开办理情况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结合工作实际，动态调整政府信息公开指南，确保信息公开受理渠道畅通。严格执行依申请公开审批机制，公职律师全流程参与，提出专业法律意见，确保政府信息公开申请得到及时有效办理。全年收到</w:t>
      </w: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sz w:val="32"/>
          <w:szCs w:val="32"/>
          <w:highlight w:val="none"/>
        </w:rPr>
        <w:t>政府信息公开申请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4件，已依法依规进行办理答复。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（四）政府信息管理及平台建设情况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做好政务公开发布管理，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华文中宋" w:eastAsia="仿宋_GB2312"/>
          <w:sz w:val="32"/>
          <w:szCs w:val="32"/>
          <w:lang w:val="en-US" w:eastAsia="en-US"/>
        </w:rPr>
        <w:t>信息发布审核制度，明确审核流程和责任人员，确保发布信息的质量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加强区政府网站相关栏目和“丰台统计”新媒体平台管理，做好内容更新维护，保持平台的活跃度和吸引力。积极探索多平台、多形式信息公开模式，先后在前线、光明日报、中国青年报、中国信息报、北京组工等平台刊发信息；组织开展政府统计开放日系列活动，成功举办首届京南人口论坛，通过科普讲座、宣传路演等方式，不断拓宽社会公共获取政府信息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（五）政府信息公开监督保障及教育培训情况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严格落实政府信息公开各项制度规定，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加强政府信息公开一体化监管，强化政府网站和政务新媒体服务能力。做好对外联系电话信息清理与更新，认真做好咨询答复。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积极参加区政务服务和数据管理局组织的政务公开业务培训，对政务公开工作进行全方面、系统化学习，提升政府信息公开工作水平。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3"/>
        <w:spacing w:line="560" w:lineRule="exact"/>
        <w:ind w:left="420" w:leftChars="200"/>
        <w:rPr>
          <w:rFonts w:hint="eastAsia"/>
        </w:rPr>
      </w:pPr>
    </w:p>
    <w:p>
      <w:pPr>
        <w:pStyle w:val="3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2025年，丰台局队积极开展政府信息公开工作，不断拓宽公开渠道，打造政民互动新形式，政务公开工作水平进一步提升。但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仍存在以下不足：</w:t>
      </w: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sz w:val="32"/>
          <w:szCs w:val="32"/>
          <w:highlight w:val="none"/>
        </w:rPr>
        <w:t>统计数据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解读工作有待进一步加强。下一步，丰台局队将不断</w:t>
      </w: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sz w:val="32"/>
          <w:szCs w:val="32"/>
          <w:highlight w:val="none"/>
          <w:lang w:eastAsia="zh-CN"/>
        </w:rPr>
        <w:t>丰富主动公开内容、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拓展发布解读视角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用好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新媒体和部门、媒体、专家等多方力量，</w:t>
      </w: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sz w:val="32"/>
          <w:szCs w:val="32"/>
          <w:highlight w:val="none"/>
          <w:lang w:eastAsia="zh-CN"/>
        </w:rPr>
        <w:t>通过文字、视频、图解等多种方式进行配套解读，</w:t>
      </w: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sz w:val="32"/>
          <w:szCs w:val="32"/>
          <w:highlight w:val="none"/>
        </w:rPr>
        <w:t>帮助公众更好地使用统计数据，增强对统计工作的了解。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2025年，我单位发出收费通知的件数和总金额以及实际收取的总金额均为0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604030504040204"/>
    <w:charset w:val="86"/>
    <w:family w:val="swiss"/>
    <w:pitch w:val="default"/>
    <w:sig w:usb0="F7FFAEFF" w:usb1="F9DFFFFF" w:usb2="001FFDF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5AB6E25"/>
    <w:rsid w:val="15B423B1"/>
    <w:rsid w:val="19466F56"/>
    <w:rsid w:val="1D85059A"/>
    <w:rsid w:val="21263C45"/>
    <w:rsid w:val="30E66F9C"/>
    <w:rsid w:val="3E4E0F42"/>
    <w:rsid w:val="4C6FF11D"/>
    <w:rsid w:val="501370BE"/>
    <w:rsid w:val="53D45661"/>
    <w:rsid w:val="5BF71A12"/>
    <w:rsid w:val="61FC300A"/>
    <w:rsid w:val="62E07E00"/>
    <w:rsid w:val="65E941AD"/>
    <w:rsid w:val="68777BAF"/>
    <w:rsid w:val="6B4B7C5E"/>
    <w:rsid w:val="7708406B"/>
    <w:rsid w:val="79C1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2025-01-06T17:38:00Z</dcterms:created>
  <dc:creator>lc</dc:creator>
  <cp:lastModifiedBy>uos</cp:lastModifiedBy>
  <cp:lastPrinted>2026-01-04T10:44:00Z</cp:lastPrinted>
  <dcterms:modified xsi:type="dcterms:W3CDTF">2026-01-09T11:25:21Z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6875E895816C4DC79A3DCE4CEC33A7CE</vt:lpwstr>
  </property>
</Properties>
</file>