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自2008年5月1日起丰台区体育局正式施行政府信息公开工作，局办公室为体育局政府信息公开工作主管部门(西四环南路55号306，电话：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63814319，传真：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63811657，电子邮箱：tyjbgs@mail.bjft.gov.cn)，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组织领导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为切实加强区体育局政府信息公开工作，成立了由党组书记、局长任组长，分管领导任副组长，各科室主要负责人为成员的信息公开工作领导小组，由局办公室实行集中统一归口管理。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）主动公开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年度丰台区体育局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就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年丰台区政务公开工作要求，开展了以下工作：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1.全民健身活动蓬勃开展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功举办“丰彩城市活力季”——“丰BA”篮球超级杯赛、第三届京津冀汽车集结赛等9大活力赛事，开展2025全民太极大会、“武术进家庭”行动、第一届亚洲太极拳日展演活动、卢沟桥醒狮越野跑活动等精品赛事，同步上线体育场景消费地图。全年累计举办区级各类群众赛事活动517场次，受众人群22万人次。2025年，立足区域资源禀赋，精准打造特色“体育+”IP，依托河西地区山水交织的天然地理优势，举办京津冀汽车集结赛，将汽车赛事与乡村旅游、农产品展销、民俗体验深度绑定，打造“农文商旅体”五位一体的汽车品牌赛事活动，不仅为京津冀三地爱好者提供了高水平竞技平台，更直接带动沿线乡村餐饮、住宿、特产消费，为乡村振兴注入体育动能；打造“丰BA”篮球超级杯赛，凭借高观赏性、强互动性的赛事设计引爆区域热度。区体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育局已在“丰台体育”微信公众号发布“2025丰BA预选赛收官2000余名业余球员参赛点燃夏日激情”等相关活动信息。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竞技体育成绩稳步提升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区输送至北京花样滑冰队的张瑞阳以总成绩179.76分为中国队夺得米兰冬奥会花样滑冰女单唯一席位。射箭、跆拳道等多个项目在全国及北京市比赛中获得226枚奖牌，棒垒球项目取得了多项第一名。2025年注册运动员涉及项目37项，2986人。在十五届全运会中，丰台区输送到北京队的24名运动员参加了竞技体育组花样游泳、滑板、羽毛球、棒球、垒球、曲棍球、击剑、射箭8个项目的角逐，获得了2枚银牌、1枚铜牌。区体育局已在“丰台体育”微信公众号发布“喜报！丰台花滑小将张瑞阳勇夺米兰冬奥入场券”等相关赛事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3.政策解读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2025年5月，在“丰台体育”微信公众号发布《应急管理有 “典” 可循！抢险救灾、安全生产……这些法条须记牢》，对《中华人民共和国民法典》针对应急和安全相关条款进行解读，对于广大体育爱好者，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给予安全提示，做到依法依规，安全有保障。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当前，体育局信息公开工作存在以下问题：思想认识不到位，部分工作人员对信息公开重要性认识不足，主动公开意识薄弱，存在怕公开、</w:t>
      </w:r>
      <w:r>
        <w:rPr>
          <w:rFonts w:hint="eastAsia" w:ascii="仿宋_GB2312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不愿</w:t>
      </w: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公开的倾向，影响</w:t>
      </w:r>
      <w:r>
        <w:rPr>
          <w:rFonts w:hint="eastAsia" w:ascii="仿宋_GB2312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信息公开</w:t>
      </w: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工作</w:t>
      </w:r>
      <w:r>
        <w:rPr>
          <w:rFonts w:hint="eastAsia" w:ascii="仿宋_GB2312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落实。针对</w:t>
      </w:r>
      <w:r>
        <w:rPr>
          <w:rFonts w:hint="eastAsia" w:ascii="仿宋_GB2312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此类</w:t>
      </w: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问题，体育局将采取以下改进措施：一是加强教育培训，组织工作人员参加业务培训，提升信息公开意识和能力，确保政策理解准确、执行到位。二是优化工作机制，</w:t>
      </w:r>
      <w:r>
        <w:rPr>
          <w:rFonts w:hint="eastAsia" w:ascii="仿宋_GB2312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进一步</w:t>
      </w:r>
      <w:r>
        <w:rPr>
          <w:rFonts w:hint="eastAsia" w:ascii="仿宋_GB2312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"/>
        </w:rPr>
        <w:t>明确责任科室和人员，定期检查更新情况，确保信息及时发布。三是丰富公开形式，利用图文、视频等多样化方式解读政策，增强公开内容的可读性和吸引力。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发出收费通知的件数和总金额以及实际收取的总金额均为0。</w:t>
      </w:r>
    </w:p>
    <w:p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D85059A"/>
    <w:rsid w:val="47675A64"/>
    <w:rsid w:val="48AD6B70"/>
    <w:rsid w:val="4BBA0128"/>
    <w:rsid w:val="51133EDF"/>
    <w:rsid w:val="61FC300A"/>
    <w:rsid w:val="6F6E2B74"/>
    <w:rsid w:val="712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next w:val="1"/>
    <w:qFormat/>
    <w:uiPriority w:val="1"/>
    <w:rPr>
      <w:sz w:val="32"/>
      <w:szCs w:val="32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赵艳涛</cp:lastModifiedBy>
  <cp:lastPrinted>2026-01-13T02:57:00Z</cp:lastPrinted>
  <dcterms:modified xsi:type="dcterms:W3CDTF">2026-01-16T08:12:50Z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7F305C00FB13434587D1212D9AC302E6</vt:lpwstr>
  </property>
</Properties>
</file>