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highlight w:val="none"/>
        </w:rPr>
      </w:pPr>
    </w:p>
    <w:p>
      <w:pPr>
        <w:spacing w:line="560" w:lineRule="exact"/>
        <w:jc w:val="center"/>
        <w:rPr>
          <w:rFonts w:ascii="方正小标宋简体" w:hAnsi="方正小标宋简体" w:eastAsia="方正小标宋简体" w:cs="方正小标宋简体"/>
          <w:sz w:val="44"/>
          <w:szCs w:val="44"/>
          <w:highlight w:val="none"/>
          <w:lang w:bidi="ar"/>
        </w:rPr>
      </w:pPr>
      <w:r>
        <w:rPr>
          <w:rFonts w:hint="eastAsia" w:ascii="方正小标宋简体" w:hAnsi="方正小标宋简体" w:eastAsia="方正小标宋简体" w:cs="方正小标宋简体"/>
          <w:sz w:val="44"/>
          <w:szCs w:val="44"/>
          <w:highlight w:val="none"/>
          <w:lang w:bidi="ar"/>
        </w:rPr>
        <w:t>北京市丰台区</w:t>
      </w:r>
      <w:r>
        <w:rPr>
          <w:rFonts w:ascii="方正小标宋简体" w:hAnsi="方正小标宋简体" w:eastAsia="方正小标宋简体" w:cs="方正小标宋简体"/>
          <w:sz w:val="44"/>
          <w:szCs w:val="44"/>
          <w:highlight w:val="none"/>
          <w:lang w:bidi="ar"/>
        </w:rPr>
        <w:t>人民政府国有资产</w:t>
      </w:r>
      <w:r>
        <w:rPr>
          <w:rFonts w:hint="eastAsia" w:ascii="方正小标宋简体" w:hAnsi="方正小标宋简体" w:eastAsia="方正小标宋简体" w:cs="方正小标宋简体"/>
          <w:sz w:val="44"/>
          <w:szCs w:val="44"/>
          <w:highlight w:val="none"/>
          <w:lang w:bidi="ar"/>
        </w:rPr>
        <w:t>监督管理</w:t>
      </w:r>
      <w:r>
        <w:rPr>
          <w:rFonts w:ascii="方正小标宋简体" w:hAnsi="方正小标宋简体" w:eastAsia="方正小标宋简体" w:cs="方正小标宋简体"/>
          <w:sz w:val="44"/>
          <w:szCs w:val="44"/>
          <w:highlight w:val="none"/>
          <w:lang w:bidi="ar"/>
        </w:rPr>
        <w:t>委员会</w:t>
      </w:r>
      <w:r>
        <w:rPr>
          <w:rFonts w:hint="eastAsia" w:ascii="方正小标宋简体" w:hAnsi="方正小标宋简体" w:eastAsia="方正小标宋简体" w:cs="方正小标宋简体"/>
          <w:sz w:val="44"/>
          <w:szCs w:val="44"/>
          <w:highlight w:val="none"/>
          <w:lang w:bidi="ar"/>
        </w:rPr>
        <w:t>202</w:t>
      </w:r>
      <w:r>
        <w:rPr>
          <w:rFonts w:hint="eastAsia" w:ascii="方正小标宋简体" w:hAnsi="方正小标宋简体" w:eastAsia="方正小标宋简体" w:cs="方正小标宋简体"/>
          <w:sz w:val="44"/>
          <w:szCs w:val="44"/>
          <w:highlight w:val="none"/>
          <w:lang w:val="en-US" w:eastAsia="zh-CN" w:bidi="ar"/>
        </w:rPr>
        <w:t>5</w:t>
      </w:r>
      <w:r>
        <w:rPr>
          <w:rFonts w:hint="eastAsia" w:ascii="方正小标宋简体" w:hAnsi="方正小标宋简体" w:eastAsia="方正小标宋简体" w:cs="方正小标宋简体"/>
          <w:sz w:val="44"/>
          <w:szCs w:val="44"/>
          <w:highlight w:val="none"/>
          <w:lang w:bidi="ar"/>
        </w:rPr>
        <w:t>年政府信息公开工作</w:t>
      </w:r>
    </w:p>
    <w:p>
      <w:pPr>
        <w:spacing w:line="560" w:lineRule="exact"/>
        <w:jc w:val="center"/>
        <w:rPr>
          <w:rFonts w:ascii="方正小标宋简体" w:hAnsi="方正小标宋简体" w:eastAsia="方正小标宋简体" w:cs="方正小标宋简体"/>
          <w:sz w:val="44"/>
          <w:szCs w:val="44"/>
          <w:highlight w:val="none"/>
          <w:lang w:bidi="ar"/>
        </w:rPr>
      </w:pPr>
      <w:r>
        <w:rPr>
          <w:rFonts w:hint="eastAsia" w:ascii="方正小标宋简体" w:hAnsi="方正小标宋简体" w:eastAsia="方正小标宋简体" w:cs="方正小标宋简体"/>
          <w:sz w:val="44"/>
          <w:szCs w:val="44"/>
          <w:highlight w:val="none"/>
          <w:lang w:bidi="ar"/>
        </w:rPr>
        <w:t>年度报告</w:t>
      </w:r>
    </w:p>
    <w:p>
      <w:pPr>
        <w:pStyle w:val="2"/>
        <w:rPr>
          <w:highlight w:val="none"/>
          <w:lang w:bidi="ar"/>
        </w:rPr>
      </w:pPr>
    </w:p>
    <w:p>
      <w:pPr>
        <w:widowControl/>
        <w:spacing w:line="560" w:lineRule="exact"/>
        <w:ind w:firstLine="672" w:firstLineChars="200"/>
        <w:jc w:val="left"/>
        <w:rPr>
          <w:rFonts w:ascii="黑体" w:hAnsi="宋体" w:eastAsia="黑体" w:cs="宋体"/>
          <w:spacing w:val="8"/>
          <w:kern w:val="0"/>
          <w:sz w:val="32"/>
          <w:szCs w:val="32"/>
          <w:highlight w:val="none"/>
        </w:rPr>
      </w:pPr>
      <w:r>
        <w:rPr>
          <w:rFonts w:hint="eastAsia" w:ascii="仿宋_GB2312" w:hAnsi="宋体" w:eastAsia="仿宋_GB2312" w:cs="宋体"/>
          <w:spacing w:val="8"/>
          <w:kern w:val="0"/>
          <w:sz w:val="32"/>
          <w:szCs w:val="32"/>
          <w:highlight w:val="none"/>
        </w:rPr>
        <w:t>依据《中华人民共和国政府信息公开条例》(以下简称《政府信息公开条例》)第五十条规定，编制本报告。</w:t>
      </w:r>
      <w:r>
        <w:rPr>
          <w:rFonts w:hint="eastAsia" w:ascii="黑体" w:hAnsi="宋体" w:eastAsia="黑体" w:cs="宋体"/>
          <w:spacing w:val="8"/>
          <w:kern w:val="0"/>
          <w:sz w:val="32"/>
          <w:szCs w:val="32"/>
          <w:highlight w:val="none"/>
          <w:lang w:bidi="ar"/>
        </w:rPr>
        <w:t>一、总体情况</w:t>
      </w:r>
    </w:p>
    <w:p>
      <w:pPr>
        <w:pStyle w:val="6"/>
        <w:widowControl/>
        <w:spacing w:before="0" w:beforeAutospacing="0" w:after="0" w:afterAutospacing="0" w:line="560" w:lineRule="exact"/>
        <w:ind w:firstLine="640"/>
        <w:jc w:val="both"/>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rPr>
        <w:t>202</w:t>
      </w:r>
      <w:r>
        <w:rPr>
          <w:rFonts w:hint="eastAsia" w:ascii="仿宋_GB2312" w:hAnsi="仿宋_GB2312" w:eastAsia="仿宋_GB2312" w:cs="仿宋_GB2312"/>
          <w:color w:val="000000"/>
          <w:sz w:val="32"/>
          <w:szCs w:val="32"/>
          <w:highlight w:val="none"/>
          <w:shd w:val="clear" w:color="auto" w:fill="FFFFFF"/>
          <w:lang w:val="en-US" w:eastAsia="zh-CN"/>
        </w:rPr>
        <w:t>5</w:t>
      </w:r>
      <w:r>
        <w:rPr>
          <w:rFonts w:hint="eastAsia" w:ascii="仿宋_GB2312" w:hAnsi="仿宋_GB2312" w:eastAsia="仿宋_GB2312" w:cs="仿宋_GB2312"/>
          <w:color w:val="000000"/>
          <w:sz w:val="32"/>
          <w:szCs w:val="32"/>
          <w:highlight w:val="none"/>
          <w:shd w:val="clear" w:color="auto" w:fill="FFFFFF"/>
        </w:rPr>
        <w:t>年，</w:t>
      </w:r>
      <w:r>
        <w:rPr>
          <w:rFonts w:hint="eastAsia" w:ascii="仿宋_GB2312" w:hAnsi="仿宋_GB2312" w:eastAsia="仿宋_GB2312" w:cs="仿宋_GB2312"/>
          <w:color w:val="000000"/>
          <w:sz w:val="32"/>
          <w:szCs w:val="32"/>
          <w:highlight w:val="none"/>
          <w:shd w:val="clear" w:color="auto" w:fill="FFFFFF"/>
          <w:lang w:eastAsia="zh-CN"/>
        </w:rPr>
        <w:t>在区委区政府的正确领导下，在区政数局的指导帮助下，丰台区国资委认真按照《政府信息公开条例》等相关文件规定精神，健全信息公开制度，完善信息公开流程，创新信息公开机制，本年度在政府信息和政务信息公开等方面取得一定成效。</w:t>
      </w:r>
    </w:p>
    <w:p>
      <w:pPr>
        <w:pStyle w:val="6"/>
        <w:widowControl/>
        <w:numPr>
          <w:ilvl w:val="0"/>
          <w:numId w:val="1"/>
        </w:numPr>
        <w:spacing w:before="0" w:beforeAutospacing="0" w:after="0" w:afterAutospacing="0" w:line="560" w:lineRule="exact"/>
        <w:ind w:left="640"/>
        <w:jc w:val="both"/>
        <w:rPr>
          <w:rFonts w:hint="eastAsia" w:ascii="楷体_GB2312" w:hAnsi="仿宋" w:eastAsia="楷体_GB2312"/>
          <w:b/>
          <w:color w:val="333333"/>
          <w:sz w:val="32"/>
          <w:szCs w:val="32"/>
          <w:highlight w:val="none"/>
          <w:shd w:val="clear" w:color="auto" w:fill="FFFFFF"/>
          <w:lang w:eastAsia="zh-CN"/>
        </w:rPr>
      </w:pPr>
      <w:r>
        <w:rPr>
          <w:rFonts w:hint="eastAsia" w:ascii="楷体_GB2312" w:hAnsi="仿宋" w:eastAsia="楷体_GB2312"/>
          <w:b/>
          <w:color w:val="333333"/>
          <w:sz w:val="32"/>
          <w:szCs w:val="32"/>
          <w:highlight w:val="none"/>
          <w:shd w:val="clear" w:color="auto" w:fill="FFFFFF"/>
          <w:lang w:eastAsia="zh-CN"/>
        </w:rPr>
        <w:t>主动公开情况</w:t>
      </w:r>
    </w:p>
    <w:p>
      <w:pPr>
        <w:pStyle w:val="6"/>
        <w:widowControl/>
        <w:numPr>
          <w:ilvl w:val="0"/>
          <w:numId w:val="0"/>
        </w:numPr>
        <w:spacing w:before="0" w:beforeAutospacing="0" w:after="0" w:afterAutospacing="0" w:line="560" w:lineRule="exact"/>
        <w:ind w:firstLine="640" w:firstLineChars="200"/>
        <w:jc w:val="both"/>
        <w:rPr>
          <w:rFonts w:hint="default" w:ascii="楷体_GB2312" w:hAnsi="仿宋" w:eastAsia="楷体_GB2312"/>
          <w:b/>
          <w:color w:val="333333"/>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2025年，丰台区国资委聚焦区委区政府重点任务事项、折子工程等，围绕丰台区国资国企改革发展和群众密切关注的问题，持续深化国资国企改革，优化国资监管体系，并对重大举措信息公开。本年度在丰台区人民政府网站上公开信息116条，在微信公众号公开信息</w:t>
      </w:r>
      <w:r>
        <w:rPr>
          <w:rFonts w:hint="eastAsia" w:ascii="仿宋_GB2312" w:hAnsi="仿宋_GB2312" w:eastAsia="仿宋_GB2312" w:cs="仿宋_GB2312"/>
          <w:color w:val="000000"/>
          <w:sz w:val="32"/>
          <w:szCs w:val="32"/>
          <w:highlight w:val="none"/>
          <w:shd w:val="clear" w:color="auto" w:fill="FFFFFF"/>
          <w:lang w:val="en-US" w:eastAsia="zh-CN"/>
        </w:rPr>
        <w:t>403篇</w:t>
      </w:r>
      <w:r>
        <w:rPr>
          <w:rFonts w:hint="eastAsia" w:ascii="仿宋_GB2312" w:hAnsi="仿宋_GB2312" w:eastAsia="仿宋_GB2312" w:cs="仿宋_GB2312"/>
          <w:color w:val="000000"/>
          <w:sz w:val="32"/>
          <w:szCs w:val="32"/>
          <w:highlight w:val="none"/>
          <w:shd w:val="clear" w:color="auto" w:fill="FFFFFF"/>
          <w:lang w:val="en-US" w:eastAsia="zh-CN"/>
        </w:rPr>
        <w:t>，切实加强对国资国企高质量发展成效的宣传。</w:t>
      </w:r>
    </w:p>
    <w:p>
      <w:pPr>
        <w:pStyle w:val="6"/>
        <w:widowControl/>
        <w:spacing w:before="0" w:beforeAutospacing="0" w:after="0" w:afterAutospacing="0" w:line="560" w:lineRule="exact"/>
        <w:ind w:firstLine="643" w:firstLineChars="200"/>
        <w:jc w:val="both"/>
        <w:rPr>
          <w:rFonts w:hint="eastAsia" w:ascii="楷体_GB2312" w:hAnsi="仿宋" w:eastAsia="楷体_GB2312"/>
          <w:b/>
          <w:color w:val="333333"/>
          <w:sz w:val="32"/>
          <w:szCs w:val="32"/>
          <w:highlight w:val="none"/>
          <w:shd w:val="clear" w:color="auto" w:fill="FFFFFF"/>
          <w:lang w:eastAsia="zh-CN"/>
        </w:rPr>
      </w:pPr>
      <w:r>
        <w:rPr>
          <w:rFonts w:hint="eastAsia" w:ascii="楷体_GB2312" w:hAnsi="仿宋" w:eastAsia="楷体_GB2312"/>
          <w:b/>
          <w:color w:val="333333"/>
          <w:sz w:val="32"/>
          <w:szCs w:val="32"/>
          <w:highlight w:val="none"/>
          <w:shd w:val="clear" w:color="auto" w:fill="FFFFFF"/>
        </w:rPr>
        <w:t>（二）</w:t>
      </w:r>
      <w:r>
        <w:rPr>
          <w:rFonts w:hint="eastAsia" w:ascii="楷体_GB2312" w:hAnsi="仿宋" w:eastAsia="楷体_GB2312"/>
          <w:b/>
          <w:color w:val="333333"/>
          <w:sz w:val="32"/>
          <w:szCs w:val="32"/>
          <w:highlight w:val="none"/>
          <w:shd w:val="clear" w:color="auto" w:fill="FFFFFF"/>
          <w:lang w:eastAsia="zh-CN"/>
        </w:rPr>
        <w:t>依申请公开情况</w:t>
      </w:r>
    </w:p>
    <w:p>
      <w:pPr>
        <w:pStyle w:val="6"/>
        <w:widowControl/>
        <w:spacing w:before="0" w:beforeAutospacing="0" w:after="0" w:afterAutospacing="0" w:line="560" w:lineRule="exact"/>
        <w:ind w:firstLine="640"/>
        <w:jc w:val="both"/>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eastAsia="zh-CN"/>
        </w:rPr>
        <w:t>丰台区国资委严格落实《政府信息公开条例》相关规定，依法执行依</w:t>
      </w:r>
      <w:r>
        <w:rPr>
          <w:rFonts w:hint="eastAsia" w:ascii="仿宋_GB2312" w:hAnsi="仿宋_GB2312" w:eastAsia="仿宋_GB2312" w:cs="仿宋_GB2312"/>
          <w:color w:val="000000"/>
          <w:sz w:val="32"/>
          <w:szCs w:val="32"/>
          <w:highlight w:val="none"/>
          <w:shd w:val="clear" w:color="auto" w:fill="FFFFFF"/>
        </w:rPr>
        <w:t>申请</w:t>
      </w:r>
      <w:r>
        <w:rPr>
          <w:rFonts w:ascii="仿宋_GB2312" w:hAnsi="仿宋_GB2312" w:eastAsia="仿宋_GB2312" w:cs="仿宋_GB2312"/>
          <w:color w:val="000000"/>
          <w:sz w:val="32"/>
          <w:szCs w:val="32"/>
          <w:highlight w:val="none"/>
          <w:shd w:val="clear" w:color="auto" w:fill="FFFFFF"/>
        </w:rPr>
        <w:t>公开</w:t>
      </w:r>
      <w:r>
        <w:rPr>
          <w:rFonts w:hint="eastAsia" w:ascii="仿宋_GB2312" w:hAnsi="仿宋_GB2312" w:eastAsia="仿宋_GB2312" w:cs="仿宋_GB2312"/>
          <w:color w:val="000000"/>
          <w:sz w:val="32"/>
          <w:szCs w:val="32"/>
          <w:highlight w:val="none"/>
          <w:shd w:val="clear" w:color="auto" w:fill="FFFFFF"/>
          <w:lang w:eastAsia="zh-CN"/>
        </w:rPr>
        <w:t>程序，并进行及时回复。</w:t>
      </w:r>
      <w:r>
        <w:rPr>
          <w:rFonts w:hint="eastAsia" w:ascii="仿宋_GB2312" w:hAnsi="仿宋_GB2312" w:eastAsia="仿宋_GB2312" w:cs="仿宋_GB2312"/>
          <w:color w:val="000000"/>
          <w:sz w:val="32"/>
          <w:szCs w:val="32"/>
          <w:highlight w:val="none"/>
          <w:shd w:val="clear" w:color="auto" w:fill="FFFFFF"/>
          <w:lang w:val="en-US" w:eastAsia="zh-CN"/>
        </w:rPr>
        <w:t>2025年，丰台区国资委</w:t>
      </w:r>
      <w:r>
        <w:rPr>
          <w:rFonts w:hint="eastAsia" w:ascii="仿宋_GB2312" w:hAnsi="仿宋_GB2312" w:eastAsia="仿宋_GB2312" w:cs="仿宋_GB2312"/>
          <w:color w:val="000000"/>
          <w:sz w:val="32"/>
          <w:szCs w:val="32"/>
          <w:highlight w:val="none"/>
          <w:shd w:val="clear" w:color="auto" w:fill="FFFFFF"/>
        </w:rPr>
        <w:t>全年申请总数为</w:t>
      </w: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rPr>
        <w:t>件，均已按期答复。</w:t>
      </w:r>
    </w:p>
    <w:p>
      <w:pPr>
        <w:pStyle w:val="6"/>
        <w:widowControl/>
        <w:spacing w:before="0" w:beforeAutospacing="0" w:after="0" w:afterAutospacing="0" w:line="560" w:lineRule="exact"/>
        <w:ind w:firstLine="646"/>
        <w:jc w:val="both"/>
        <w:rPr>
          <w:rFonts w:hint="eastAsia" w:ascii="仿宋_GB2312" w:hAnsi="仿宋_GB2312" w:eastAsia="楷体_GB2312" w:cs="仿宋_GB2312"/>
          <w:color w:val="000000"/>
          <w:sz w:val="32"/>
          <w:szCs w:val="32"/>
          <w:highlight w:val="none"/>
          <w:shd w:val="clear" w:color="auto" w:fill="FFFFFF"/>
          <w:lang w:eastAsia="zh-CN"/>
        </w:rPr>
      </w:pPr>
      <w:r>
        <w:rPr>
          <w:rFonts w:hint="eastAsia" w:ascii="楷体_GB2312" w:hAnsi="楷体_GB2312" w:eastAsia="楷体_GB2312" w:cs="楷体_GB2312"/>
          <w:b/>
          <w:color w:val="000000"/>
          <w:sz w:val="32"/>
          <w:szCs w:val="32"/>
          <w:highlight w:val="none"/>
          <w:shd w:val="clear" w:color="auto" w:fill="FFFFFF"/>
        </w:rPr>
        <w:t>（三）</w:t>
      </w:r>
      <w:r>
        <w:rPr>
          <w:rFonts w:hint="eastAsia" w:ascii="楷体_GB2312" w:hAnsi="楷体_GB2312" w:eastAsia="楷体_GB2312" w:cs="楷体_GB2312"/>
          <w:b/>
          <w:color w:val="000000"/>
          <w:sz w:val="32"/>
          <w:szCs w:val="32"/>
          <w:highlight w:val="none"/>
          <w:shd w:val="clear" w:color="auto" w:fill="FFFFFF"/>
          <w:lang w:eastAsia="zh-CN"/>
        </w:rPr>
        <w:t>信息公开管理情况</w:t>
      </w:r>
    </w:p>
    <w:p>
      <w:pPr>
        <w:pStyle w:val="6"/>
        <w:widowControl/>
        <w:spacing w:before="0" w:beforeAutospacing="0" w:after="0" w:afterAutospacing="0" w:line="560" w:lineRule="exact"/>
        <w:ind w:firstLine="640"/>
        <w:jc w:val="both"/>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color w:val="000000"/>
          <w:sz w:val="32"/>
          <w:szCs w:val="32"/>
          <w:highlight w:val="none"/>
          <w:shd w:val="clear" w:color="auto" w:fill="FFFFFF"/>
          <w:lang w:eastAsia="zh-CN"/>
        </w:rPr>
        <w:t>为加强政府信息公开管理，丰台区国资委安排专职人员负责政府信息公开工作，严格履行信息公开相关流程，准确把握不同类型信息公开要求，确保信息公开内容的合规性、合法性、准确性。</w:t>
      </w:r>
    </w:p>
    <w:p>
      <w:pPr>
        <w:pStyle w:val="6"/>
        <w:widowControl/>
        <w:numPr>
          <w:ilvl w:val="0"/>
          <w:numId w:val="0"/>
        </w:numPr>
        <w:spacing w:before="0" w:beforeAutospacing="0" w:after="0" w:afterAutospacing="0" w:line="560" w:lineRule="exact"/>
        <w:ind w:firstLine="646" w:firstLineChars="0"/>
        <w:jc w:val="both"/>
        <w:rPr>
          <w:rFonts w:hint="eastAsia" w:ascii="楷体_GB2312" w:hAnsi="楷体_GB2312" w:eastAsia="楷体_GB2312" w:cs="楷体_GB2312"/>
          <w:b/>
          <w:color w:val="000000"/>
          <w:sz w:val="32"/>
          <w:szCs w:val="32"/>
          <w:highlight w:val="none"/>
          <w:shd w:val="clear" w:color="auto" w:fill="FFFFFF"/>
          <w:lang w:eastAsia="zh-CN"/>
        </w:rPr>
      </w:pPr>
      <w:r>
        <w:rPr>
          <w:rFonts w:hint="eastAsia" w:ascii="楷体_GB2312" w:hAnsi="楷体_GB2312" w:eastAsia="楷体_GB2312" w:cs="楷体_GB2312"/>
          <w:b/>
          <w:color w:val="000000"/>
          <w:kern w:val="0"/>
          <w:sz w:val="32"/>
          <w:szCs w:val="32"/>
          <w:highlight w:val="none"/>
          <w:shd w:val="clear" w:fill="FFFFFF"/>
          <w:lang w:val="en-US" w:eastAsia="zh-CN" w:bidi="ar-SA"/>
        </w:rPr>
        <w:t>（四）信息公开</w:t>
      </w:r>
      <w:r>
        <w:rPr>
          <w:rFonts w:hint="eastAsia" w:ascii="楷体_GB2312" w:hAnsi="楷体_GB2312" w:eastAsia="楷体_GB2312" w:cs="楷体_GB2312"/>
          <w:b/>
          <w:color w:val="000000"/>
          <w:sz w:val="32"/>
          <w:szCs w:val="32"/>
          <w:highlight w:val="none"/>
          <w:shd w:val="clear" w:color="auto" w:fill="FFFFFF"/>
          <w:lang w:eastAsia="zh-CN"/>
        </w:rPr>
        <w:t>监督保障情况</w:t>
      </w:r>
    </w:p>
    <w:p>
      <w:pPr>
        <w:numPr>
          <w:ilvl w:val="0"/>
          <w:numId w:val="0"/>
        </w:numPr>
        <w:spacing w:line="560" w:lineRule="exact"/>
        <w:ind w:firstLine="640" w:firstLineChars="200"/>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en-US" w:eastAsia="zh-CN" w:bidi="ar-SA"/>
        </w:rPr>
        <w:t>为落实信息公开的监督保障工作，丰台区国资委信息公开工作人员坚持提高对信息公开工作的思想认识及重视程度，加强政务信息公开队伍建设，积极参加区政府组织的信息公开业务培训等，同时按要求强化信息公开内容的审核把关，严格审核内容中涉密敏感信息，按要求公开相关内容。</w:t>
      </w:r>
    </w:p>
    <w:p>
      <w:pPr>
        <w:numPr>
          <w:ilvl w:val="0"/>
          <w:numId w:val="2"/>
        </w:numPr>
        <w:spacing w:line="560" w:lineRule="exact"/>
        <w:ind w:firstLine="640"/>
        <w:rPr>
          <w:rFonts w:ascii="黑体" w:hAnsi="宋体" w:eastAsia="黑体" w:cs="黑体"/>
          <w:sz w:val="32"/>
          <w:szCs w:val="32"/>
          <w:highlight w:val="none"/>
        </w:rPr>
      </w:pPr>
      <w:r>
        <w:rPr>
          <w:rFonts w:hint="eastAsia" w:ascii="黑体" w:hAnsi="宋体" w:eastAsia="黑体" w:cs="黑体"/>
          <w:sz w:val="32"/>
          <w:szCs w:val="32"/>
          <w:highlight w:val="none"/>
          <w:lang w:bidi="ar"/>
        </w:rPr>
        <w:t>主动公开政府信息情况</w:t>
      </w:r>
    </w:p>
    <w:p>
      <w:pPr>
        <w:pStyle w:val="3"/>
        <w:widowControl/>
        <w:rPr>
          <w:highlight w:val="none"/>
        </w:rPr>
      </w:pPr>
    </w:p>
    <w:tbl>
      <w:tblPr>
        <w:tblStyle w:val="7"/>
        <w:tblW w:w="9740" w:type="dxa"/>
        <w:jc w:val="center"/>
        <w:shd w:val="clear" w:color="auto" w:fill="auto"/>
        <w:tblLayout w:type="autofit"/>
        <w:tblCellMar>
          <w:top w:w="0" w:type="dxa"/>
          <w:left w:w="0" w:type="dxa"/>
          <w:bottom w:w="0" w:type="dxa"/>
          <w:right w:w="0" w:type="dxa"/>
        </w:tblCellMar>
      </w:tblPr>
      <w:tblGrid>
        <w:gridCol w:w="2435"/>
        <w:gridCol w:w="2435"/>
        <w:gridCol w:w="2435"/>
        <w:gridCol w:w="2435"/>
      </w:tblGrid>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第二十条第（一）项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现行有效件数</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cs="Calibri"/>
                <w:kern w:val="0"/>
                <w:szCs w:val="21"/>
                <w:highlight w:val="none"/>
                <w:lang w:bidi="ar"/>
              </w:rPr>
              <w:t>0</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cs="Calibri"/>
                <w:kern w:val="0"/>
                <w:szCs w:val="21"/>
                <w:highlight w:val="none"/>
                <w:lang w:bidi="ar"/>
              </w:rPr>
              <w:t>0</w:t>
            </w:r>
          </w:p>
        </w:tc>
      </w:tr>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第二十条第（五）项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本年处理决定数量</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ascii="宋体" w:hAnsi="宋体" w:cs="宋体"/>
                <w:color w:val="000000"/>
                <w:kern w:val="0"/>
                <w:sz w:val="20"/>
                <w:szCs w:val="20"/>
                <w:highlight w:val="none"/>
                <w:lang w:bidi="ar"/>
              </w:rPr>
              <w:t>0</w:t>
            </w:r>
          </w:p>
        </w:tc>
      </w:tr>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第二十条第（六）项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第二十条第（八）项</w:t>
            </w:r>
          </w:p>
        </w:tc>
      </w:tr>
      <w:tr>
        <w:tblPrEx>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color w:val="000000"/>
                <w:kern w:val="0"/>
                <w:sz w:val="20"/>
                <w:szCs w:val="20"/>
                <w:highlight w:val="none"/>
                <w:lang w:bidi="ar"/>
              </w:rPr>
              <w:t>本年收费金额（单位：万元）</w:t>
            </w:r>
          </w:p>
        </w:tc>
      </w:tr>
      <w:tr>
        <w:tblPrEx>
          <w:tblCellMar>
            <w:top w:w="0" w:type="dxa"/>
            <w:left w:w="0" w:type="dxa"/>
            <w:bottom w:w="0" w:type="dxa"/>
            <w:right w:w="0" w:type="dxa"/>
          </w:tblCellMar>
        </w:tblPrEx>
        <w:trPr>
          <w:trHeight w:val="24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color w:val="000000"/>
                <w:kern w:val="0"/>
                <w:sz w:val="20"/>
                <w:szCs w:val="20"/>
                <w:highlight w:val="none"/>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ind w:firstLine="200" w:firstLineChars="100"/>
              <w:jc w:val="left"/>
              <w:rPr>
                <w:rFonts w:ascii="宋体" w:cs="宋体"/>
                <w:sz w:val="24"/>
                <w:highlight w:val="none"/>
              </w:rPr>
            </w:pPr>
            <w:r>
              <w:rPr>
                <w:rFonts w:hint="eastAsia" w:ascii="宋体" w:hAnsi="宋体" w:cs="宋体"/>
                <w:color w:val="000000"/>
                <w:kern w:val="0"/>
                <w:sz w:val="20"/>
                <w:szCs w:val="20"/>
                <w:highlight w:val="none"/>
                <w:lang w:bidi="ar"/>
              </w:rPr>
              <w:t>0</w:t>
            </w:r>
          </w:p>
        </w:tc>
      </w:tr>
    </w:tbl>
    <w:p>
      <w:pPr>
        <w:pStyle w:val="2"/>
        <w:ind w:left="0" w:leftChars="0"/>
        <w:rPr>
          <w:highlight w:val="none"/>
        </w:rPr>
      </w:pPr>
    </w:p>
    <w:p>
      <w:pPr>
        <w:numPr>
          <w:ilvl w:val="0"/>
          <w:numId w:val="2"/>
        </w:numPr>
        <w:spacing w:line="560" w:lineRule="exact"/>
        <w:ind w:firstLine="640"/>
        <w:rPr>
          <w:rFonts w:ascii="黑体" w:hAnsi="宋体" w:eastAsia="黑体" w:cs="黑体"/>
          <w:sz w:val="32"/>
          <w:szCs w:val="32"/>
          <w:highlight w:val="none"/>
        </w:rPr>
      </w:pPr>
      <w:r>
        <w:rPr>
          <w:rFonts w:hint="eastAsia" w:ascii="黑体" w:hAnsi="宋体" w:eastAsia="黑体" w:cs="黑体"/>
          <w:sz w:val="32"/>
          <w:szCs w:val="32"/>
          <w:highlight w:val="none"/>
          <w:lang w:bidi="ar"/>
        </w:rPr>
        <w:t>收到和处理政府信息公开申请情况</w:t>
      </w:r>
    </w:p>
    <w:p>
      <w:pPr>
        <w:ind w:left="629"/>
        <w:rPr>
          <w:rFonts w:ascii="黑体" w:hAnsi="宋体" w:eastAsia="黑体" w:cs="黑体"/>
          <w:sz w:val="24"/>
          <w:highlight w:val="none"/>
        </w:rP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widowControl/>
              <w:jc w:val="left"/>
              <w:rPr>
                <w:highlight w:val="none"/>
              </w:rPr>
            </w:pPr>
            <w:r>
              <w:rPr>
                <w:rFonts w:hint="eastAsia" w:ascii="楷体" w:hAnsi="楷体" w:eastAsia="楷体" w:cs="楷体"/>
                <w:kern w:val="0"/>
                <w:sz w:val="20"/>
                <w:szCs w:val="20"/>
                <w:highlight w:val="none"/>
                <w:lang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rPr>
                <w:sz w:val="20"/>
                <w:szCs w:val="20"/>
                <w:highlight w:val="none"/>
              </w:rPr>
            </w:pPr>
          </w:p>
        </w:tc>
        <w:tc>
          <w:tcPr>
            <w:tcW w:w="691" w:type="dxa"/>
            <w:vMerge w:val="restart"/>
            <w:tcBorders>
              <w:top w:val="single" w:color="auto" w:sz="0" w:space="0"/>
              <w:left w:val="single" w:color="auto" w:sz="0"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法人或其他组织</w:t>
            </w:r>
          </w:p>
        </w:tc>
        <w:tc>
          <w:tcPr>
            <w:tcW w:w="691" w:type="dxa"/>
            <w:vMerge w:val="restart"/>
            <w:tcBorders>
              <w:top w:val="single" w:color="auto" w:sz="8" w:space="0"/>
              <w:left w:val="single" w:color="auto" w:sz="0" w:space="0"/>
              <w:bottom w:val="inset"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8" w:hRule="atLeast"/>
          <w:jc w:val="center"/>
        </w:trPr>
        <w:tc>
          <w:tcPr>
            <w:tcW w:w="4926"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rPr>
                <w:sz w:val="20"/>
                <w:szCs w:val="20"/>
                <w:highlight w:val="none"/>
              </w:rPr>
            </w:pPr>
          </w:p>
        </w:tc>
        <w:tc>
          <w:tcPr>
            <w:tcW w:w="691" w:type="dxa"/>
            <w:vMerge w:val="continue"/>
            <w:tcBorders>
              <w:top w:val="single" w:color="auto" w:sz="0" w:space="0"/>
              <w:left w:val="single" w:color="auto" w:sz="0" w:space="0"/>
              <w:bottom w:val="single"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688" w:type="dxa"/>
            <w:tcBorders>
              <w:top w:val="single" w:color="auto" w:sz="0" w:space="0"/>
              <w:left w:val="single" w:color="auto" w:sz="0"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商业</w:t>
            </w:r>
          </w:p>
          <w:p>
            <w:pPr>
              <w:widowControl/>
              <w:jc w:val="center"/>
              <w:rPr>
                <w:highlight w:val="none"/>
              </w:rPr>
            </w:pPr>
            <w:r>
              <w:rPr>
                <w:rFonts w:hint="eastAsia" w:ascii="宋体" w:hAnsi="宋体" w:cs="宋体"/>
                <w:kern w:val="0"/>
                <w:sz w:val="20"/>
                <w:szCs w:val="20"/>
                <w:highlight w:val="none"/>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科研</w:t>
            </w:r>
          </w:p>
          <w:p>
            <w:pPr>
              <w:widowControl/>
              <w:jc w:val="center"/>
              <w:rPr>
                <w:highlight w:val="none"/>
              </w:rPr>
            </w:pPr>
            <w:r>
              <w:rPr>
                <w:rFonts w:hint="eastAsia" w:ascii="宋体" w:hAnsi="宋体" w:cs="宋体"/>
                <w:kern w:val="0"/>
                <w:sz w:val="20"/>
                <w:szCs w:val="20"/>
                <w:highlight w:val="none"/>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auto"/>
            <w:tcMar>
              <w:left w:w="57" w:type="dxa"/>
              <w:right w:w="57" w:type="dxa"/>
            </w:tcMar>
            <w:vAlign w:val="center"/>
          </w:tcPr>
          <w:p>
            <w:pPr>
              <w:widowControl/>
              <w:jc w:val="center"/>
              <w:rPr>
                <w:highlight w:val="none"/>
              </w:rPr>
            </w:pPr>
            <w:r>
              <w:rPr>
                <w:rFonts w:hint="eastAsia" w:ascii="宋体" w:hAnsi="宋体" w:cs="宋体"/>
                <w:kern w:val="0"/>
                <w:sz w:val="20"/>
                <w:szCs w:val="20"/>
                <w:highlight w:val="none"/>
                <w:lang w:bidi="ar"/>
              </w:rPr>
              <w:t>其他</w:t>
            </w:r>
          </w:p>
        </w:tc>
        <w:tc>
          <w:tcPr>
            <w:tcW w:w="691" w:type="dxa"/>
            <w:vMerge w:val="continue"/>
            <w:tcBorders>
              <w:top w:val="single" w:color="auto" w:sz="8"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一、本年新收政府信息公开申请数量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3</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8" w:hRule="atLeast"/>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二、上年结转政府信息公开申请数量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restart"/>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三、本年度办理结果</w:t>
            </w: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（一）予以公开</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ind w:firstLine="200" w:firstLineChars="100"/>
              <w:rPr>
                <w:rFonts w:hint="eastAsia" w:eastAsia="宋体"/>
                <w:sz w:val="20"/>
                <w:szCs w:val="20"/>
                <w:highlight w:val="none"/>
                <w:lang w:eastAsia="zh-CN"/>
              </w:rPr>
            </w:pPr>
            <w:r>
              <w:rPr>
                <w:rFonts w:hint="eastAsia" w:cs="Calibri"/>
                <w:kern w:val="0"/>
                <w:sz w:val="20"/>
                <w:szCs w:val="20"/>
                <w:highlight w:val="none"/>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91"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（二）部分公开</w:t>
            </w:r>
            <w:r>
              <w:rPr>
                <w:rFonts w:hint="eastAsia" w:ascii="楷体" w:hAnsi="楷体" w:eastAsia="楷体" w:cs="楷体"/>
                <w:kern w:val="0"/>
                <w:sz w:val="20"/>
                <w:szCs w:val="20"/>
                <w:highlight w:val="none"/>
                <w:lang w:bidi="ar"/>
              </w:rPr>
              <w:t>（区分处理的，只计这一情形，不计其他情形）</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rPr>
                <w:rFonts w:cs="Calibri"/>
                <w:kern w:val="0"/>
                <w:sz w:val="20"/>
                <w:szCs w:val="20"/>
                <w:highlight w:val="none"/>
                <w:lang w:bidi="ar"/>
              </w:rPr>
            </w:pPr>
          </w:p>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（三）不予公开</w:t>
            </w: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1.属于国家秘密</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hint="eastAsia"/>
                <w:sz w:val="20"/>
                <w:szCs w:val="20"/>
                <w:highlight w:val="none"/>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2.其他法律行政法规禁止公开</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3.危及“三安全一稳定”</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4.保护第三方合法权益</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5.属于三类内部事务信息</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6.属于四类过程性信息</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7.属于行政执法案卷</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8.属于行政查询事项</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（四）无法提供</w:t>
            </w: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1.本机关不掌握相关政府信息</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2.没有现成信息需要另行制作</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3.补正后申请内容仍不明确</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（五）不予处理</w:t>
            </w: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1.信访举报投诉类申请</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2.重复申请</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3.要求提供公开出版物</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highlight w:val="none"/>
              </w:rPr>
            </w:pPr>
            <w:r>
              <w:rPr>
                <w:rFonts w:hint="eastAsia" w:ascii="宋体" w:hAnsi="宋体" w:cs="宋体"/>
                <w:kern w:val="0"/>
                <w:sz w:val="20"/>
                <w:szCs w:val="20"/>
                <w:highlight w:val="none"/>
                <w:lang w:bidi="ar"/>
              </w:rPr>
              <w:t>4.无正当理由大量反复申请</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vAlign w:val="center"/>
          </w:tcPr>
          <w:p>
            <w:pPr>
              <w:widowControl/>
              <w:rPr>
                <w:highlight w:val="none"/>
              </w:rPr>
            </w:pPr>
            <w:r>
              <w:rPr>
                <w:rFonts w:hint="eastAsia" w:ascii="宋体" w:hAnsi="宋体" w:cs="宋体"/>
                <w:kern w:val="0"/>
                <w:sz w:val="20"/>
                <w:szCs w:val="20"/>
                <w:highlight w:val="none"/>
                <w:lang w:bidi="ar"/>
              </w:rPr>
              <w:t>5.要求行政机关确认或重新出具已获取信息</w:t>
            </w:r>
          </w:p>
        </w:tc>
        <w:tc>
          <w:tcPr>
            <w:tcW w:w="691" w:type="dxa"/>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tcPr>
          <w:p>
            <w:pPr>
              <w:widowControl/>
              <w:jc w:val="center"/>
              <w:rPr>
                <w:rFonts w:cs="Calibri"/>
                <w:kern w:val="0"/>
                <w:sz w:val="20"/>
                <w:szCs w:val="20"/>
                <w:highlight w:val="none"/>
                <w:lang w:bidi="ar"/>
              </w:rPr>
            </w:pPr>
          </w:p>
          <w:p>
            <w:pPr>
              <w:widowControl/>
              <w:jc w:val="center"/>
              <w:rPr>
                <w:sz w:val="20"/>
                <w:szCs w:val="20"/>
                <w:highlight w:val="none"/>
              </w:rPr>
            </w:pPr>
            <w:r>
              <w:rPr>
                <w:rFonts w:cs="Calibri"/>
                <w:kern w:val="0"/>
                <w:sz w:val="20"/>
                <w:szCs w:val="20"/>
                <w:highlight w:val="none"/>
                <w:lang w:bidi="ar"/>
              </w:rPr>
              <w:t>0</w:t>
            </w:r>
          </w:p>
        </w:tc>
        <w:tc>
          <w:tcPr>
            <w:tcW w:w="688" w:type="dxa"/>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tcPr>
          <w:p>
            <w:pPr>
              <w:widowControl/>
              <w:jc w:val="center"/>
              <w:rPr>
                <w:rFonts w:cs="Calibri"/>
                <w:kern w:val="0"/>
                <w:sz w:val="20"/>
                <w:szCs w:val="20"/>
                <w:highlight w:val="none"/>
                <w:lang w:bidi="ar"/>
              </w:rPr>
            </w:pPr>
          </w:p>
          <w:p>
            <w:pPr>
              <w:widowControl/>
              <w:jc w:val="center"/>
              <w:rPr>
                <w:sz w:val="20"/>
                <w:szCs w:val="20"/>
                <w:highlight w:val="none"/>
              </w:rPr>
            </w:pPr>
            <w:r>
              <w:rPr>
                <w:rFonts w:cs="Calibri"/>
                <w:kern w:val="0"/>
                <w:sz w:val="20"/>
                <w:szCs w:val="20"/>
                <w:highlight w:val="none"/>
                <w:lang w:bidi="ar"/>
              </w:rPr>
              <w:t>0</w:t>
            </w:r>
          </w:p>
        </w:tc>
        <w:tc>
          <w:tcPr>
            <w:tcW w:w="688" w:type="dxa"/>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91" w:type="dxa"/>
            <w:tcBorders>
              <w:top w:val="single" w:color="auto" w:sz="0" w:space="0"/>
              <w:left w:val="single" w:color="auto" w:sz="0" w:space="0"/>
              <w:bottom w:val="inset"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（六）其他处理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highlight w:val="none"/>
              </w:rPr>
            </w:pPr>
            <w:r>
              <w:rPr>
                <w:rFonts w:hint="eastAsia" w:ascii="宋体" w:hAnsi="宋体" w:cs="宋体"/>
                <w:kern w:val="0"/>
                <w:sz w:val="20"/>
                <w:szCs w:val="20"/>
                <w:highlight w:val="none"/>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highlight w:val="none"/>
              </w:rPr>
            </w:pPr>
            <w:r>
              <w:rPr>
                <w:rFonts w:hint="eastAsia" w:ascii="宋体" w:hAnsi="宋体" w:cs="宋体"/>
                <w:kern w:val="0"/>
                <w:sz w:val="20"/>
                <w:szCs w:val="20"/>
                <w:highlight w:val="none"/>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jc w:val="center"/>
              <w:rPr>
                <w:rFonts w:cs="Calibri"/>
                <w:kern w:val="0"/>
                <w:sz w:val="20"/>
                <w:szCs w:val="20"/>
                <w:highlight w:val="none"/>
                <w:lang w:bidi="ar"/>
              </w:rPr>
            </w:pPr>
          </w:p>
          <w:p>
            <w:pPr>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3.其他</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sz w:val="20"/>
                <w:szCs w:val="20"/>
                <w:highlight w:val="none"/>
              </w:rPr>
            </w:pPr>
            <w:r>
              <w:rPr>
                <w:rFonts w:cs="Calibri"/>
                <w:kern w:val="0"/>
                <w:sz w:val="20"/>
                <w:szCs w:val="20"/>
                <w:highlight w:val="none"/>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single" w:color="auto" w:sz="0" w:space="0"/>
              <w:left w:val="single" w:color="auto" w:sz="8" w:space="0"/>
              <w:bottom w:val="inset" w:color="auto" w:sz="8" w:space="0"/>
              <w:right w:val="single" w:color="auto" w:sz="8" w:space="0"/>
            </w:tcBorders>
            <w:shd w:val="clear" w:color="auto" w:fill="auto"/>
            <w:tcMar>
              <w:left w:w="57" w:type="dxa"/>
              <w:right w:w="57" w:type="dxa"/>
            </w:tcMar>
            <w:vAlign w:val="center"/>
          </w:tcPr>
          <w:p>
            <w:pPr>
              <w:rPr>
                <w:sz w:val="20"/>
                <w:szCs w:val="20"/>
                <w:highlight w:val="none"/>
              </w:rPr>
            </w:pP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（七）总计</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sz w:val="20"/>
                <w:szCs w:val="20"/>
                <w:highlight w:val="none"/>
              </w:rPr>
            </w:pPr>
            <w:r>
              <w:rPr>
                <w:rFonts w:cs="Calibri"/>
                <w:kern w:val="0"/>
                <w:sz w:val="20"/>
                <w:szCs w:val="20"/>
                <w:highlight w:val="none"/>
                <w:lang w:bidi="ar"/>
              </w:rPr>
              <w:t>0</w:t>
            </w:r>
          </w:p>
        </w:tc>
        <w:tc>
          <w:tcPr>
            <w:tcW w:w="691"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宋体"/>
                <w:sz w:val="20"/>
                <w:szCs w:val="20"/>
                <w:highlight w:val="none"/>
                <w:lang w:eastAsia="zh-CN"/>
              </w:rPr>
            </w:pPr>
            <w:r>
              <w:rPr>
                <w:rFonts w:hint="eastAsia" w:cs="Calibri"/>
                <w:kern w:val="0"/>
                <w:sz w:val="20"/>
                <w:szCs w:val="20"/>
                <w:highlight w:val="none"/>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tcBorders>
              <w:top w:val="single" w:color="auto" w:sz="0" w:space="0"/>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highlight w:val="none"/>
              </w:rPr>
            </w:pPr>
            <w:r>
              <w:rPr>
                <w:rFonts w:hint="eastAsia" w:ascii="宋体" w:hAnsi="宋体" w:cs="宋体"/>
                <w:kern w:val="0"/>
                <w:sz w:val="20"/>
                <w:szCs w:val="20"/>
                <w:highlight w:val="none"/>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shd w:val="clear" w:color="auto" w:fill="auto"/>
            <w:vAlign w:val="center"/>
          </w:tcPr>
          <w:p>
            <w:pPr>
              <w:jc w:val="center"/>
              <w:rPr>
                <w:rFonts w:ascii="宋体" w:cs="宋体"/>
                <w:sz w:val="20"/>
                <w:szCs w:val="20"/>
                <w:highlight w:val="none"/>
              </w:rPr>
            </w:pPr>
            <w:r>
              <w:rPr>
                <w:rFonts w:hint="eastAsia" w:ascii="宋体" w:cs="宋体"/>
                <w:sz w:val="20"/>
                <w:szCs w:val="20"/>
                <w:highlight w:val="none"/>
              </w:rPr>
              <w:t>0</w:t>
            </w:r>
          </w:p>
        </w:tc>
        <w:tc>
          <w:tcPr>
            <w:tcW w:w="0" w:type="auto"/>
            <w:tcBorders>
              <w:top w:val="inset" w:color="auto" w:sz="6" w:space="0"/>
              <w:left w:val="single" w:color="auto" w:sz="0" w:space="0"/>
              <w:bottom w:val="inset" w:color="auto" w:sz="6" w:space="0"/>
              <w:right w:val="inset" w:color="auto" w:sz="6" w:space="0"/>
            </w:tcBorders>
            <w:shd w:val="clear" w:color="auto" w:fill="auto"/>
            <w:vAlign w:val="center"/>
          </w:tcPr>
          <w:p>
            <w:pPr>
              <w:jc w:val="center"/>
              <w:rPr>
                <w:rFonts w:ascii="宋体" w:cs="宋体"/>
                <w:sz w:val="20"/>
                <w:szCs w:val="20"/>
                <w:highlight w:val="none"/>
              </w:rPr>
            </w:pPr>
            <w:r>
              <w:rPr>
                <w:rFonts w:hint="eastAsia" w:ascii="宋体" w:cs="宋体"/>
                <w:sz w:val="20"/>
                <w:szCs w:val="20"/>
                <w:highlight w:val="none"/>
              </w:rPr>
              <w:t>0</w:t>
            </w:r>
          </w:p>
        </w:tc>
        <w:tc>
          <w:tcPr>
            <w:tcW w:w="0" w:type="auto"/>
            <w:tcBorders>
              <w:top w:val="inset" w:color="auto" w:sz="6" w:space="0"/>
              <w:left w:val="single" w:color="auto" w:sz="0" w:space="0"/>
              <w:bottom w:val="inset" w:color="auto" w:sz="6" w:space="0"/>
              <w:right w:val="inset" w:color="auto" w:sz="6" w:space="0"/>
            </w:tcBorders>
            <w:shd w:val="clear" w:color="auto" w:fill="auto"/>
            <w:vAlign w:val="center"/>
          </w:tcPr>
          <w:p>
            <w:pPr>
              <w:jc w:val="center"/>
              <w:rPr>
                <w:rFonts w:ascii="宋体" w:cs="宋体"/>
                <w:sz w:val="20"/>
                <w:szCs w:val="20"/>
                <w:highlight w:val="none"/>
              </w:rPr>
            </w:pPr>
            <w:r>
              <w:rPr>
                <w:rFonts w:hint="eastAsia" w:ascii="宋体" w:cs="宋体"/>
                <w:sz w:val="20"/>
                <w:szCs w:val="20"/>
                <w:highlight w:val="none"/>
              </w:rPr>
              <w:t>0</w:t>
            </w:r>
          </w:p>
        </w:tc>
        <w:tc>
          <w:tcPr>
            <w:tcW w:w="0" w:type="auto"/>
            <w:tcBorders>
              <w:top w:val="inset" w:color="auto" w:sz="6" w:space="0"/>
              <w:left w:val="single" w:color="auto" w:sz="0" w:space="0"/>
              <w:bottom w:val="inset" w:color="auto" w:sz="6" w:space="0"/>
              <w:right w:val="inset" w:color="auto" w:sz="6" w:space="0"/>
            </w:tcBorders>
            <w:shd w:val="clear" w:color="auto" w:fill="auto"/>
            <w:vAlign w:val="center"/>
          </w:tcPr>
          <w:p>
            <w:pPr>
              <w:jc w:val="center"/>
              <w:rPr>
                <w:rFonts w:ascii="宋体" w:cs="宋体"/>
                <w:sz w:val="20"/>
                <w:szCs w:val="20"/>
                <w:highlight w:val="none"/>
              </w:rPr>
            </w:pPr>
            <w:r>
              <w:rPr>
                <w:rFonts w:hint="eastAsia" w:ascii="宋体" w:cs="宋体"/>
                <w:sz w:val="20"/>
                <w:szCs w:val="20"/>
                <w:highlight w:val="none"/>
              </w:rPr>
              <w:t>0</w:t>
            </w:r>
          </w:p>
        </w:tc>
        <w:tc>
          <w:tcPr>
            <w:tcW w:w="688" w:type="dxa"/>
            <w:tcBorders>
              <w:top w:val="inset" w:color="auto" w:sz="6" w:space="0"/>
              <w:left w:val="single" w:color="auto" w:sz="0" w:space="0"/>
              <w:bottom w:val="inset" w:color="auto" w:sz="6" w:space="0"/>
              <w:right w:val="inset" w:color="auto" w:sz="6" w:space="0"/>
            </w:tcBorders>
            <w:shd w:val="clear" w:color="auto" w:fill="auto"/>
            <w:vAlign w:val="center"/>
          </w:tcPr>
          <w:p>
            <w:pPr>
              <w:jc w:val="center"/>
              <w:rPr>
                <w:rFonts w:ascii="宋体" w:cs="宋体"/>
                <w:sz w:val="20"/>
                <w:szCs w:val="20"/>
                <w:highlight w:val="none"/>
              </w:rPr>
            </w:pPr>
            <w:r>
              <w:rPr>
                <w:rFonts w:hint="eastAsia" w:ascii="宋体" w:cs="宋体"/>
                <w:sz w:val="20"/>
                <w:szCs w:val="20"/>
                <w:highlight w:val="none"/>
              </w:rPr>
              <w:t>0</w:t>
            </w:r>
          </w:p>
        </w:tc>
        <w:tc>
          <w:tcPr>
            <w:tcW w:w="688" w:type="dxa"/>
            <w:tcBorders>
              <w:top w:val="inset" w:color="auto" w:sz="6" w:space="0"/>
              <w:left w:val="single" w:color="auto" w:sz="0" w:space="0"/>
              <w:bottom w:val="inset" w:color="auto" w:sz="6" w:space="0"/>
              <w:right w:val="inset" w:color="auto" w:sz="6" w:space="0"/>
            </w:tcBorders>
            <w:shd w:val="clear" w:color="auto" w:fill="auto"/>
            <w:vAlign w:val="center"/>
          </w:tcPr>
          <w:p>
            <w:pPr>
              <w:jc w:val="center"/>
              <w:rPr>
                <w:rFonts w:ascii="宋体" w:cs="宋体"/>
                <w:sz w:val="20"/>
                <w:szCs w:val="20"/>
                <w:highlight w:val="none"/>
              </w:rPr>
            </w:pPr>
            <w:r>
              <w:rPr>
                <w:rFonts w:hint="eastAsia" w:ascii="宋体" w:cs="宋体"/>
                <w:sz w:val="20"/>
                <w:szCs w:val="20"/>
                <w:highlight w:val="none"/>
              </w:rPr>
              <w:t>0</w:t>
            </w:r>
          </w:p>
        </w:tc>
        <w:tc>
          <w:tcPr>
            <w:tcW w:w="0" w:type="auto"/>
            <w:tcBorders>
              <w:top w:val="inset" w:color="auto" w:sz="6" w:space="0"/>
              <w:left w:val="single" w:color="auto" w:sz="0" w:space="0"/>
              <w:bottom w:val="inset" w:color="auto" w:sz="6" w:space="0"/>
              <w:right w:val="inset" w:color="auto" w:sz="6" w:space="0"/>
            </w:tcBorders>
            <w:shd w:val="clear" w:color="auto" w:fill="auto"/>
            <w:vAlign w:val="center"/>
          </w:tcPr>
          <w:p>
            <w:pPr>
              <w:jc w:val="center"/>
              <w:rPr>
                <w:rFonts w:ascii="宋体" w:cs="宋体"/>
                <w:sz w:val="20"/>
                <w:szCs w:val="20"/>
                <w:highlight w:val="none"/>
              </w:rPr>
            </w:pPr>
            <w:r>
              <w:rPr>
                <w:rFonts w:hint="eastAsia" w:ascii="宋体" w:cs="宋体"/>
                <w:sz w:val="20"/>
                <w:szCs w:val="20"/>
                <w:highlight w:val="none"/>
              </w:rPr>
              <w:t>0</w:t>
            </w:r>
          </w:p>
        </w:tc>
      </w:tr>
    </w:tbl>
    <w:p>
      <w:pPr>
        <w:pStyle w:val="3"/>
        <w:widowControl/>
        <w:ind w:left="420" w:leftChars="200"/>
        <w:rPr>
          <w:highlight w:val="none"/>
        </w:rPr>
      </w:pPr>
    </w:p>
    <w:p>
      <w:pPr>
        <w:rPr>
          <w:highlight w:val="none"/>
        </w:rPr>
      </w:pPr>
    </w:p>
    <w:p>
      <w:pPr>
        <w:spacing w:line="560" w:lineRule="exact"/>
        <w:ind w:firstLine="640" w:firstLineChars="200"/>
        <w:rPr>
          <w:rFonts w:ascii="黑体" w:hAnsi="宋体" w:eastAsia="黑体" w:cs="黑体"/>
          <w:sz w:val="32"/>
          <w:szCs w:val="32"/>
          <w:highlight w:val="none"/>
        </w:rPr>
      </w:pPr>
      <w:r>
        <w:rPr>
          <w:rFonts w:hint="eastAsia" w:ascii="黑体" w:hAnsi="宋体" w:eastAsia="黑体" w:cs="黑体"/>
          <w:sz w:val="32"/>
          <w:szCs w:val="32"/>
          <w:highlight w:val="none"/>
          <w:lang w:bidi="ar"/>
        </w:rPr>
        <w:t>四、政府信息公开行政复议、行政诉讼情况</w:t>
      </w:r>
    </w:p>
    <w:p>
      <w:pPr>
        <w:widowControl/>
        <w:jc w:val="center"/>
        <w:rPr>
          <w:highlight w:val="none"/>
        </w:rP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其他</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尚未</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sz w:val="20"/>
                <w:szCs w:val="20"/>
                <w:highlight w:val="none"/>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sz w:val="20"/>
                <w:szCs w:val="20"/>
                <w:highlight w:val="none"/>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sz w:val="20"/>
                <w:szCs w:val="20"/>
                <w:highlight w:val="none"/>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sz w:val="20"/>
                <w:szCs w:val="20"/>
                <w:highlight w:val="none"/>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sz w:val="20"/>
                <w:szCs w:val="20"/>
                <w:highlight w:val="none"/>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其他</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尚未</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color w:val="000000"/>
                <w:kern w:val="0"/>
                <w:sz w:val="20"/>
                <w:szCs w:val="20"/>
                <w:highlight w:val="none"/>
                <w:lang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结果</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color w:val="000000"/>
                <w:kern w:val="0"/>
                <w:sz w:val="20"/>
                <w:szCs w:val="20"/>
                <w:highlight w:val="none"/>
                <w:lang w:bidi="ar"/>
              </w:rPr>
              <w:t>其他</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kern w:val="0"/>
                <w:sz w:val="20"/>
                <w:szCs w:val="20"/>
                <w:highlight w:val="none"/>
                <w:lang w:bidi="ar"/>
              </w:rPr>
              <w:t>尚未</w:t>
            </w:r>
            <w:r>
              <w:rPr>
                <w:rFonts w:hint="eastAsia" w:ascii="宋体" w:hAnsi="宋体" w:cs="宋体"/>
                <w:kern w:val="0"/>
                <w:sz w:val="20"/>
                <w:szCs w:val="20"/>
                <w:highlight w:val="none"/>
                <w:lang w:bidi="ar"/>
              </w:rPr>
              <w:br w:type="textWrapping"/>
            </w:r>
            <w:r>
              <w:rPr>
                <w:rFonts w:hint="eastAsia" w:ascii="宋体" w:hAnsi="宋体" w:cs="宋体"/>
                <w:kern w:val="0"/>
                <w:sz w:val="20"/>
                <w:szCs w:val="20"/>
                <w:highlight w:val="none"/>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hint="eastAsia" w:ascii="宋体" w:hAnsi="宋体" w:cs="宋体"/>
                <w:color w:val="000000"/>
                <w:kern w:val="0"/>
                <w:sz w:val="20"/>
                <w:szCs w:val="20"/>
                <w:highlight w:val="none"/>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eastAsia="宋体"/>
                <w:highlight w:val="none"/>
                <w:lang w:eastAsia="zh-CN"/>
              </w:rPr>
            </w:pPr>
            <w:r>
              <w:rPr>
                <w:rFonts w:hint="eastAsia" w:ascii="黑体" w:hAnsi="宋体" w:eastAsia="黑体" w:cs="黑体"/>
                <w:kern w:val="0"/>
                <w:sz w:val="20"/>
                <w:szCs w:val="20"/>
                <w:highlight w:val="none"/>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eastAsia="宋体"/>
                <w:highlight w:val="none"/>
                <w:lang w:eastAsia="zh-CN"/>
              </w:rPr>
            </w:pPr>
            <w:r>
              <w:rPr>
                <w:rFonts w:hint="eastAsia" w:ascii="黑体" w:hAnsi="宋体" w:eastAsia="黑体" w:cs="黑体"/>
                <w:kern w:val="0"/>
                <w:sz w:val="20"/>
                <w:szCs w:val="20"/>
                <w:highlight w:val="none"/>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eastAsia="宋体"/>
                <w:highlight w:val="none"/>
                <w:lang w:eastAsia="zh-CN"/>
              </w:rPr>
            </w:pPr>
            <w:r>
              <w:rPr>
                <w:rFonts w:hint="eastAsia" w:ascii="黑体" w:hAnsi="宋体" w:eastAsia="黑体" w:cs="黑体"/>
                <w:kern w:val="0"/>
                <w:sz w:val="20"/>
                <w:szCs w:val="20"/>
                <w:highlight w:val="none"/>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eastAsia="宋体"/>
                <w:highlight w:val="none"/>
                <w:lang w:val="en-US" w:eastAsia="zh-CN"/>
              </w:rPr>
            </w:pPr>
            <w:r>
              <w:rPr>
                <w:rFonts w:hint="eastAsia" w:ascii="黑体" w:hAnsi="宋体" w:eastAsia="黑体" w:cs="黑体"/>
                <w:kern w:val="0"/>
                <w:sz w:val="20"/>
                <w:szCs w:val="20"/>
                <w:highlight w:val="none"/>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eastAsia="宋体"/>
                <w:highlight w:val="none"/>
                <w:lang w:val="en-US" w:eastAsia="zh-CN"/>
              </w:rPr>
            </w:pPr>
            <w:r>
              <w:rPr>
                <w:rFonts w:hint="eastAsia"/>
                <w:highlight w:val="none"/>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eastAsia="宋体"/>
                <w:highlight w:val="none"/>
                <w:lang w:val="en-US" w:eastAsia="zh-CN"/>
              </w:rPr>
            </w:pPr>
            <w:r>
              <w:rPr>
                <w:rFonts w:hint="eastAsia" w:ascii="黑体" w:hAnsi="宋体" w:eastAsia="黑体" w:cs="黑体"/>
                <w:kern w:val="0"/>
                <w:sz w:val="20"/>
                <w:szCs w:val="20"/>
                <w:highlight w:val="none"/>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eastAsia="宋体"/>
                <w:highlight w:val="none"/>
                <w:lang w:val="en-US" w:eastAsia="zh-CN"/>
              </w:rPr>
            </w:pPr>
            <w:r>
              <w:rPr>
                <w:rFonts w:hint="eastAsia"/>
                <w:highlight w:val="none"/>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eastAsia="黑体"/>
                <w:highlight w:val="none"/>
                <w:lang w:eastAsia="zh-CN"/>
              </w:rPr>
            </w:pPr>
            <w:r>
              <w:rPr>
                <w:rFonts w:ascii="黑体" w:hAnsi="宋体" w:eastAsia="黑体" w:cs="黑体"/>
                <w:kern w:val="0"/>
                <w:sz w:val="20"/>
                <w:szCs w:val="20"/>
                <w:highlight w:val="none"/>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ascii="黑体" w:hAnsi="宋体" w:eastAsia="黑体" w:cs="黑体"/>
                <w:kern w:val="0"/>
                <w:sz w:val="20"/>
                <w:szCs w:val="20"/>
                <w:highlight w:val="none"/>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ascii="黑体" w:hAnsi="宋体" w:eastAsia="黑体" w:cs="黑体"/>
                <w:kern w:val="0"/>
                <w:sz w:val="20"/>
                <w:szCs w:val="20"/>
                <w:highlight w:val="none"/>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both"/>
              <w:rPr>
                <w:highlight w:val="none"/>
              </w:rPr>
            </w:pPr>
            <w:r>
              <w:rPr>
                <w:rFonts w:ascii="黑体" w:hAnsi="宋体" w:eastAsia="黑体" w:cs="黑体"/>
                <w:kern w:val="0"/>
                <w:sz w:val="20"/>
                <w:szCs w:val="20"/>
                <w:highlight w:val="none"/>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ascii="黑体" w:hAnsi="宋体" w:eastAsia="黑体" w:cs="黑体"/>
                <w:kern w:val="0"/>
                <w:sz w:val="20"/>
                <w:szCs w:val="20"/>
                <w:highlight w:val="none"/>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ascii="黑体" w:hAnsi="宋体" w:eastAsia="黑体" w:cs="黑体"/>
                <w:kern w:val="0"/>
                <w:sz w:val="20"/>
                <w:szCs w:val="20"/>
                <w:highlight w:val="none"/>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highlight w:val="none"/>
              </w:rPr>
            </w:pPr>
            <w:r>
              <w:rPr>
                <w:rFonts w:ascii="黑体" w:hAnsi="宋体" w:eastAsia="黑体" w:cs="黑体"/>
                <w:kern w:val="0"/>
                <w:sz w:val="20"/>
                <w:szCs w:val="20"/>
                <w:highlight w:val="none"/>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cs="宋体"/>
                <w:sz w:val="24"/>
                <w:highlight w:val="none"/>
              </w:rPr>
            </w:pPr>
            <w:r>
              <w:rPr>
                <w:rFonts w:hint="eastAsia" w:ascii="宋体" w:cs="宋体"/>
                <w:sz w:val="24"/>
                <w:highlight w:val="none"/>
              </w:rPr>
              <w:t>0</w:t>
            </w:r>
          </w:p>
        </w:tc>
      </w:tr>
    </w:tbl>
    <w:p>
      <w:pPr>
        <w:widowControl/>
        <w:jc w:val="left"/>
        <w:rPr>
          <w:highlight w:val="none"/>
        </w:rPr>
      </w:pPr>
    </w:p>
    <w:p>
      <w:pPr>
        <w:widowControl/>
        <w:spacing w:line="560" w:lineRule="exact"/>
        <w:ind w:firstLine="672" w:firstLineChars="200"/>
        <w:jc w:val="left"/>
        <w:rPr>
          <w:rFonts w:ascii="宋体" w:hAnsi="宋体" w:cs="宋体"/>
          <w:spacing w:val="8"/>
          <w:kern w:val="0"/>
          <w:sz w:val="24"/>
          <w:highlight w:val="none"/>
        </w:rPr>
      </w:pPr>
      <w:r>
        <w:rPr>
          <w:rFonts w:hint="eastAsia" w:ascii="黑体" w:hAnsi="宋体" w:eastAsia="黑体" w:cs="宋体"/>
          <w:spacing w:val="8"/>
          <w:kern w:val="0"/>
          <w:sz w:val="32"/>
          <w:szCs w:val="32"/>
          <w:highlight w:val="none"/>
          <w:lang w:bidi="ar"/>
        </w:rPr>
        <w:t>五、存在的主要问题及改进情况</w:t>
      </w:r>
    </w:p>
    <w:p>
      <w:pPr>
        <w:widowControl/>
        <w:spacing w:line="560" w:lineRule="exact"/>
        <w:ind w:firstLine="675"/>
        <w:jc w:val="left"/>
        <w:rPr>
          <w:rFonts w:hint="eastAsia" w:ascii="仿宋_GB2312" w:hAnsi="宋体" w:eastAsia="仿宋_GB2312" w:cs="仿宋_GB2312"/>
          <w:i w:val="0"/>
          <w:iCs w:val="0"/>
          <w:caps w:val="0"/>
          <w:spacing w:val="0"/>
          <w:sz w:val="32"/>
          <w:szCs w:val="32"/>
          <w:highlight w:val="none"/>
          <w:shd w:val="clear" w:fill="FFFFFF"/>
          <w:lang w:eastAsia="zh-CN"/>
        </w:rPr>
      </w:pPr>
      <w:r>
        <w:rPr>
          <w:rFonts w:hint="eastAsia" w:ascii="仿宋_GB2312" w:hAnsi="宋体" w:eastAsia="仿宋_GB2312" w:cs="仿宋_GB2312"/>
          <w:i w:val="0"/>
          <w:iCs w:val="0"/>
          <w:caps w:val="0"/>
          <w:spacing w:val="0"/>
          <w:sz w:val="32"/>
          <w:szCs w:val="32"/>
          <w:highlight w:val="none"/>
          <w:shd w:val="clear" w:fill="FFFFFF"/>
          <w:lang w:eastAsia="zh-CN"/>
        </w:rPr>
        <w:t>各科室</w:t>
      </w:r>
      <w:r>
        <w:rPr>
          <w:rFonts w:hint="eastAsia" w:ascii="仿宋_GB2312" w:hAnsi="宋体" w:eastAsia="仿宋_GB2312" w:cs="仿宋_GB2312"/>
          <w:i w:val="0"/>
          <w:iCs w:val="0"/>
          <w:caps w:val="0"/>
          <w:spacing w:val="0"/>
          <w:sz w:val="32"/>
          <w:szCs w:val="32"/>
          <w:highlight w:val="none"/>
          <w:shd w:val="clear" w:fill="FFFFFF"/>
        </w:rPr>
        <w:t>之间</w:t>
      </w:r>
      <w:r>
        <w:rPr>
          <w:rFonts w:hint="eastAsia" w:ascii="仿宋_GB2312" w:hAnsi="宋体" w:eastAsia="仿宋_GB2312" w:cs="仿宋_GB2312"/>
          <w:i w:val="0"/>
          <w:iCs w:val="0"/>
          <w:caps w:val="0"/>
          <w:spacing w:val="0"/>
          <w:sz w:val="32"/>
          <w:szCs w:val="32"/>
          <w:highlight w:val="none"/>
          <w:shd w:val="clear" w:fill="FFFFFF"/>
          <w:lang w:eastAsia="zh-CN"/>
        </w:rPr>
        <w:t>对接不够紧密</w:t>
      </w:r>
      <w:r>
        <w:rPr>
          <w:rFonts w:hint="eastAsia" w:ascii="仿宋_GB2312" w:hAnsi="宋体" w:eastAsia="仿宋_GB2312" w:cs="仿宋_GB2312"/>
          <w:i w:val="0"/>
          <w:iCs w:val="0"/>
          <w:caps w:val="0"/>
          <w:spacing w:val="0"/>
          <w:sz w:val="32"/>
          <w:szCs w:val="32"/>
          <w:highlight w:val="none"/>
          <w:shd w:val="clear" w:fill="FFFFFF"/>
        </w:rPr>
        <w:t>，未及时将公开责任落实到相关业务科室，负责</w:t>
      </w:r>
      <w:r>
        <w:rPr>
          <w:rFonts w:hint="eastAsia" w:ascii="仿宋_GB2312" w:hAnsi="宋体" w:eastAsia="仿宋_GB2312" w:cs="仿宋_GB2312"/>
          <w:i w:val="0"/>
          <w:iCs w:val="0"/>
          <w:caps w:val="0"/>
          <w:spacing w:val="0"/>
          <w:sz w:val="32"/>
          <w:szCs w:val="32"/>
          <w:highlight w:val="none"/>
          <w:shd w:val="clear" w:fill="FFFFFF"/>
          <w:lang w:eastAsia="zh-CN"/>
        </w:rPr>
        <w:t>信息</w:t>
      </w:r>
      <w:r>
        <w:rPr>
          <w:rFonts w:hint="eastAsia" w:ascii="仿宋_GB2312" w:hAnsi="宋体" w:eastAsia="仿宋_GB2312" w:cs="仿宋_GB2312"/>
          <w:i w:val="0"/>
          <w:iCs w:val="0"/>
          <w:caps w:val="0"/>
          <w:spacing w:val="0"/>
          <w:sz w:val="32"/>
          <w:szCs w:val="32"/>
          <w:highlight w:val="none"/>
          <w:shd w:val="clear" w:fill="FFFFFF"/>
        </w:rPr>
        <w:t>公开工作的办公室和业务</w:t>
      </w:r>
      <w:r>
        <w:rPr>
          <w:rFonts w:hint="eastAsia" w:ascii="仿宋_GB2312" w:hAnsi="宋体" w:eastAsia="仿宋_GB2312" w:cs="仿宋_GB2312"/>
          <w:i w:val="0"/>
          <w:iCs w:val="0"/>
          <w:caps w:val="0"/>
          <w:spacing w:val="0"/>
          <w:sz w:val="32"/>
          <w:szCs w:val="32"/>
          <w:highlight w:val="none"/>
          <w:shd w:val="clear" w:fill="FFFFFF"/>
          <w:lang w:eastAsia="zh-CN"/>
        </w:rPr>
        <w:t>科室</w:t>
      </w:r>
      <w:r>
        <w:rPr>
          <w:rFonts w:hint="eastAsia" w:ascii="仿宋_GB2312" w:hAnsi="宋体" w:eastAsia="仿宋_GB2312" w:cs="仿宋_GB2312"/>
          <w:i w:val="0"/>
          <w:iCs w:val="0"/>
          <w:caps w:val="0"/>
          <w:spacing w:val="0"/>
          <w:sz w:val="32"/>
          <w:szCs w:val="32"/>
          <w:highlight w:val="none"/>
          <w:shd w:val="clear" w:fill="FFFFFF"/>
        </w:rPr>
        <w:t>缺乏沟通协调</w:t>
      </w:r>
      <w:r>
        <w:rPr>
          <w:rFonts w:hint="eastAsia" w:ascii="仿宋_GB2312" w:hAnsi="宋体" w:eastAsia="仿宋_GB2312" w:cs="仿宋_GB2312"/>
          <w:i w:val="0"/>
          <w:iCs w:val="0"/>
          <w:caps w:val="0"/>
          <w:spacing w:val="0"/>
          <w:sz w:val="32"/>
          <w:szCs w:val="32"/>
          <w:highlight w:val="none"/>
          <w:shd w:val="clear" w:fill="FFFFFF"/>
          <w:lang w:eastAsia="zh-CN"/>
        </w:rPr>
        <w:t>。下一步计划是</w:t>
      </w:r>
      <w:r>
        <w:rPr>
          <w:rFonts w:ascii="仿宋_GB2312" w:hAnsi="宋体" w:eastAsia="仿宋_GB2312" w:cs="仿宋_GB2312"/>
          <w:i w:val="0"/>
          <w:iCs w:val="0"/>
          <w:caps w:val="0"/>
          <w:spacing w:val="0"/>
          <w:sz w:val="32"/>
          <w:szCs w:val="32"/>
          <w:highlight w:val="none"/>
          <w:shd w:val="clear" w:fill="FFFFFF"/>
        </w:rPr>
        <w:t>组织</w:t>
      </w:r>
      <w:r>
        <w:rPr>
          <w:rFonts w:hint="eastAsia" w:ascii="仿宋_GB2312" w:hAnsi="宋体" w:eastAsia="仿宋_GB2312" w:cs="仿宋_GB2312"/>
          <w:i w:val="0"/>
          <w:iCs w:val="0"/>
          <w:caps w:val="0"/>
          <w:spacing w:val="0"/>
          <w:sz w:val="32"/>
          <w:szCs w:val="32"/>
          <w:highlight w:val="none"/>
          <w:shd w:val="clear" w:fill="FFFFFF"/>
          <w:lang w:eastAsia="zh-CN"/>
        </w:rPr>
        <w:t>各科室工作人员积极参加相关部门举办的信息公开</w:t>
      </w:r>
      <w:r>
        <w:rPr>
          <w:rFonts w:ascii="仿宋_GB2312" w:hAnsi="宋体" w:eastAsia="仿宋_GB2312" w:cs="仿宋_GB2312"/>
          <w:i w:val="0"/>
          <w:iCs w:val="0"/>
          <w:caps w:val="0"/>
          <w:spacing w:val="0"/>
          <w:sz w:val="32"/>
          <w:szCs w:val="32"/>
          <w:highlight w:val="none"/>
          <w:shd w:val="clear" w:fill="FFFFFF"/>
        </w:rPr>
        <w:t>业务培训，不断提高</w:t>
      </w:r>
      <w:r>
        <w:rPr>
          <w:rFonts w:hint="eastAsia" w:ascii="仿宋_GB2312" w:hAnsi="宋体" w:eastAsia="仿宋_GB2312" w:cs="仿宋_GB2312"/>
          <w:i w:val="0"/>
          <w:iCs w:val="0"/>
          <w:caps w:val="0"/>
          <w:spacing w:val="0"/>
          <w:sz w:val="32"/>
          <w:szCs w:val="32"/>
          <w:highlight w:val="none"/>
          <w:shd w:val="clear" w:fill="FFFFFF"/>
          <w:lang w:eastAsia="zh-CN"/>
        </w:rPr>
        <w:t>信息公开</w:t>
      </w:r>
      <w:r>
        <w:rPr>
          <w:rFonts w:ascii="仿宋_GB2312" w:hAnsi="宋体" w:eastAsia="仿宋_GB2312" w:cs="仿宋_GB2312"/>
          <w:i w:val="0"/>
          <w:iCs w:val="0"/>
          <w:caps w:val="0"/>
          <w:spacing w:val="0"/>
          <w:sz w:val="32"/>
          <w:szCs w:val="32"/>
          <w:highlight w:val="none"/>
          <w:shd w:val="clear" w:fill="FFFFFF"/>
        </w:rPr>
        <w:t>业务技能和水平，进一步规范公开内容</w:t>
      </w:r>
      <w:r>
        <w:rPr>
          <w:rFonts w:hint="eastAsia" w:ascii="仿宋_GB2312" w:hAnsi="宋体" w:eastAsia="仿宋_GB2312" w:cs="仿宋_GB2312"/>
          <w:i w:val="0"/>
          <w:iCs w:val="0"/>
          <w:caps w:val="0"/>
          <w:spacing w:val="0"/>
          <w:sz w:val="32"/>
          <w:szCs w:val="32"/>
          <w:highlight w:val="none"/>
          <w:shd w:val="clear" w:fill="FFFFFF"/>
          <w:lang w:eastAsia="zh-CN"/>
        </w:rPr>
        <w:t>。</w:t>
      </w:r>
    </w:p>
    <w:p>
      <w:pPr>
        <w:widowControl/>
        <w:spacing w:line="560" w:lineRule="exact"/>
        <w:ind w:firstLine="675"/>
        <w:jc w:val="left"/>
        <w:rPr>
          <w:rFonts w:ascii="宋体" w:hAnsi="宋体" w:cs="宋体"/>
          <w:spacing w:val="8"/>
          <w:kern w:val="0"/>
          <w:sz w:val="32"/>
          <w:szCs w:val="32"/>
          <w:highlight w:val="none"/>
        </w:rPr>
      </w:pPr>
      <w:r>
        <w:rPr>
          <w:rFonts w:hint="eastAsia" w:ascii="黑体" w:hAnsi="宋体" w:eastAsia="黑体" w:cs="宋体"/>
          <w:spacing w:val="8"/>
          <w:kern w:val="0"/>
          <w:sz w:val="32"/>
          <w:szCs w:val="32"/>
          <w:highlight w:val="none"/>
          <w:lang w:bidi="ar"/>
        </w:rPr>
        <w:t>六、其他需要报告的事项</w:t>
      </w:r>
    </w:p>
    <w:p>
      <w:pPr>
        <w:widowControl/>
        <w:spacing w:line="560" w:lineRule="exact"/>
        <w:ind w:firstLine="675"/>
        <w:jc w:val="left"/>
        <w:rPr>
          <w:rFonts w:ascii="仿宋_GB2312" w:hAnsi="宋体" w:eastAsia="仿宋_GB2312" w:cs="宋体"/>
          <w:spacing w:val="8"/>
          <w:kern w:val="0"/>
          <w:sz w:val="32"/>
          <w:szCs w:val="32"/>
          <w:highlight w:val="none"/>
        </w:rPr>
      </w:pPr>
      <w:r>
        <w:rPr>
          <w:rFonts w:hint="eastAsia" w:ascii="仿宋_GB2312" w:hAnsi="宋体" w:eastAsia="仿宋_GB2312" w:cs="宋体"/>
          <w:spacing w:val="8"/>
          <w:kern w:val="0"/>
          <w:sz w:val="32"/>
          <w:szCs w:val="32"/>
          <w:highlight w:val="none"/>
        </w:rPr>
        <w:t>发出收费通知的件数和总金额以及实际收取的总金额均为0。</w:t>
      </w:r>
    </w:p>
    <w:p>
      <w:pPr>
        <w:spacing w:line="560" w:lineRule="exact"/>
        <w:ind w:left="5880" w:hanging="5880" w:hangingChars="1750"/>
        <w:rPr>
          <w:rFonts w:ascii="仿宋_GB2312" w:hAnsi="宋体" w:eastAsia="仿宋_GB2312" w:cs="宋体"/>
          <w:spacing w:val="8"/>
          <w:kern w:val="0"/>
          <w:sz w:val="32"/>
          <w:szCs w:val="32"/>
          <w:highlight w:val="none"/>
        </w:rPr>
      </w:pPr>
      <w:r>
        <w:rPr>
          <w:rFonts w:hint="eastAsia" w:ascii="仿宋_GB2312" w:hAnsi="宋体" w:eastAsia="仿宋_GB2312" w:cs="宋体"/>
          <w:spacing w:val="8"/>
          <w:kern w:val="0"/>
          <w:sz w:val="32"/>
          <w:szCs w:val="32"/>
          <w:highlight w:val="none"/>
        </w:rPr>
        <w:t xml:space="preserve">                  </w:t>
      </w:r>
      <w:bookmarkStart w:id="0" w:name="_GoBack"/>
      <w:bookmarkEnd w:id="0"/>
      <w:r>
        <w:rPr>
          <w:rFonts w:hint="eastAsia" w:ascii="仿宋_GB2312" w:hAnsi="宋体" w:eastAsia="仿宋_GB2312" w:cs="宋体"/>
          <w:spacing w:val="8"/>
          <w:kern w:val="0"/>
          <w:sz w:val="32"/>
          <w:szCs w:val="32"/>
          <w:highlight w:val="non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408668"/>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72FA9"/>
    <w:multiLevelType w:val="singleLevel"/>
    <w:tmpl w:val="9A572FA9"/>
    <w:lvl w:ilvl="0" w:tentative="0">
      <w:start w:val="1"/>
      <w:numFmt w:val="chineseCounting"/>
      <w:suff w:val="nothing"/>
      <w:lvlText w:val="（%1）"/>
      <w:lvlJc w:val="left"/>
      <w:rPr>
        <w:rFonts w:hint="eastAsia"/>
      </w:rPr>
    </w:lvl>
  </w:abstractNum>
  <w:abstractNum w:abstractNumId="1">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OWYwMGJiMmE2YjM1NDM2YTkyNTY5MzVlNDE4MTkifQ=="/>
  </w:docVars>
  <w:rsids>
    <w:rsidRoot w:val="0B5B6E2A"/>
    <w:rsid w:val="000E4ED7"/>
    <w:rsid w:val="00213CF6"/>
    <w:rsid w:val="00412E5A"/>
    <w:rsid w:val="004924B6"/>
    <w:rsid w:val="004E158A"/>
    <w:rsid w:val="005C6BE4"/>
    <w:rsid w:val="005E522A"/>
    <w:rsid w:val="00662837"/>
    <w:rsid w:val="00714F8A"/>
    <w:rsid w:val="00767EF4"/>
    <w:rsid w:val="007756C4"/>
    <w:rsid w:val="007E4173"/>
    <w:rsid w:val="008B34B3"/>
    <w:rsid w:val="009F44DF"/>
    <w:rsid w:val="00A777B4"/>
    <w:rsid w:val="00BF4EDD"/>
    <w:rsid w:val="00D42FDB"/>
    <w:rsid w:val="00DB3704"/>
    <w:rsid w:val="00F15538"/>
    <w:rsid w:val="00FB739C"/>
    <w:rsid w:val="01A17E92"/>
    <w:rsid w:val="024B5C25"/>
    <w:rsid w:val="04BF763A"/>
    <w:rsid w:val="07F95559"/>
    <w:rsid w:val="0A0501E5"/>
    <w:rsid w:val="0B1B1342"/>
    <w:rsid w:val="0B5B6E2A"/>
    <w:rsid w:val="0B8D66E4"/>
    <w:rsid w:val="0DF96050"/>
    <w:rsid w:val="0E9D4E90"/>
    <w:rsid w:val="11717F0E"/>
    <w:rsid w:val="14045069"/>
    <w:rsid w:val="16E15B36"/>
    <w:rsid w:val="19B27315"/>
    <w:rsid w:val="19E75211"/>
    <w:rsid w:val="1A361CF4"/>
    <w:rsid w:val="1D1502E7"/>
    <w:rsid w:val="1FD955FC"/>
    <w:rsid w:val="1FFE5062"/>
    <w:rsid w:val="224C47AB"/>
    <w:rsid w:val="23C83873"/>
    <w:rsid w:val="26667E05"/>
    <w:rsid w:val="2E474078"/>
    <w:rsid w:val="2E6E5AA9"/>
    <w:rsid w:val="2F1523C9"/>
    <w:rsid w:val="2F975C07"/>
    <w:rsid w:val="2FB50130"/>
    <w:rsid w:val="311E5564"/>
    <w:rsid w:val="33F00AC3"/>
    <w:rsid w:val="354628D0"/>
    <w:rsid w:val="39396CB4"/>
    <w:rsid w:val="39400042"/>
    <w:rsid w:val="3CA3752F"/>
    <w:rsid w:val="3CF90C34"/>
    <w:rsid w:val="404E74E8"/>
    <w:rsid w:val="424B0183"/>
    <w:rsid w:val="45BE6EBE"/>
    <w:rsid w:val="48DB31D8"/>
    <w:rsid w:val="499E6DEB"/>
    <w:rsid w:val="4B1F03FF"/>
    <w:rsid w:val="4D5E1660"/>
    <w:rsid w:val="4DC94FFD"/>
    <w:rsid w:val="4E9D55E2"/>
    <w:rsid w:val="4ECC264C"/>
    <w:rsid w:val="4FA47125"/>
    <w:rsid w:val="5184720E"/>
    <w:rsid w:val="53447CC8"/>
    <w:rsid w:val="540552B3"/>
    <w:rsid w:val="54F36425"/>
    <w:rsid w:val="564E3947"/>
    <w:rsid w:val="57313959"/>
    <w:rsid w:val="57847532"/>
    <w:rsid w:val="594A3F42"/>
    <w:rsid w:val="5C8A16B4"/>
    <w:rsid w:val="5CFC234E"/>
    <w:rsid w:val="5D753EAF"/>
    <w:rsid w:val="5E224037"/>
    <w:rsid w:val="5ED6097D"/>
    <w:rsid w:val="5F381638"/>
    <w:rsid w:val="61622C4A"/>
    <w:rsid w:val="619C4100"/>
    <w:rsid w:val="622B0FE0"/>
    <w:rsid w:val="62A768B8"/>
    <w:rsid w:val="65366619"/>
    <w:rsid w:val="66815672"/>
    <w:rsid w:val="66AB26EF"/>
    <w:rsid w:val="67FC1454"/>
    <w:rsid w:val="690B56C7"/>
    <w:rsid w:val="691B0000"/>
    <w:rsid w:val="6DA02882"/>
    <w:rsid w:val="6E112EC3"/>
    <w:rsid w:val="6EE43049"/>
    <w:rsid w:val="6FE72826"/>
    <w:rsid w:val="738F0E39"/>
    <w:rsid w:val="73C60B68"/>
    <w:rsid w:val="7541494A"/>
    <w:rsid w:val="75E841DD"/>
    <w:rsid w:val="780600CD"/>
    <w:rsid w:val="7ABE2599"/>
    <w:rsid w:val="7D1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Plain Text"/>
    <w:basedOn w:val="1"/>
    <w:next w:val="1"/>
    <w:qFormat/>
    <w:uiPriority w:val="0"/>
    <w:rPr>
      <w:rFonts w:ascii="宋体" w:hAnsi="Courier New"/>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kern w:val="0"/>
      <w:sz w:val="24"/>
    </w:rPr>
  </w:style>
  <w:style w:type="character" w:customStyle="1" w:styleId="9">
    <w:name w:val="页眉 Char"/>
    <w:basedOn w:val="8"/>
    <w:link w:val="5"/>
    <w:qFormat/>
    <w:uiPriority w:val="0"/>
    <w:rPr>
      <w:rFonts w:ascii="Times New Roman" w:hAnsi="Times New Roman" w:eastAsia="宋体" w:cs="Times New Roman"/>
      <w:kern w:val="2"/>
      <w:sz w:val="18"/>
      <w:szCs w:val="18"/>
    </w:rPr>
  </w:style>
  <w:style w:type="character" w:customStyle="1" w:styleId="10">
    <w:name w:val="页脚 Char"/>
    <w:basedOn w:val="8"/>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1710</Words>
  <Characters>1745</Characters>
  <Lines>18</Lines>
  <Paragraphs>5</Paragraphs>
  <TotalTime>19</TotalTime>
  <ScaleCrop>false</ScaleCrop>
  <LinksUpToDate>false</LinksUpToDate>
  <CharactersWithSpaces>1773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2024-01-02T10:18:00Z</dcterms:created>
  <dc:creator>Ren$hiro</dc:creator>
  <cp:lastModifiedBy>杨娜</cp:lastModifiedBy>
  <dcterms:modified xsi:type="dcterms:W3CDTF">2026-01-19T09:03:15Z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2CE85D57F1AF48EB93787A55E05929E0</vt:lpwstr>
  </property>
  <property fmtid="{D5CDD505-2E9C-101B-9397-08002B2CF9AE}" pid="4" name="KSOTemplateDocerSaveRecord">
    <vt:lpwstr>eyJoZGlkIjoiNWU5ZjlmNjRkNmZiMWNjYTFhYTA2ZDY1ZDlhYjZhMWEiLCJ1c2VySWQiOiIyMTczNDMxMzIifQ==</vt:lpwstr>
  </property>
</Properties>
</file>