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sz w:val="44"/>
          <w:szCs w:val="44"/>
          <w:highlight w:val="none"/>
        </w:rPr>
      </w:pPr>
    </w:p>
    <w:p>
      <w:pPr>
        <w:spacing w:line="560" w:lineRule="exact"/>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lang w:val="en-US" w:eastAsia="zh-CN"/>
        </w:rPr>
        <w:t>北京市丰台区卫生健康委员会</w:t>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w:t>
      </w:r>
    </w:p>
    <w:p>
      <w:pPr>
        <w:spacing w:line="560" w:lineRule="exact"/>
        <w:jc w:val="center"/>
        <w:rPr>
          <w:rFonts w:hint="eastAsia"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政府信息公开工作年度报告</w:t>
      </w:r>
    </w:p>
    <w:p>
      <w:pPr>
        <w:spacing w:line="560" w:lineRule="exact"/>
        <w:jc w:val="center"/>
        <w:rPr>
          <w:sz w:val="44"/>
          <w:szCs w:val="44"/>
        </w:rPr>
      </w:pPr>
      <w:r>
        <w:rPr>
          <w:rFonts w:hint="eastAsia" w:ascii="微软雅黑" w:hAnsi="微软雅黑" w:eastAsia="微软雅黑" w:cs="宋体"/>
          <w:color w:val="404040"/>
          <w:kern w:val="0"/>
          <w:sz w:val="24"/>
          <w:highlight w:val="none"/>
        </w:rPr>
        <w:t>　</w:t>
      </w:r>
      <w:r>
        <w:rPr>
          <w:rFonts w:hint="eastAsia" w:ascii="微软雅黑" w:hAnsi="微软雅黑" w:eastAsia="微软雅黑" w:cs="宋体"/>
          <w:color w:val="404040"/>
          <w:kern w:val="0"/>
          <w:sz w:val="32"/>
          <w:szCs w:val="32"/>
          <w:highlight w:val="none"/>
        </w:rPr>
        <w:t xml:space="preserve"> </w:t>
      </w:r>
      <w:r>
        <w:rPr>
          <w:rFonts w:ascii="微软雅黑" w:hAnsi="微软雅黑" w:eastAsia="微软雅黑" w:cs="宋体"/>
          <w:color w:val="404040"/>
          <w:kern w:val="0"/>
          <w:sz w:val="32"/>
          <w:szCs w:val="32"/>
          <w:highlight w:val="none"/>
        </w:rPr>
        <w:t xml:space="preserve"> </w:t>
      </w:r>
    </w:p>
    <w:p>
      <w:pPr>
        <w:widowControl/>
        <w:spacing w:line="560" w:lineRule="exact"/>
        <w:jc w:val="left"/>
        <w:rPr>
          <w:rFonts w:hint="eastAsia" w:ascii="仿宋_GB2312" w:hAnsi="宋体" w:eastAsia="仿宋_GB2312" w:cs="宋体"/>
          <w:spacing w:val="8"/>
          <w:kern w:val="0"/>
          <w:sz w:val="32"/>
          <w:szCs w:val="32"/>
        </w:rPr>
      </w:pPr>
      <w:r>
        <w:rPr>
          <w:rFonts w:hint="eastAsia" w:ascii="微软雅黑" w:hAnsi="微软雅黑" w:eastAsia="微软雅黑" w:cs="宋体"/>
          <w:color w:val="404040"/>
          <w:kern w:val="0"/>
          <w:sz w:val="24"/>
        </w:rPr>
        <w:t>　　</w:t>
      </w:r>
      <w:r>
        <w:rPr>
          <w:rFonts w:hint="eastAsia" w:ascii="微软雅黑" w:hAnsi="微软雅黑" w:eastAsia="微软雅黑" w:cs="宋体"/>
          <w:color w:val="404040"/>
          <w:kern w:val="0"/>
          <w:sz w:val="32"/>
          <w:szCs w:val="32"/>
        </w:rPr>
        <w:t xml:space="preserve"> </w:t>
      </w:r>
      <w:r>
        <w:rPr>
          <w:rFonts w:ascii="微软雅黑" w:hAnsi="微软雅黑" w:eastAsia="微软雅黑" w:cs="宋体"/>
          <w:color w:val="404040"/>
          <w:kern w:val="0"/>
          <w:sz w:val="32"/>
          <w:szCs w:val="32"/>
        </w:rPr>
        <w:t xml:space="preserve">  </w:t>
      </w:r>
      <w:r>
        <w:rPr>
          <w:rFonts w:hint="eastAsia" w:ascii="仿宋_GB2312" w:hAnsi="宋体" w:eastAsia="仿宋_GB2312" w:cs="宋体"/>
          <w:spacing w:val="8"/>
          <w:kern w:val="0"/>
          <w:sz w:val="32"/>
          <w:szCs w:val="32"/>
        </w:rPr>
        <w:t>依据《中华人民共和国政府信息公开条例》(以下简称《政府信息公开条例》)第五十条规定，编制本报告。</w:t>
      </w:r>
    </w:p>
    <w:p>
      <w:pPr>
        <w:widowControl/>
        <w:spacing w:line="560" w:lineRule="exact"/>
        <w:ind w:firstLine="672" w:firstLineChars="200"/>
        <w:jc w:val="left"/>
        <w:rPr>
          <w:rFonts w:ascii="黑体" w:hAnsi="黑体" w:eastAsia="黑体" w:cs="宋体"/>
          <w:spacing w:val="8"/>
          <w:kern w:val="0"/>
          <w:sz w:val="32"/>
          <w:szCs w:val="32"/>
        </w:rPr>
      </w:pPr>
      <w:r>
        <w:rPr>
          <w:rFonts w:ascii="黑体" w:hAnsi="黑体" w:eastAsia="黑体" w:cs="宋体"/>
          <w:spacing w:val="8"/>
          <w:kern w:val="0"/>
          <w:sz w:val="32"/>
          <w:szCs w:val="32"/>
        </w:rPr>
        <w:t>一、总体情况</w:t>
      </w:r>
    </w:p>
    <w:p>
      <w:pPr>
        <w:ind w:firstLine="640"/>
        <w:rPr>
          <w:rFonts w:hint="eastAsia" w:ascii="楷体" w:hAnsi="楷体" w:eastAsia="楷体" w:cs="楷体"/>
          <w:sz w:val="32"/>
          <w:szCs w:val="32"/>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聚焦组织领导</w:t>
      </w:r>
      <w:r>
        <w:rPr>
          <w:rFonts w:hint="eastAsia" w:ascii="楷体" w:hAnsi="楷体" w:eastAsia="楷体" w:cs="楷体"/>
          <w:sz w:val="32"/>
          <w:szCs w:val="32"/>
        </w:rPr>
        <w:t>，</w:t>
      </w:r>
      <w:r>
        <w:rPr>
          <w:rFonts w:hint="eastAsia" w:ascii="楷体" w:hAnsi="楷体" w:eastAsia="楷体" w:cs="楷体"/>
          <w:sz w:val="32"/>
          <w:szCs w:val="32"/>
          <w:lang w:val="en-US" w:eastAsia="zh-CN"/>
        </w:rPr>
        <w:t>不断</w:t>
      </w:r>
      <w:r>
        <w:rPr>
          <w:rFonts w:hint="eastAsia" w:ascii="楷体" w:hAnsi="楷体" w:eastAsia="楷体" w:cs="楷体"/>
          <w:sz w:val="32"/>
          <w:szCs w:val="32"/>
        </w:rPr>
        <w:t>优化信息公开</w:t>
      </w:r>
      <w:r>
        <w:rPr>
          <w:rFonts w:hint="eastAsia" w:ascii="楷体" w:hAnsi="楷体" w:eastAsia="楷体" w:cs="楷体"/>
          <w:sz w:val="32"/>
          <w:szCs w:val="32"/>
          <w:lang w:val="en-US" w:eastAsia="zh-CN"/>
        </w:rPr>
        <w:t>工作</w:t>
      </w:r>
      <w:r>
        <w:rPr>
          <w:rFonts w:hint="eastAsia" w:ascii="楷体" w:hAnsi="楷体" w:eastAsia="楷体" w:cs="楷体"/>
          <w:sz w:val="32"/>
          <w:szCs w:val="32"/>
        </w:rPr>
        <w:t>体系。</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形成了主要领导亲自抓、分管领导具体抓、各业务部门协同抓的工作格局。严格</w:t>
      </w:r>
      <w:r>
        <w:rPr>
          <w:rFonts w:hint="eastAsia" w:ascii="仿宋_GB2312" w:hAnsi="仿宋_GB2312" w:eastAsia="仿宋_GB2312" w:cs="仿宋_GB2312"/>
          <w:sz w:val="32"/>
          <w:szCs w:val="32"/>
          <w:lang w:val="en-US" w:eastAsia="zh-CN"/>
        </w:rPr>
        <w:t>按照《政府信息公开条例》及《国务院办公厅关于做好政府信息依申请公开工作的意见》等法律、法规要求，</w:t>
      </w:r>
      <w:r>
        <w:rPr>
          <w:rFonts w:hint="eastAsia" w:ascii="仿宋_GB2312" w:hAnsi="仿宋_GB2312" w:eastAsia="仿宋_GB2312" w:cs="仿宋_GB2312"/>
          <w:sz w:val="32"/>
          <w:szCs w:val="32"/>
        </w:rPr>
        <w:t>强化程序审查</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优化公开流程</w:t>
      </w:r>
      <w:r>
        <w:rPr>
          <w:rFonts w:hint="eastAsia" w:ascii="仿宋_GB2312" w:hAnsi="仿宋_GB2312" w:eastAsia="仿宋_GB2312" w:cs="仿宋_GB2312"/>
          <w:sz w:val="32"/>
          <w:szCs w:val="32"/>
        </w:rPr>
        <w:t>。始终将政府信息公开作为依法行政的关键制度，及时</w:t>
      </w:r>
      <w:r>
        <w:rPr>
          <w:rFonts w:hint="eastAsia" w:ascii="仿宋_GB2312" w:hAnsi="仿宋_GB2312" w:eastAsia="仿宋_GB2312" w:cs="仿宋_GB2312"/>
          <w:sz w:val="32"/>
          <w:szCs w:val="32"/>
          <w:lang w:val="en-US" w:eastAsia="zh-CN"/>
        </w:rPr>
        <w:t>公开医疗</w:t>
      </w:r>
      <w:r>
        <w:rPr>
          <w:rFonts w:hint="eastAsia" w:ascii="仿宋_GB2312" w:hAnsi="仿宋_GB2312" w:eastAsia="仿宋_GB2312" w:cs="仿宋_GB2312"/>
          <w:sz w:val="32"/>
          <w:szCs w:val="32"/>
        </w:rPr>
        <w:t>科技领域重点工作、相关政策及其解读内容，为</w:t>
      </w:r>
      <w:r>
        <w:rPr>
          <w:rFonts w:hint="eastAsia" w:ascii="仿宋_GB2312" w:hAnsi="仿宋_GB2312" w:eastAsia="仿宋_GB2312" w:cs="仿宋_GB2312"/>
          <w:sz w:val="32"/>
          <w:szCs w:val="32"/>
          <w:lang w:val="en-US" w:eastAsia="zh-CN"/>
        </w:rPr>
        <w:t>丰台区全体市民及各级各类医疗机构</w:t>
      </w:r>
      <w:r>
        <w:rPr>
          <w:rFonts w:hint="eastAsia" w:ascii="仿宋_GB2312" w:hAnsi="仿宋_GB2312" w:eastAsia="仿宋_GB2312" w:cs="仿宋_GB2312"/>
          <w:sz w:val="32"/>
          <w:szCs w:val="32"/>
        </w:rPr>
        <w:t>提供优质的信息服务。</w:t>
      </w:r>
    </w:p>
    <w:p>
      <w:pPr>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楷体" w:hAnsi="楷体" w:eastAsia="楷体" w:cs="楷体"/>
          <w:sz w:val="32"/>
          <w:szCs w:val="32"/>
          <w:lang w:val="en-US" w:eastAsia="zh-CN"/>
        </w:rPr>
        <w:t>（二）聚焦重点工作</w:t>
      </w:r>
      <w:r>
        <w:rPr>
          <w:rFonts w:hint="eastAsia" w:ascii="楷体" w:hAnsi="楷体" w:eastAsia="楷体" w:cs="楷体"/>
          <w:sz w:val="32"/>
          <w:szCs w:val="32"/>
        </w:rPr>
        <w:t>，</w:t>
      </w:r>
      <w:r>
        <w:rPr>
          <w:rFonts w:hint="eastAsia" w:ascii="楷体" w:hAnsi="楷体" w:eastAsia="楷体" w:cs="楷体"/>
          <w:sz w:val="32"/>
          <w:szCs w:val="32"/>
          <w:lang w:val="en-US" w:eastAsia="zh-CN"/>
        </w:rPr>
        <w:t>持续拓展政府信息公开深度广度</w:t>
      </w:r>
      <w:r>
        <w:rPr>
          <w:rFonts w:hint="eastAsia" w:ascii="楷体" w:hAnsi="楷体" w:eastAsia="楷体" w:cs="楷体"/>
          <w:sz w:val="32"/>
          <w:szCs w:val="32"/>
        </w:rPr>
        <w:t>。</w:t>
      </w:r>
    </w:p>
    <w:p>
      <w:p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加大重点领域信息公开力度。全面梳理更新《丰台区卫生健康委政府信息主动公开清单》，做到职责范围、政策依据与时俱进，及时下架废止内容，完善政策依据。2024年丰台区卫生健康委坚持以公开为常态、不公开为例外的原则，围绕政策解读、公共卫生、医疗机构变更、人事考试、行政许可、行政处罚信息等重点领域及时主动向社会公开公布。</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规范依申请公开工作流程。抓好依申请公开登记、办理、答复工作，健全完善互联网、信函、电话、现场等多种受理渠道。针对申请信息描述不准确或信息不存在的情况，靠前一步、主动服务，积极与申请人联系沟通，明确申请信息的具体内容，认真做好解释说明。通过细化引导、优化流程、强化分析等措施，有效提升答复质量和服务水平。</w:t>
      </w:r>
    </w:p>
    <w:p>
      <w:pPr>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坚持加强学习，提高信息公开水平。认真学习公文审核的政治关、政策关、法律关、文字关、内容关、格式关的总体标准，确保合理、合规，切实将公文审核标准运用到信息公开审核中，保障公开内容的准确性，有效提高政府信息质量。</w:t>
      </w:r>
    </w:p>
    <w:p>
      <w:pPr>
        <w:numPr>
          <w:ilvl w:val="0"/>
          <w:numId w:val="1"/>
        </w:numPr>
        <w:ind w:firstLine="640"/>
        <w:rPr>
          <w:rFonts w:hint="eastAsia" w:ascii="楷体" w:hAnsi="楷体" w:eastAsia="楷体" w:cs="楷体"/>
          <w:sz w:val="32"/>
          <w:szCs w:val="32"/>
        </w:rPr>
      </w:pPr>
      <w:r>
        <w:rPr>
          <w:rFonts w:hint="eastAsia" w:ascii="楷体" w:hAnsi="楷体" w:eastAsia="楷体" w:cs="楷体"/>
          <w:sz w:val="32"/>
          <w:szCs w:val="32"/>
          <w:lang w:val="en-US" w:eastAsia="zh-CN"/>
        </w:rPr>
        <w:t>聚焦平台建设</w:t>
      </w:r>
      <w:r>
        <w:rPr>
          <w:rFonts w:hint="eastAsia" w:ascii="楷体" w:hAnsi="楷体" w:eastAsia="楷体" w:cs="楷体"/>
          <w:sz w:val="32"/>
          <w:szCs w:val="32"/>
        </w:rPr>
        <w:t>，</w:t>
      </w:r>
      <w:r>
        <w:rPr>
          <w:rFonts w:hint="eastAsia" w:ascii="楷体" w:hAnsi="楷体" w:eastAsia="楷体" w:cs="楷体"/>
          <w:sz w:val="32"/>
          <w:szCs w:val="32"/>
          <w:lang w:val="en-US" w:eastAsia="zh-CN"/>
        </w:rPr>
        <w:t>畅通政府信息公开渠道</w:t>
      </w:r>
      <w:r>
        <w:rPr>
          <w:rFonts w:hint="eastAsia" w:ascii="楷体" w:hAnsi="楷体" w:eastAsia="楷体" w:cs="楷体"/>
          <w:sz w:val="32"/>
          <w:szCs w:val="32"/>
        </w:rPr>
        <w:t>。</w:t>
      </w:r>
    </w:p>
    <w:p>
      <w:pPr>
        <w:ind w:firstLine="640" w:firstLineChars="200"/>
        <w:rPr>
          <w:rFonts w:hint="eastAsia"/>
        </w:rPr>
      </w:pPr>
      <w:r>
        <w:rPr>
          <w:rFonts w:hint="eastAsia" w:ascii="仿宋_GB2312" w:hAnsi="仿宋_GB2312" w:eastAsia="仿宋_GB2312" w:cs="仿宋_GB2312"/>
          <w:sz w:val="32"/>
          <w:szCs w:val="32"/>
          <w:lang w:val="en-US" w:eastAsia="zh-CN"/>
        </w:rPr>
        <w:t>发挥政府门户网站政务公开第一平台作用，充分挖掘其便企利民、回应关切、宣传推介功能，切实履行对政府网站的监督保障职责，定期检查发布内容，按照区政务服务局工作要求，保持部门发布内容及时动态更新。推进信息平台融合建设。本年度通过丰台区人民政府网站上主动公开各类部门工作动态信息154条。围绕健康丰台、机构设置、便捷就医等内容，发挥微信、微博等新媒体积极作用，构建多维融合格局。</w:t>
      </w:r>
    </w:p>
    <w:p>
      <w:pPr>
        <w:numPr>
          <w:ilvl w:val="0"/>
          <w:numId w:val="2"/>
        </w:numPr>
        <w:spacing w:line="560" w:lineRule="exact"/>
        <w:ind w:left="-10" w:firstLine="640" w:firstLineChars="0"/>
        <w:rPr>
          <w:rFonts w:hint="eastAsia" w:ascii="黑体" w:hAnsi="黑体" w:eastAsia="黑体" w:cs="黑体"/>
          <w:sz w:val="32"/>
          <w:szCs w:val="32"/>
        </w:rPr>
      </w:pPr>
      <w:r>
        <w:rPr>
          <w:rFonts w:hint="eastAsia" w:ascii="黑体" w:hAnsi="黑体" w:eastAsia="黑体" w:cs="黑体"/>
          <w:sz w:val="32"/>
          <w:szCs w:val="32"/>
        </w:rPr>
        <w:t>主动公开政府信息情况</w:t>
      </w:r>
    </w:p>
    <w:p>
      <w:pPr>
        <w:pStyle w:val="2"/>
        <w:rPr>
          <w:rFonts w:hint="eastAsia"/>
        </w:rPr>
      </w:pPr>
    </w:p>
    <w:p>
      <w:pPr>
        <w:pStyle w:val="2"/>
        <w:numPr>
          <w:ilvl w:val="0"/>
          <w:numId w:val="0"/>
        </w:numPr>
        <w:rPr>
          <w:rFonts w:hint="eastAsia"/>
        </w:rPr>
      </w:pPr>
    </w:p>
    <w:tbl>
      <w:tblPr>
        <w:tblStyle w:val="4"/>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本年制发件数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ascii="Calibri" w:hAnsi="Calibri" w:cs="Calibri"/>
                <w:kern w:val="0"/>
                <w:sz w:val="21"/>
                <w:szCs w:val="21"/>
                <w:lang w:val="en-US" w:eastAsia="zh-CN" w:bidi="ar"/>
              </w:rPr>
              <w:t> </w:t>
            </w: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default" w:ascii="Calibri" w:hAnsi="Calibri" w:cs="Calibri"/>
                <w:kern w:val="0"/>
                <w:sz w:val="21"/>
                <w:szCs w:val="21"/>
                <w:lang w:val="en-US" w:eastAsia="zh-CN" w:bidi="ar"/>
              </w:rPr>
              <w:t> </w:t>
            </w:r>
            <w:r>
              <w:rPr>
                <w:rFonts w:hint="eastAsia" w:ascii="Calibri" w:hAnsi="Calibri" w:cs="Calibri"/>
                <w:kern w:val="0"/>
                <w:sz w:val="21"/>
                <w:szCs w:val="21"/>
                <w:lang w:val="en-US" w:eastAsia="zh-CN" w:bidi="ar"/>
              </w:rPr>
              <w:t>4727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left w:w="57"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bl>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pStyle w:val="2"/>
        <w:numPr>
          <w:ilvl w:val="0"/>
          <w:numId w:val="0"/>
        </w:numPr>
        <w:rPr>
          <w:rFonts w:hint="eastAsia"/>
        </w:rPr>
      </w:pPr>
    </w:p>
    <w:p>
      <w:pPr>
        <w:numPr>
          <w:ilvl w:val="0"/>
          <w:numId w:val="2"/>
        </w:numPr>
        <w:spacing w:line="560" w:lineRule="exact"/>
        <w:ind w:left="-10" w:leftChars="0" w:firstLine="640" w:firstLineChars="0"/>
        <w:rPr>
          <w:rFonts w:hint="eastAsia" w:ascii="黑体" w:hAnsi="黑体" w:eastAsia="黑体" w:cs="黑体"/>
          <w:sz w:val="32"/>
          <w:szCs w:val="32"/>
        </w:rPr>
      </w:pPr>
      <w:r>
        <w:rPr>
          <w:rFonts w:hint="eastAsia" w:ascii="黑体" w:hAnsi="黑体" w:eastAsia="黑体" w:cs="黑体"/>
          <w:sz w:val="32"/>
          <w:szCs w:val="32"/>
        </w:rPr>
        <w:t>收到和处理政府信息公开申请情况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68"/>
        <w:gridCol w:w="943"/>
        <w:gridCol w:w="3220"/>
        <w:gridCol w:w="688"/>
        <w:gridCol w:w="688"/>
        <w:gridCol w:w="688"/>
        <w:gridCol w:w="688"/>
        <w:gridCol w:w="688"/>
        <w:gridCol w:w="688"/>
        <w:gridCol w:w="689"/>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restart"/>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17" w:type="dxa"/>
            <w:gridSpan w:val="7"/>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restart"/>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40" w:type="dxa"/>
            <w:gridSpan w:val="5"/>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89" w:type="dxa"/>
            <w:vMerge w:val="restart"/>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vMerge w:val="continue"/>
            <w:tcBorders>
              <w:top w:val="single" w:color="auto" w:sz="8" w:space="0"/>
              <w:left w:val="single" w:color="auto" w:sz="8" w:space="0"/>
              <w:bottom w:val="outset" w:color="auto" w:sz="8" w:space="0"/>
              <w:right w:val="single" w:color="auto" w:sz="8" w:space="0"/>
            </w:tcBorders>
            <w:shd w:val="clear" w:color="auto" w:fill="9BC2E6"/>
            <w:noWrap w:val="0"/>
            <w:tcMar>
              <w:left w:w="108" w:type="dxa"/>
              <w:right w:w="108" w:type="dxa"/>
            </w:tcMar>
            <w:vAlign w:val="center"/>
          </w:tcPr>
          <w:p>
            <w:pPr>
              <w:rPr>
                <w:rFonts w:hint="eastAsia" w:ascii="宋体"/>
                <w:sz w:val="24"/>
                <w:szCs w:val="24"/>
              </w:rPr>
            </w:pPr>
          </w:p>
        </w:tc>
        <w:tc>
          <w:tcPr>
            <w:tcW w:w="688" w:type="dxa"/>
            <w:vMerge w:val="continue"/>
            <w:tcBorders>
              <w:top w:val="nil"/>
              <w:left w:val="nil"/>
              <w:bottom w:val="single"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88" w:type="dxa"/>
            <w:tcBorders>
              <w:top w:val="nil"/>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88" w:type="dxa"/>
            <w:tcBorders>
              <w:top w:val="single" w:color="auto" w:sz="8" w:space="0"/>
              <w:left w:val="nil"/>
              <w:bottom w:val="single" w:color="auto" w:sz="8" w:space="0"/>
              <w:right w:val="single" w:color="auto" w:sz="8" w:space="0"/>
            </w:tcBorders>
            <w:shd w:val="clear" w:color="auto" w:fill="9BC2E6"/>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89" w:type="dxa"/>
            <w:vMerge w:val="continue"/>
            <w:tcBorders>
              <w:top w:val="single" w:color="auto" w:sz="8" w:space="0"/>
              <w:left w:val="nil"/>
              <w:bottom w:val="outset" w:color="auto" w:sz="8" w:space="0"/>
              <w:right w:val="single" w:color="auto" w:sz="8" w:space="0"/>
            </w:tcBorders>
            <w:shd w:val="clear" w:color="auto" w:fill="9BC2E6"/>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ascii="Calibri" w:hAnsi="Calibri" w:cs="Calibri"/>
                <w:kern w:val="0"/>
                <w:sz w:val="20"/>
                <w:szCs w:val="20"/>
                <w:lang w:val="en-US" w:eastAsia="zh-CN" w:bidi="ar"/>
              </w:rPr>
              <w:t> </w:t>
            </w:r>
            <w:r>
              <w:rPr>
                <w:rFonts w:hint="eastAsia" w:ascii="Calibri" w:hAnsi="Calibri" w:cs="Calibri"/>
                <w:kern w:val="0"/>
                <w:sz w:val="20"/>
                <w:szCs w:val="20"/>
                <w:lang w:val="en-US" w:eastAsia="zh-CN" w:bidi="ar"/>
              </w:rPr>
              <w:t>16</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17</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w:t>
            </w:r>
            <w:r>
              <w:rPr>
                <w:rFonts w:hint="default" w:ascii="Calibri" w:hAnsi="Calibri" w:cs="Calibri"/>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restart"/>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eastAsia="宋体" w:cs="Times New Roman"/>
                <w:kern w:val="2"/>
                <w:sz w:val="21"/>
                <w:szCs w:val="22"/>
                <w:lang w:val="en-US" w:eastAsia="zh-CN" w:bidi="ar-SA"/>
              </w:rPr>
            </w:pPr>
            <w:r>
              <w:rPr>
                <w:rFonts w:hint="eastAsia"/>
                <w:lang w:val="en-US" w:eastAsia="zh-CN"/>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eastAsia="宋体" w:cs="Times New Roman"/>
                <w:kern w:val="2"/>
                <w:sz w:val="21"/>
                <w:szCs w:val="22"/>
                <w:lang w:val="en-US" w:eastAsia="zh-CN" w:bidi="ar-SA"/>
              </w:rPr>
            </w:pPr>
            <w:r>
              <w:rPr>
                <w:rFonts w:hint="eastAsia" w:cs="Times New Roman"/>
                <w:kern w:val="2"/>
                <w:sz w:val="21"/>
                <w:szCs w:val="22"/>
                <w:lang w:val="en-US" w:eastAsia="zh-CN" w:bidi="ar-SA"/>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jc w:val="center"/>
              <w:rPr>
                <w:rFonts w:hint="default" w:ascii="Times New Roman" w:hAnsi="Times New Roman" w:eastAsia="宋体" w:cs="Times New Roman"/>
                <w:kern w:val="2"/>
                <w:sz w:val="21"/>
                <w:szCs w:val="22"/>
                <w:lang w:val="en-US" w:eastAsia="zh-CN" w:bidi="ar-SA"/>
              </w:rPr>
            </w:pPr>
            <w:r>
              <w:rPr>
                <w:rFonts w:hint="eastAsia"/>
                <w:lang w:val="en-US" w:eastAsia="zh-CN"/>
              </w:rPr>
              <w:t>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default" w:ascii="楷体" w:hAnsi="楷体" w:eastAsia="楷体" w:cs="楷体"/>
                <w:kern w:val="0"/>
                <w:sz w:val="20"/>
                <w:szCs w:val="20"/>
                <w:lang w:val="en-US" w:eastAsia="zh-CN" w:bidi="ar"/>
              </w:rPr>
              <w:t>（区分处理的，只计这一情形，不计其他情形）</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5</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0</w:t>
            </w:r>
            <w:r>
              <w:rPr>
                <w:rFonts w:hint="default" w:ascii="Calibri" w:hAnsi="Calibri" w:cs="Calibri"/>
                <w:kern w:val="0"/>
                <w:sz w:val="20"/>
                <w:szCs w:val="20"/>
                <w:lang w:val="en-US" w:eastAsia="zh-CN" w:bidi="ar"/>
              </w:rPr>
              <w:t> </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eastAsia" w:ascii="Calibri" w:hAnsi="Calibri" w:cs="Calibri"/>
                <w:kern w:val="0"/>
                <w:sz w:val="20"/>
                <w:szCs w:val="20"/>
                <w:lang w:val="en-US" w:eastAsia="zh-CN" w:bidi="ar"/>
              </w:rPr>
              <w:t>5</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single" w:color="auto" w:sz="8" w:space="0"/>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bookmarkStart w:id="1" w:name="_GoBack"/>
            <w:bookmarkEnd w:id="1"/>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Times New Roman" w:hAnsi="Times New Roman" w:cs="Times New Roman" w:eastAsiaTheme="minorEastAsia"/>
                <w:kern w:val="2"/>
                <w:sz w:val="21"/>
                <w:szCs w:val="22"/>
                <w:lang w:val="en-US" w:eastAsia="zh-CN" w:bidi="ar-SA"/>
              </w:rPr>
            </w:pPr>
            <w:r>
              <w:rPr>
                <w:rFonts w:hint="eastAsia" w:cs="Calibri"/>
                <w:kern w:val="0"/>
                <w:sz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Times New Roman" w:hAnsi="Times New Roman" w:cs="Times New Roman" w:eastAsiaTheme="minorEastAsia"/>
                <w:kern w:val="2"/>
                <w:sz w:val="21"/>
                <w:szCs w:val="22"/>
                <w:lang w:val="en-US" w:eastAsia="zh-CN" w:bidi="ar-SA"/>
              </w:rPr>
            </w:pPr>
            <w:r>
              <w:rPr>
                <w:rFonts w:hint="eastAsia" w:cs="Calibri"/>
                <w:kern w:val="0"/>
                <w:sz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Times New Roman" w:hAnsi="Times New Roman" w:cs="Times New Roman" w:eastAsiaTheme="minorEastAsia"/>
                <w:kern w:val="2"/>
                <w:sz w:val="21"/>
                <w:szCs w:val="22"/>
                <w:lang w:val="en-US" w:eastAsia="zh-CN" w:bidi="ar-SA"/>
              </w:rPr>
            </w:pPr>
            <w:r>
              <w:rPr>
                <w:rFonts w:hint="eastAsia" w:cs="Calibri"/>
                <w:kern w:val="0"/>
                <w:sz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Times New Roman" w:hAnsi="Times New Roman" w:cs="Times New Roman" w:eastAsiaTheme="minorEastAsia"/>
                <w:kern w:val="2"/>
                <w:sz w:val="21"/>
                <w:szCs w:val="22"/>
                <w:lang w:val="en-US" w:eastAsia="zh-CN" w:bidi="ar-SA"/>
              </w:rPr>
            </w:pPr>
            <w:r>
              <w:rPr>
                <w:rFonts w:hint="eastAsia" w:cs="Calibri"/>
                <w:kern w:val="0"/>
                <w:sz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Times New Roman" w:hAnsi="Times New Roman" w:eastAsia="宋体" w:cs="Times New Roman"/>
                <w:kern w:val="2"/>
                <w:sz w:val="21"/>
                <w:szCs w:val="22"/>
                <w:lang w:val="en-US" w:eastAsia="zh-CN" w:bidi="ar-SA"/>
              </w:rPr>
            </w:pPr>
            <w:r>
              <w:rPr>
                <w:rFonts w:hint="eastAsia"/>
                <w:lang w:val="en-US" w:eastAsia="zh-CN"/>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Times New Roman" w:hAnsi="Times New Roman" w:eastAsia="宋体" w:cs="Times New Roman"/>
                <w:kern w:val="2"/>
                <w:sz w:val="21"/>
                <w:szCs w:val="22"/>
                <w:lang w:val="en-US" w:eastAsia="zh-CN" w:bidi="ar-SA"/>
              </w:rPr>
            </w:pPr>
            <w:r>
              <w:rPr>
                <w:rFonts w:hint="eastAsia"/>
                <w:lang w:val="en-US" w:eastAsia="zh-CN"/>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Times New Roman" w:hAnsi="Times New Roman" w:cs="Times New Roman" w:eastAsiaTheme="minorEastAsia"/>
                <w:kern w:val="2"/>
                <w:sz w:val="21"/>
                <w:szCs w:val="22"/>
                <w:lang w:val="en-US" w:eastAsia="zh-CN" w:bidi="ar-SA"/>
              </w:rPr>
            </w:pPr>
            <w:r>
              <w:rPr>
                <w:rFonts w:hint="eastAsia" w:cs="Calibri"/>
                <w:kern w:val="0"/>
                <w:sz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Times New Roman" w:hAnsi="Times New Roman" w:cs="Times New Roman" w:eastAsiaTheme="minorEastAsia"/>
                <w:kern w:val="2"/>
                <w:sz w:val="21"/>
                <w:szCs w:val="22"/>
                <w:lang w:val="en-US" w:eastAsia="zh-CN" w:bidi="ar-SA"/>
              </w:rPr>
            </w:pPr>
            <w:r>
              <w:rPr>
                <w:rFonts w:hint="eastAsia" w:cs="Calibri"/>
                <w:kern w:val="0"/>
                <w:sz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9" w:hRule="atLeast"/>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nil"/>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outset"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outset"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restart"/>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943" w:type="dxa"/>
            <w:vMerge w:val="continue"/>
            <w:tcBorders>
              <w:top w:val="outset" w:color="auto" w:sz="8" w:space="0"/>
              <w:left w:val="nil"/>
              <w:bottom w:val="outset" w:color="auto" w:sz="8" w:space="0"/>
              <w:right w:val="single" w:color="auto" w:sz="8" w:space="0"/>
            </w:tcBorders>
            <w:shd w:val="clear" w:color="auto" w:fill="DDEBF7"/>
            <w:noWrap w:val="0"/>
            <w:tcMar>
              <w:left w:w="57" w:type="dxa"/>
              <w:right w:w="57" w:type="dxa"/>
            </w:tcMar>
            <w:vAlign w:val="center"/>
          </w:tcPr>
          <w:p>
            <w:pPr>
              <w:rPr>
                <w:rFonts w:hint="eastAsia" w:ascii="宋体"/>
                <w:sz w:val="24"/>
                <w:szCs w:val="24"/>
              </w:rPr>
            </w:pPr>
          </w:p>
        </w:tc>
        <w:tc>
          <w:tcPr>
            <w:tcW w:w="3220" w:type="dxa"/>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Times New Roman" w:hAnsi="Times New Roman" w:eastAsia="宋体" w:cs="Times New Roman"/>
                <w:kern w:val="2"/>
                <w:sz w:val="21"/>
                <w:szCs w:val="22"/>
                <w:lang w:val="en-US" w:eastAsia="zh-CN" w:bidi="ar-SA"/>
              </w:rPr>
            </w:pPr>
            <w:r>
              <w:rPr>
                <w:rFonts w:hint="eastAsia" w:cs="Calibri"/>
                <w:kern w:val="0"/>
                <w:sz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jc w:val="center"/>
              <w:rPr>
                <w:rFonts w:ascii="Times New Roman" w:hAnsi="Times New Roman" w:eastAsia="宋体" w:cs="Times New Roman"/>
                <w:kern w:val="2"/>
                <w:sz w:val="21"/>
                <w:szCs w:val="22"/>
                <w:lang w:val="en-US" w:eastAsia="zh-CN" w:bidi="ar-SA"/>
              </w:rPr>
            </w:pPr>
            <w:r>
              <w:rPr>
                <w:rFonts w:hint="eastAsia" w:cs="Calibri"/>
                <w:kern w:val="0"/>
                <w:sz w:val="20"/>
                <w:lang w:bidi="ar"/>
              </w:rPr>
              <w:t>0</w:t>
            </w:r>
          </w:p>
        </w:tc>
        <w:tc>
          <w:tcPr>
            <w:tcW w:w="689" w:type="dxa"/>
            <w:tcBorders>
              <w:top w:val="nil"/>
              <w:left w:val="nil"/>
              <w:bottom w:val="single" w:color="auto" w:sz="8" w:space="0"/>
              <w:right w:val="single" w:color="auto" w:sz="8" w:space="0"/>
            </w:tcBorders>
            <w:noWrap w:val="0"/>
            <w:tcMar>
              <w:left w:w="57" w:type="dxa"/>
              <w:right w:w="57" w:type="dxa"/>
            </w:tcMar>
            <w:vAlign w:val="center"/>
          </w:tcPr>
          <w:p>
            <w:pPr>
              <w:jc w:val="center"/>
              <w:rPr>
                <w:rFonts w:hint="eastAsia" w:ascii="Times New Roman" w:hAnsi="Times New Roman" w:eastAsia="宋体" w:cs="Times New Roman"/>
                <w:kern w:val="2"/>
                <w:sz w:val="21"/>
                <w:szCs w:val="22"/>
                <w:lang w:val="en-US" w:eastAsia="zh-CN" w:bidi="ar-SA"/>
              </w:rPr>
            </w:pPr>
            <w:r>
              <w:rPr>
                <w:rFonts w:hint="eastAsia" w:cs="Calibri"/>
                <w:kern w:val="0"/>
                <w:sz w:val="20"/>
                <w:lang w:val="en-US" w:eastAsia="zh-CN" w:bidi="ar"/>
              </w:rPr>
              <w:t>1</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768" w:type="dxa"/>
            <w:vMerge w:val="continue"/>
            <w:tcBorders>
              <w:top w:val="nil"/>
              <w:left w:val="single" w:color="auto" w:sz="8" w:space="0"/>
              <w:bottom w:val="outset" w:color="auto" w:sz="8" w:space="0"/>
              <w:right w:val="single" w:color="auto" w:sz="8" w:space="0"/>
            </w:tcBorders>
            <w:shd w:val="clear" w:color="auto" w:fill="BDD7EE"/>
            <w:noWrap w:val="0"/>
            <w:tcMar>
              <w:left w:w="57" w:type="dxa"/>
              <w:right w:w="57" w:type="dxa"/>
            </w:tcMar>
            <w:vAlign w:val="center"/>
          </w:tcPr>
          <w:p>
            <w:pPr>
              <w:rPr>
                <w:rFonts w:hint="eastAsia" w:ascii="宋体"/>
                <w:sz w:val="24"/>
                <w:szCs w:val="24"/>
              </w:rPr>
            </w:pPr>
          </w:p>
        </w:tc>
        <w:tc>
          <w:tcPr>
            <w:tcW w:w="4163" w:type="dxa"/>
            <w:gridSpan w:val="2"/>
            <w:tcBorders>
              <w:top w:val="nil"/>
              <w:left w:val="nil"/>
              <w:bottom w:val="single" w:color="auto" w:sz="8" w:space="0"/>
              <w:right w:val="single" w:color="auto" w:sz="8" w:space="0"/>
            </w:tcBorders>
            <w:shd w:val="clear" w:color="auto" w:fill="DDEBF7"/>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0"/>
                <w:szCs w:val="20"/>
                <w:lang w:val="en-US" w:eastAsia="zh-CN" w:bidi="ar"/>
              </w:rPr>
              <w:t>15</w:t>
            </w:r>
            <w:r>
              <w:rPr>
                <w:rFonts w:hint="default" w:ascii="Calibri" w:hAnsi="Calibri" w:cs="Calibri"/>
                <w:kern w:val="0"/>
                <w:sz w:val="20"/>
                <w:szCs w:val="20"/>
                <w:lang w:val="en-US" w:eastAsia="zh-CN" w:bidi="ar"/>
              </w:rPr>
              <w:t> </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0</w:t>
            </w:r>
          </w:p>
        </w:tc>
        <w:tc>
          <w:tcPr>
            <w:tcW w:w="689"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lang w:val="en-US"/>
              </w:rPr>
            </w:pPr>
            <w:r>
              <w:rPr>
                <w:rFonts w:hint="default" w:ascii="Calibri" w:hAnsi="Calibri" w:cs="Calibri"/>
                <w:kern w:val="0"/>
                <w:sz w:val="20"/>
                <w:szCs w:val="20"/>
                <w:lang w:val="en-US" w:eastAsia="zh-CN" w:bidi="ar"/>
              </w:rPr>
              <w:t> </w:t>
            </w:r>
            <w:r>
              <w:rPr>
                <w:rFonts w:hint="eastAsia" w:ascii="Calibri" w:hAnsi="Calibri" w:cs="Calibri"/>
                <w:kern w:val="0"/>
                <w:sz w:val="20"/>
                <w:szCs w:val="20"/>
                <w:lang w:val="en-US" w:eastAsia="zh-CN" w:bidi="ar"/>
              </w:rPr>
              <w:t>16</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4931" w:type="dxa"/>
            <w:gridSpan w:val="3"/>
            <w:tcBorders>
              <w:top w:val="nil"/>
              <w:left w:val="single" w:color="auto" w:sz="8" w:space="0"/>
              <w:bottom w:val="single" w:color="auto" w:sz="8" w:space="0"/>
              <w:right w:val="single" w:color="auto" w:sz="8" w:space="0"/>
            </w:tcBorders>
            <w:shd w:val="clear" w:color="auto" w:fill="BDD7EE"/>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2</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c>
          <w:tcPr>
            <w:tcW w:w="0" w:type="auto"/>
            <w:tcBorders>
              <w:top w:val="outset" w:color="auto" w:sz="6" w:space="0"/>
              <w:left w:val="nil"/>
              <w:bottom w:val="outset" w:color="auto" w:sz="6" w:space="0"/>
              <w:right w:val="outset" w:color="auto" w:sz="6" w:space="0"/>
            </w:tcBorders>
            <w:noWrap w:val="0"/>
            <w:vAlign w:val="center"/>
          </w:tcPr>
          <w:p>
            <w:pPr>
              <w:jc w:val="center"/>
              <w:rPr>
                <w:rFonts w:hint="eastAsia" w:ascii="宋体" w:eastAsia="宋体"/>
                <w:sz w:val="24"/>
                <w:szCs w:val="24"/>
                <w:lang w:val="en-US" w:eastAsia="zh-CN"/>
              </w:rPr>
            </w:pPr>
            <w:r>
              <w:rPr>
                <w:rFonts w:hint="eastAsia" w:ascii="宋体"/>
                <w:sz w:val="24"/>
                <w:szCs w:val="24"/>
                <w:lang w:val="en-US" w:eastAsia="zh-CN"/>
              </w:rPr>
              <w:t>2</w:t>
            </w:r>
          </w:p>
        </w:tc>
      </w:tr>
    </w:tbl>
    <w:p>
      <w:pPr>
        <w:pStyle w:val="2"/>
        <w:numPr>
          <w:ilvl w:val="0"/>
          <w:numId w:val="0"/>
        </w:numPr>
        <w:ind w:leftChars="200"/>
        <w:rPr>
          <w:rFonts w:hint="eastAsia"/>
        </w:rPr>
      </w:pPr>
    </w:p>
    <w:p>
      <w:pPr>
        <w:pStyle w:val="2"/>
        <w:numPr>
          <w:ilvl w:val="0"/>
          <w:numId w:val="0"/>
        </w:numPr>
        <w:ind w:leftChars="200"/>
        <w:rPr>
          <w:rFonts w:hint="eastAsia"/>
        </w:rPr>
      </w:pPr>
    </w:p>
    <w:p>
      <w:pPr>
        <w:spacing w:line="56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tbl>
      <w:tblPr>
        <w:tblStyle w:val="4"/>
        <w:tblW w:w="9748"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3245" w:type="dxa"/>
            <w:gridSpan w:val="5"/>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shd w:val="clear" w:color="auto" w:fill="BDD7EE"/>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82" w:hRule="atLeast"/>
          <w:jc w:val="center"/>
        </w:trPr>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shd w:val="clear" w:color="auto" w:fill="auto"/>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shd w:val="clear" w:color="auto" w:fill="DDEBF7"/>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14" w:hRule="atLeast"/>
          <w:jc w:val="center"/>
        </w:trPr>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2" w:hRule="atLeast"/>
          <w:jc w:val="center"/>
        </w:trPr>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eastAsia" w:ascii="黑体" w:hAnsi="宋体" w:eastAsia="黑体" w:cs="黑体"/>
                <w:i w:val="0"/>
                <w:iCs w:val="0"/>
                <w:color w:val="000000"/>
                <w:kern w:val="0"/>
                <w:sz w:val="20"/>
                <w:szCs w:val="20"/>
                <w:u w:val="none"/>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eastAsia" w:ascii="黑体" w:hAnsi="宋体" w:eastAsia="黑体" w:cs="黑体"/>
                <w:i w:val="0"/>
                <w:iCs w:val="0"/>
                <w:color w:val="000000"/>
                <w:kern w:val="0"/>
                <w:sz w:val="20"/>
                <w:szCs w:val="20"/>
                <w:u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eastAsia" w:ascii="黑体" w:hAnsi="宋体" w:eastAsia="黑体" w:cs="黑体"/>
                <w:i w:val="0"/>
                <w:iCs w:val="0"/>
                <w:color w:val="000000"/>
                <w:kern w:val="0"/>
                <w:sz w:val="20"/>
                <w:szCs w:val="20"/>
                <w:u w:val="none"/>
                <w:lang w:val="en-US" w:eastAsia="zh-CN" w:bidi="ar"/>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eastAsia" w:ascii="黑体" w:hAnsi="宋体" w:eastAsia="黑体" w:cs="黑体"/>
                <w:i w:val="0"/>
                <w:iCs w:val="0"/>
                <w:color w:val="000000"/>
                <w:kern w:val="0"/>
                <w:sz w:val="20"/>
                <w:szCs w:val="20"/>
                <w:u w:val="none"/>
                <w:lang w:val="en-US" w:eastAsia="zh-CN" w:bidi="ar"/>
              </w:rPr>
              <w:t>1</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49"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50"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eastAsia" w:ascii="黑体" w:hAnsi="宋体" w:eastAsia="黑体" w:cs="黑体"/>
                <w:i w:val="0"/>
                <w:iCs w:val="0"/>
                <w:color w:val="000000"/>
                <w:kern w:val="0"/>
                <w:sz w:val="20"/>
                <w:szCs w:val="20"/>
                <w:u w:val="none"/>
                <w:lang w:val="en-US" w:eastAsia="zh-CN" w:bidi="ar"/>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Times New Roman" w:hAnsi="Times New Roman" w:eastAsia="宋体" w:cs="Times New Roman"/>
                <w:kern w:val="2"/>
                <w:sz w:val="21"/>
                <w:szCs w:val="22"/>
                <w:lang w:val="en-US" w:eastAsia="zh-CN" w:bidi="ar-SA"/>
              </w:rPr>
            </w:pPr>
            <w:r>
              <w:rPr>
                <w:rFonts w:hint="eastAsia"/>
                <w:lang w:val="en-US" w:eastAsia="zh-CN"/>
              </w:rPr>
              <w:t>0</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ascii="Times New Roman" w:hAnsi="Times New Roman" w:eastAsia="宋体" w:cs="Times New Roman"/>
                <w:kern w:val="2"/>
                <w:sz w:val="21"/>
                <w:szCs w:val="22"/>
                <w:lang w:val="en-US" w:eastAsia="zh-CN" w:bidi="ar-SA"/>
              </w:rPr>
            </w:pPr>
            <w:r>
              <w:rPr>
                <w:rFonts w:hint="eastAsia" w:ascii="黑体" w:hAnsi="宋体" w:eastAsia="黑体" w:cs="黑体"/>
                <w:i w:val="0"/>
                <w:iCs w:val="0"/>
                <w:color w:val="000000"/>
                <w:kern w:val="0"/>
                <w:sz w:val="20"/>
                <w:szCs w:val="20"/>
                <w:u w:val="none"/>
                <w:lang w:val="en-US" w:eastAsia="zh-CN" w:bidi="ar"/>
              </w:rPr>
              <w:t>1</w:t>
            </w:r>
          </w:p>
        </w:tc>
        <w:tc>
          <w:tcPr>
            <w:tcW w:w="65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jc w:val="center"/>
              <w:textAlignment w:val="center"/>
              <w:rPr>
                <w:rFonts w:hint="eastAsia" w:ascii="宋体" w:hAnsi="Times New Roman" w:eastAsia="宋体" w:cs="Times New Roman"/>
                <w:kern w:val="2"/>
                <w:sz w:val="24"/>
                <w:szCs w:val="24"/>
                <w:lang w:val="en-US" w:eastAsia="zh-CN" w:bidi="ar-SA"/>
              </w:rPr>
            </w:pPr>
            <w:r>
              <w:rPr>
                <w:rFonts w:hint="eastAsia" w:ascii="黑体" w:hAnsi="宋体" w:eastAsia="黑体" w:cs="黑体"/>
                <w:i w:val="0"/>
                <w:iCs w:val="0"/>
                <w:color w:val="000000"/>
                <w:kern w:val="0"/>
                <w:sz w:val="20"/>
                <w:szCs w:val="20"/>
                <w:u w:val="none"/>
                <w:lang w:val="en-US" w:eastAsia="zh-CN" w:bidi="ar"/>
              </w:rPr>
              <w:t>1</w:t>
            </w:r>
          </w:p>
        </w:tc>
      </w:tr>
    </w:tbl>
    <w:p>
      <w:pPr>
        <w:keepNext w:val="0"/>
        <w:keepLines w:val="0"/>
        <w:widowControl/>
        <w:suppressLineNumbers w:val="0"/>
        <w:jc w:val="left"/>
      </w:pPr>
    </w:p>
    <w:p>
      <w:pPr>
        <w:widowControl/>
        <w:spacing w:line="560" w:lineRule="exact"/>
        <w:ind w:firstLine="672" w:firstLineChars="200"/>
        <w:jc w:val="left"/>
        <w:rPr>
          <w:rFonts w:ascii="宋体" w:hAnsi="宋体" w:cs="宋体"/>
          <w:spacing w:val="8"/>
          <w:kern w:val="0"/>
          <w:sz w:val="24"/>
        </w:rPr>
      </w:pPr>
      <w:r>
        <w:rPr>
          <w:rFonts w:ascii="黑体" w:hAnsi="黑体" w:eastAsia="黑体" w:cs="宋体"/>
          <w:spacing w:val="8"/>
          <w:kern w:val="0"/>
          <w:sz w:val="32"/>
          <w:szCs w:val="32"/>
        </w:rPr>
        <w:t>五、存在的主要问题及改进情况</w:t>
      </w:r>
    </w:p>
    <w:p>
      <w:pPr>
        <w:ind w:firstLine="64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2024年，信息公开工作取得了一定的成效，但也存在一些不足，一是政策解读质量</w:t>
      </w:r>
      <w:r>
        <w:rPr>
          <w:rFonts w:hint="eastAsia" w:ascii="仿宋_GB2312" w:hAnsi="仿宋_GB2312" w:eastAsia="仿宋_GB2312" w:cs="仿宋_GB2312"/>
          <w:sz w:val="32"/>
          <w:szCs w:val="32"/>
          <w:lang w:val="en-US" w:eastAsia="zh-CN"/>
        </w:rPr>
        <w:t>还需进一步提升</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目前</w:t>
      </w:r>
      <w:r>
        <w:rPr>
          <w:rFonts w:hint="eastAsia" w:ascii="仿宋_GB2312" w:hAnsi="仿宋_GB2312" w:eastAsia="仿宋_GB2312" w:cs="仿宋_GB2312"/>
          <w:sz w:val="32"/>
          <w:szCs w:val="32"/>
        </w:rPr>
        <w:t>解读形式单一，图文视频结合形式较少；二是对《条例》等相关文件学习</w:t>
      </w:r>
      <w:r>
        <w:rPr>
          <w:rFonts w:hint="eastAsia" w:ascii="仿宋_GB2312" w:hAnsi="仿宋_GB2312" w:eastAsia="仿宋_GB2312" w:cs="仿宋_GB2312"/>
          <w:sz w:val="32"/>
          <w:szCs w:val="32"/>
          <w:lang w:val="en-US" w:eastAsia="zh-CN"/>
        </w:rPr>
        <w:t>培训力度还需加强，部分工作人员对发条的理解还需加深</w:t>
      </w:r>
      <w:r>
        <w:rPr>
          <w:rFonts w:hint="eastAsia" w:ascii="仿宋_GB2312" w:hAnsi="仿宋_GB2312" w:eastAsia="仿宋_GB2312" w:cs="仿宋_GB2312"/>
          <w:sz w:val="32"/>
          <w:szCs w:val="32"/>
        </w:rPr>
        <w:t>；三是政府信息公开的宣传力度不足，信息公开工作的覆盖面和影响力需进一步加强。</w:t>
      </w:r>
    </w:p>
    <w:p>
      <w:pPr>
        <w:widowControl/>
        <w:spacing w:line="560" w:lineRule="exact"/>
        <w:ind w:firstLine="675"/>
        <w:jc w:val="left"/>
        <w:rPr>
          <w:rFonts w:ascii="宋体" w:hAnsi="宋体" w:cs="宋体"/>
          <w:spacing w:val="8"/>
          <w:kern w:val="0"/>
          <w:sz w:val="32"/>
          <w:szCs w:val="32"/>
        </w:rPr>
      </w:pPr>
      <w:r>
        <w:rPr>
          <w:rFonts w:ascii="黑体" w:hAnsi="黑体" w:eastAsia="黑体" w:cs="宋体"/>
          <w:spacing w:val="8"/>
          <w:kern w:val="0"/>
          <w:sz w:val="32"/>
          <w:szCs w:val="32"/>
        </w:rPr>
        <w:t>六、其他需要报告的事项</w:t>
      </w:r>
    </w:p>
    <w:p>
      <w:pPr>
        <w:spacing w:line="560" w:lineRule="exact"/>
        <w:jc w:val="left"/>
        <w:rPr>
          <w:rFonts w:ascii="仿宋_GB2312" w:hAnsi="仿宋_GB2312" w:eastAsia="仿宋_GB2312" w:cs="仿宋_GB2312"/>
          <w:sz w:val="32"/>
          <w:szCs w:val="32"/>
        </w:rPr>
      </w:pPr>
      <w:r>
        <w:rPr>
          <w:rFonts w:ascii="宋体" w:hAnsi="宋体" w:cs="宋体"/>
          <w:spacing w:val="8"/>
          <w:kern w:val="0"/>
          <w:sz w:val="32"/>
          <w:szCs w:val="32"/>
        </w:rPr>
        <w:t>　　</w:t>
      </w:r>
      <w:bookmarkStart w:id="0" w:name="OLE_LINK5"/>
      <w:r>
        <w:rPr>
          <w:rFonts w:ascii="仿宋_GB2312" w:hAnsi="仿宋_GB2312" w:eastAsia="仿宋_GB2312" w:cs="仿宋_GB2312"/>
          <w:sz w:val="32"/>
          <w:szCs w:val="32"/>
        </w:rPr>
        <w:t>本年度我委发出收费通知件数和总的金额以及实际收取的总金额均为</w:t>
      </w:r>
      <w:r>
        <w:rPr>
          <w:rFonts w:hint="eastAsia" w:ascii="仿宋_GB2312" w:hAnsi="仿宋_GB2312" w:eastAsia="仿宋_GB2312" w:cs="仿宋_GB2312"/>
          <w:sz w:val="32"/>
          <w:szCs w:val="32"/>
        </w:rPr>
        <w:t>0。</w:t>
      </w:r>
      <w:bookmarkEnd w:id="0"/>
    </w:p>
    <w:p>
      <w:pPr>
        <w:widowControl/>
        <w:spacing w:line="560" w:lineRule="exact"/>
        <w:jc w:val="left"/>
        <w:rPr>
          <w:rFonts w:hint="eastAsia" w:ascii="仿宋_GB2312" w:hAnsi="宋体" w:eastAsia="仿宋_GB2312" w:cs="宋体"/>
          <w:color w:val="9BC2E6"/>
          <w:spacing w:val="8"/>
          <w:kern w:val="0"/>
          <w:sz w:val="32"/>
          <w:szCs w:val="32"/>
        </w:rPr>
      </w:pPr>
    </w:p>
    <w:p>
      <w:pPr>
        <w:pStyle w:val="2"/>
        <w:spacing w:line="560" w:lineRule="exact"/>
        <w:rPr>
          <w:rFonts w:hint="eastAsia"/>
          <w:highlight w:val="none"/>
        </w:rPr>
      </w:pPr>
      <w:r>
        <w:rPr>
          <w:rFonts w:hint="eastAsia" w:ascii="微软雅黑" w:hAnsi="微软雅黑" w:eastAsia="微软雅黑" w:cs="宋体"/>
          <w:color w:val="404040"/>
          <w:kern w:val="0"/>
          <w:sz w:val="32"/>
          <w:szCs w:val="32"/>
        </w:rPr>
        <w:t xml:space="preserve"> </w:t>
      </w:r>
    </w:p>
    <w:p>
      <w:pPr>
        <w:pStyle w:val="2"/>
        <w:spacing w:line="560" w:lineRule="exact"/>
        <w:rPr>
          <w:rFonts w:hint="eastAsia"/>
          <w:highlight w:val="none"/>
        </w:rPr>
      </w:pPr>
    </w:p>
    <w:p>
      <w:pPr>
        <w:pStyle w:val="2"/>
        <w:spacing w:line="560" w:lineRule="exact"/>
        <w:rPr>
          <w:rFonts w:hint="eastAsia"/>
          <w:highlight w:val="none"/>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p>
      <w:pPr>
        <w:pStyle w:val="2"/>
        <w:rPr>
          <w:rFonts w:hint="eastAsia" w:ascii="黑体" w:hAnsi="黑体" w:eastAsia="黑体" w:cs="黑体"/>
          <w:color w:val="000000"/>
          <w:sz w:val="32"/>
          <w:szCs w:val="32"/>
          <w:highlight w:val="none"/>
          <w:lang w:val="en-US" w:eastAsia="zh-CN"/>
        </w:rPr>
      </w:pPr>
    </w:p>
    <w:p>
      <w:pPr>
        <w:pStyle w:val="2"/>
        <w:rPr>
          <w:rFonts w:hint="eastAsia" w:ascii="黑体" w:hAnsi="黑体" w:eastAsia="黑体" w:cs="黑体"/>
          <w:color w:val="000000"/>
          <w:sz w:val="32"/>
          <w:szCs w:val="32"/>
          <w:highlight w:val="none"/>
          <w:lang w:val="en-US" w:eastAsia="zh-CN"/>
        </w:rPr>
      </w:pPr>
    </w:p>
    <w:p>
      <w:pPr>
        <w:keepNext w:val="0"/>
        <w:keepLines w:val="0"/>
        <w:pageBreakBefore w:val="0"/>
        <w:kinsoku/>
        <w:wordWrap/>
        <w:overflowPunct/>
        <w:topLinePunct w:val="0"/>
        <w:autoSpaceDE/>
        <w:autoSpaceDN/>
        <w:bidi w:val="0"/>
        <w:adjustRightInd/>
        <w:snapToGrid/>
        <w:spacing w:line="560" w:lineRule="exact"/>
        <w:jc w:val="both"/>
        <w:textAlignment w:val="auto"/>
        <w:outlineLvl w:val="9"/>
        <w:rPr>
          <w:rFonts w:hint="eastAsia" w:ascii="黑体" w:hAnsi="黑体" w:eastAsia="黑体" w:cs="黑体"/>
          <w:color w:val="000000"/>
          <w:sz w:val="32"/>
          <w:szCs w:val="32"/>
          <w:highlight w:val="none"/>
          <w:lang w:val="en-US" w:eastAsia="zh-C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FBF937"/>
    <w:multiLevelType w:val="singleLevel"/>
    <w:tmpl w:val="F8FBF937"/>
    <w:lvl w:ilvl="0" w:tentative="0">
      <w:start w:val="2"/>
      <w:numFmt w:val="chineseCounting"/>
      <w:suff w:val="nothing"/>
      <w:lvlText w:val="%1、"/>
      <w:lvlJc w:val="left"/>
      <w:pPr>
        <w:ind w:left="-10"/>
      </w:pPr>
      <w:rPr>
        <w:rFonts w:hint="eastAsia"/>
      </w:rPr>
    </w:lvl>
  </w:abstractNum>
  <w:abstractNum w:abstractNumId="1">
    <w:nsid w:val="6E86FA11"/>
    <w:multiLevelType w:val="singleLevel"/>
    <w:tmpl w:val="6E86FA11"/>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A1NWY1YzJmNDhjMjQ2ODM2MTY3ZTljMDFkMTEzM2YifQ=="/>
  </w:docVars>
  <w:rsids>
    <w:rsidRoot w:val="61FC300A"/>
    <w:rsid w:val="538612F9"/>
    <w:rsid w:val="61FC300A"/>
    <w:rsid w:val="6D9A01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autoRedefine/>
    <w:qFormat/>
    <w:uiPriority w:val="0"/>
    <w:rPr>
      <w:rFonts w:ascii="宋体" w:hAnsi="Courier New"/>
    </w:rPr>
  </w:style>
  <w:style w:type="paragraph" w:styleId="3">
    <w:name w:val="Normal (Web)"/>
    <w:basedOn w:val="1"/>
    <w:qFormat/>
    <w:uiPriority w:val="99"/>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2025-01-06T09:38:00Z</dcterms:created>
  <dc:creator>lc</dc:creator>
  <cp:lastModifiedBy>谷雨欣</cp:lastModifiedBy>
  <dcterms:modified xsi:type="dcterms:W3CDTF">2025-01-20T08:58:44Z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AF60E4F3C8B14C95B44B8F76C310F5E7_13</vt:lpwstr>
  </property>
</Properties>
</file>