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北京市</w:t>
      </w:r>
      <w:bookmarkStart w:id="1" w:name="_GoBack"/>
      <w:bookmarkEnd w:id="1"/>
      <w:r>
        <w:rPr>
          <w:rFonts w:hint="eastAsia" w:ascii="方正小标宋简体" w:hAnsi="方正小标宋简体" w:eastAsia="方正小标宋简体" w:cs="方正小标宋简体"/>
          <w:sz w:val="44"/>
          <w:szCs w:val="44"/>
        </w:rPr>
        <w:t>丰台区农业农村局2024年</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政府信息公开工作年度报告</w:t>
      </w:r>
    </w:p>
    <w:p>
      <w:pPr>
        <w:spacing w:line="560" w:lineRule="exact"/>
        <w:jc w:val="center"/>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pPr>
        <w:widowControl/>
        <w:spacing w:line="560" w:lineRule="exact"/>
        <w:jc w:val="left"/>
        <w:rPr>
          <w:rFonts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pStyle w:val="2"/>
        <w:spacing w:line="560" w:lineRule="exact"/>
        <w:ind w:firstLine="672" w:firstLineChars="200"/>
        <w:rPr>
          <w:rFonts w:ascii="仿宋_GB2312" w:hAnsi="宋体" w:eastAsia="仿宋_GB2312" w:cs="宋体"/>
          <w:spacing w:val="8"/>
          <w:kern w:val="0"/>
          <w:sz w:val="32"/>
          <w:szCs w:val="32"/>
        </w:rPr>
      </w:pPr>
      <w:r>
        <w:rPr>
          <w:rFonts w:hint="eastAsia" w:ascii="楷体_GB2312" w:hAnsi="楷体_GB2312" w:eastAsia="楷体_GB2312" w:cs="楷体_GB2312"/>
          <w:spacing w:val="8"/>
          <w:kern w:val="0"/>
          <w:sz w:val="32"/>
          <w:szCs w:val="32"/>
        </w:rPr>
        <w:t>（一）组织领导。</w:t>
      </w:r>
      <w:r>
        <w:rPr>
          <w:rFonts w:hint="eastAsia" w:ascii="仿宋_GB2312" w:hAnsi="宋体" w:eastAsia="仿宋_GB2312" w:cs="宋体"/>
          <w:spacing w:val="8"/>
          <w:kern w:val="0"/>
          <w:sz w:val="32"/>
          <w:szCs w:val="32"/>
        </w:rPr>
        <w:t>贯彻落实以局长为组长、分管副局长为副组长、各科室负责人为组员的政府信息公开工作领导小组工作机制，局办公室负责统筹落实本单位政府信息公开各项工作。严格信息公开审批发布程序，“上网信息不涉密，涉密信息不上网”。</w:t>
      </w:r>
    </w:p>
    <w:p>
      <w:pPr>
        <w:pStyle w:val="2"/>
        <w:spacing w:line="560" w:lineRule="exact"/>
        <w:ind w:firstLine="672" w:firstLineChars="200"/>
        <w:rPr>
          <w:rFonts w:ascii="楷体_GB2312" w:hAnsi="楷体_GB2312" w:eastAsia="楷体_GB2312" w:cs="楷体_GB2312"/>
          <w:spacing w:val="8"/>
          <w:kern w:val="0"/>
          <w:sz w:val="32"/>
          <w:szCs w:val="32"/>
        </w:rPr>
      </w:pPr>
      <w:r>
        <w:rPr>
          <w:rFonts w:hint="eastAsia" w:ascii="楷体_GB2312" w:hAnsi="楷体_GB2312" w:eastAsia="楷体_GB2312" w:cs="楷体_GB2312"/>
          <w:spacing w:val="8"/>
          <w:kern w:val="0"/>
          <w:sz w:val="32"/>
          <w:szCs w:val="32"/>
        </w:rPr>
        <w:t>（二）建章立制。</w:t>
      </w:r>
      <w:r>
        <w:rPr>
          <w:rFonts w:hint="eastAsia" w:ascii="仿宋_GB2312" w:hAnsi="宋体" w:eastAsia="仿宋_GB2312" w:cs="宋体"/>
          <w:spacing w:val="8"/>
          <w:kern w:val="0"/>
          <w:sz w:val="32"/>
          <w:szCs w:val="32"/>
        </w:rPr>
        <w:t>2024年，为进一步加强政府信息公开工作制度化、标准化、常态化建设，结合局系统工作实际，制定印发了《农工委农业农村局政务公开制度》，明确了“政务公开公示、政务公开群众评议、政务公开监督考核、政务公开责任追究”四方面13条细则。</w:t>
      </w:r>
    </w:p>
    <w:p>
      <w:pPr>
        <w:pStyle w:val="2"/>
        <w:spacing w:line="560" w:lineRule="exact"/>
        <w:ind w:firstLine="672" w:firstLineChars="200"/>
        <w:rPr>
          <w:rFonts w:ascii="仿宋_GB2312" w:hAnsi="宋体" w:eastAsia="仿宋_GB2312" w:cs="宋体"/>
          <w:spacing w:val="8"/>
          <w:kern w:val="0"/>
          <w:sz w:val="32"/>
          <w:szCs w:val="32"/>
        </w:rPr>
      </w:pPr>
      <w:r>
        <w:rPr>
          <w:rFonts w:hint="eastAsia" w:ascii="楷体_GB2312" w:hAnsi="楷体_GB2312" w:eastAsia="楷体_GB2312" w:cs="楷体_GB2312"/>
          <w:spacing w:val="8"/>
          <w:kern w:val="0"/>
          <w:sz w:val="32"/>
          <w:szCs w:val="32"/>
        </w:rPr>
        <w:t>（三）主动公开内容。</w:t>
      </w:r>
      <w:r>
        <w:rPr>
          <w:rFonts w:hint="eastAsia" w:ascii="仿宋_GB2312" w:hAnsi="宋体" w:eastAsia="仿宋_GB2312" w:cs="宋体"/>
          <w:spacing w:val="8"/>
          <w:kern w:val="0"/>
          <w:sz w:val="32"/>
          <w:szCs w:val="32"/>
        </w:rPr>
        <w:t>坚持政府信息公开基本制度，确保信息公开及时准确。主动在区政府网站上更新工作动态类信息，包括劳动力安置情况、执法检查结果、粮菜生产、惠农补贴、乡村振兴等相关内容，便于社会公众了解掌握最新政府信息。积极拓宽政府信息公开渠道，加强本单位微信公众号建设，全年通过微信公众号发布信息298条。</w:t>
      </w:r>
    </w:p>
    <w:p>
      <w:pPr>
        <w:pStyle w:val="2"/>
        <w:spacing w:line="560" w:lineRule="exact"/>
        <w:ind w:firstLine="672" w:firstLineChars="200"/>
        <w:rPr>
          <w:rFonts w:ascii="仿宋_GB2312" w:hAnsi="宋体" w:eastAsia="仿宋_GB2312" w:cs="宋体"/>
          <w:spacing w:val="8"/>
          <w:kern w:val="0"/>
          <w:sz w:val="32"/>
          <w:szCs w:val="32"/>
        </w:rPr>
      </w:pPr>
      <w:r>
        <w:rPr>
          <w:rFonts w:hint="eastAsia" w:ascii="楷体_GB2312" w:hAnsi="楷体_GB2312" w:eastAsia="楷体_GB2312" w:cs="楷体_GB2312"/>
          <w:spacing w:val="8"/>
          <w:kern w:val="0"/>
          <w:sz w:val="32"/>
          <w:szCs w:val="32"/>
        </w:rPr>
        <w:t>（四）规范政府信息依申请公开。</w:t>
      </w:r>
      <w:r>
        <w:rPr>
          <w:rFonts w:hint="eastAsia" w:ascii="仿宋_GB2312" w:hAnsi="宋体" w:eastAsia="仿宋_GB2312" w:cs="宋体"/>
          <w:spacing w:val="8"/>
          <w:kern w:val="0"/>
          <w:sz w:val="32"/>
          <w:szCs w:val="32"/>
        </w:rPr>
        <w:t>为规范行政行为，推进政务公开工作的开展，提高工作效率和政务透明度，保护公民、法人和其他组织的合法权益</w:t>
      </w:r>
      <w:r>
        <w:rPr>
          <w:rFonts w:ascii="仿宋_GB2312" w:hAnsi="宋体" w:eastAsia="仿宋_GB2312" w:cs="宋体"/>
          <w:spacing w:val="8"/>
          <w:kern w:val="0"/>
          <w:sz w:val="32"/>
          <w:szCs w:val="32"/>
        </w:rPr>
        <w:t>，我局按照依申请公开的受理、审查、处理、答复程序，及时分解督办，向申请人答复，依法保障公众的知情权和监督权，保障申请人的合法权益。</w:t>
      </w:r>
    </w:p>
    <w:p>
      <w:pPr>
        <w:pStyle w:val="2"/>
        <w:spacing w:line="560" w:lineRule="exact"/>
        <w:ind w:firstLine="672" w:firstLineChars="200"/>
        <w:rPr>
          <w:rFonts w:ascii="仿宋_GB2312" w:hAnsi="仿宋_GB2312" w:eastAsia="仿宋_GB2312" w:cs="仿宋_GB2312"/>
          <w:spacing w:val="8"/>
          <w:kern w:val="0"/>
          <w:sz w:val="32"/>
          <w:szCs w:val="32"/>
        </w:rPr>
      </w:pPr>
      <w:r>
        <w:rPr>
          <w:rFonts w:hint="eastAsia" w:ascii="楷体_GB2312" w:hAnsi="楷体_GB2312" w:eastAsia="楷体_GB2312" w:cs="楷体_GB2312"/>
          <w:spacing w:val="8"/>
          <w:kern w:val="0"/>
          <w:sz w:val="32"/>
          <w:szCs w:val="32"/>
        </w:rPr>
        <w:t>（五）政府信息管理情况。</w:t>
      </w:r>
      <w:r>
        <w:rPr>
          <w:rFonts w:hint="eastAsia" w:ascii="仿宋_GB2312" w:hAnsi="仿宋_GB2312" w:eastAsia="仿宋_GB2312" w:cs="仿宋_GB2312"/>
          <w:spacing w:val="8"/>
          <w:kern w:val="0"/>
          <w:sz w:val="32"/>
          <w:szCs w:val="32"/>
        </w:rPr>
        <w:t>政府信息管理情况。进一步完善信息公开机制，严格遵循采集、审核、报送等工作程序，落实区政府门户网站信息发布审批手续，每篇公开信息均需单位保密员及信息工作主管领导签字审批后方可公开，确保公示公开信息准确、属实、合法依规。</w:t>
      </w:r>
    </w:p>
    <w:p>
      <w:pPr>
        <w:pStyle w:val="2"/>
        <w:spacing w:line="560" w:lineRule="exact"/>
        <w:ind w:firstLine="672" w:firstLineChars="200"/>
        <w:rPr>
          <w:rFonts w:ascii="仿宋_GB2312" w:hAnsi="宋体" w:eastAsia="仿宋_GB2312" w:cs="宋体"/>
          <w:spacing w:val="8"/>
          <w:kern w:val="0"/>
          <w:sz w:val="32"/>
          <w:szCs w:val="32"/>
        </w:rPr>
      </w:pPr>
      <w:r>
        <w:rPr>
          <w:rFonts w:hint="eastAsia" w:ascii="楷体_GB2312" w:hAnsi="楷体_GB2312" w:eastAsia="楷体_GB2312" w:cs="楷体_GB2312"/>
          <w:spacing w:val="8"/>
          <w:kern w:val="0"/>
          <w:sz w:val="32"/>
          <w:szCs w:val="32"/>
        </w:rPr>
        <w:t>（六）政府信息公开平台建设情况。</w:t>
      </w:r>
      <w:r>
        <w:rPr>
          <w:rFonts w:hint="eastAsia" w:ascii="仿宋_GB2312" w:hAnsi="宋体" w:eastAsia="仿宋_GB2312" w:cs="宋体"/>
          <w:spacing w:val="8"/>
          <w:kern w:val="0"/>
          <w:sz w:val="32"/>
          <w:szCs w:val="32"/>
        </w:rPr>
        <w:t>根据政府网站管理集约化建设要求，积极配合区政务服务局做好信息公开专栏并入政府网站工作，持续做好本单位在区政府网站栏目信息维护工作，指定专人负责更新，严格按照《政府网站检查指标》的要求，确保本单位政府信息及时有效公开。</w:t>
      </w:r>
    </w:p>
    <w:p>
      <w:pPr>
        <w:widowControl/>
        <w:spacing w:line="560" w:lineRule="exact"/>
        <w:ind w:firstLine="675"/>
        <w:jc w:val="left"/>
        <w:rPr>
          <w:rFonts w:ascii="仿宋_GB2312" w:hAnsi="宋体" w:eastAsia="仿宋_GB2312" w:cs="宋体"/>
          <w:spacing w:val="8"/>
          <w:kern w:val="0"/>
          <w:sz w:val="32"/>
          <w:szCs w:val="32"/>
        </w:rPr>
      </w:pPr>
    </w:p>
    <w:p>
      <w:pPr>
        <w:numPr>
          <w:ilvl w:val="0"/>
          <w:numId w:val="1"/>
        </w:numPr>
        <w:spacing w:line="560" w:lineRule="exact"/>
        <w:ind w:firstLine="640"/>
        <w:rPr>
          <w:rFonts w:ascii="黑体" w:hAnsi="黑体" w:eastAsia="黑体" w:cs="黑体"/>
          <w:sz w:val="32"/>
          <w:szCs w:val="32"/>
        </w:rPr>
      </w:pPr>
      <w:r>
        <w:rPr>
          <w:rFonts w:hint="eastAsia" w:ascii="黑体" w:hAnsi="黑体" w:eastAsia="黑体" w:cs="黑体"/>
          <w:sz w:val="32"/>
          <w:szCs w:val="32"/>
        </w:rPr>
        <w:t>主动公开政府信息情况</w:t>
      </w:r>
    </w:p>
    <w:p>
      <w:pPr>
        <w:pStyle w:val="2"/>
      </w:pPr>
    </w:p>
    <w:p>
      <w:pPr>
        <w:pStyle w:val="2"/>
      </w:pPr>
    </w:p>
    <w:tbl>
      <w:tblPr>
        <w:tblStyle w:val="5"/>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eastAsia="宋体"/>
                <w:lang w:val="en-US" w:eastAsia="zh-CN"/>
              </w:rPr>
            </w:pPr>
            <w:r>
              <w:rPr>
                <w:rFonts w:ascii="Calibri" w:hAnsi="Calibri" w:cs="Calibri"/>
                <w:kern w:val="0"/>
                <w:szCs w:val="21"/>
                <w:lang w:bidi="ar"/>
              </w:rPr>
              <w:t> </w:t>
            </w:r>
            <w:r>
              <w:rPr>
                <w:rFonts w:hint="eastAsia" w:ascii="Calibri" w:hAnsi="Calibri"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eastAsia="宋体"/>
                <w:lang w:val="en-US" w:eastAsia="zh-CN"/>
              </w:rPr>
            </w:pPr>
            <w:r>
              <w:rPr>
                <w:rFonts w:ascii="Calibri" w:hAnsi="Calibri" w:cs="Calibri"/>
                <w:kern w:val="0"/>
                <w:szCs w:val="21"/>
                <w:lang w:bidi="ar"/>
              </w:rPr>
              <w:t> </w:t>
            </w:r>
            <w:r>
              <w:rPr>
                <w:rFonts w:hint="eastAsia" w:ascii="Calibri" w:hAnsi="Calibri"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left"/>
              <w:rPr>
                <w:rFonts w:hint="default" w:eastAsia="宋体"/>
                <w:lang w:val="en-US" w:eastAsia="zh-CN"/>
              </w:rPr>
            </w:pPr>
            <w:r>
              <w:rPr>
                <w:rFonts w:ascii="Calibri" w:hAnsi="Calibri" w:cs="Calibri"/>
                <w:kern w:val="0"/>
                <w:szCs w:val="21"/>
                <w:lang w:bidi="ar"/>
              </w:rPr>
              <w:t> </w:t>
            </w:r>
            <w:r>
              <w:rPr>
                <w:rFonts w:hint="eastAsia" w:ascii="宋体" w:hAnsi="宋体" w:cs="宋体"/>
                <w:color w:val="000000"/>
                <w:kern w:val="0"/>
                <w:sz w:val="20"/>
                <w:szCs w:val="20"/>
                <w:lang w:val="en-US" w:eastAsia="zh-CN" w:bidi="ar"/>
              </w:rPr>
              <w:t>1674</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bookmarkStart w:id="0" w:name="OLE_LINK1" w:colFirst="1" w:colLast="1"/>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left"/>
              <w:rPr>
                <w:rFonts w:hint="default"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72</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left"/>
              <w:rPr>
                <w:rFonts w:hint="eastAsia" w:eastAsia="宋体"/>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7</w:t>
            </w:r>
          </w:p>
        </w:tc>
      </w:tr>
      <w:bookmarkEnd w:id="0"/>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r>
    </w:tbl>
    <w:p>
      <w:pPr>
        <w:pStyle w:val="2"/>
      </w:pPr>
    </w:p>
    <w:p>
      <w:pPr>
        <w:pStyle w:val="2"/>
      </w:pPr>
    </w:p>
    <w:p>
      <w:pPr>
        <w:numPr>
          <w:ilvl w:val="0"/>
          <w:numId w:val="1"/>
        </w:numPr>
        <w:spacing w:line="560" w:lineRule="exact"/>
        <w:ind w:firstLine="640"/>
        <w:rPr>
          <w:rFonts w:ascii="黑体" w:hAnsi="黑体" w:eastAsia="黑体" w:cs="黑体"/>
          <w:sz w:val="32"/>
          <w:szCs w:val="32"/>
        </w:rPr>
      </w:pPr>
      <w:r>
        <w:rPr>
          <w:rFonts w:hint="eastAsia" w:ascii="黑体" w:hAnsi="黑体" w:eastAsia="黑体" w:cs="黑体"/>
          <w:sz w:val="32"/>
          <w:szCs w:val="32"/>
        </w:rPr>
        <w:t>收到和处理政府信息公开申请情况</w:t>
      </w:r>
    </w:p>
    <w:p>
      <w:pPr>
        <w:pStyle w:val="4"/>
        <w:widowControl/>
        <w:shd w:val="clear" w:color="auto" w:fill="FFFFFF"/>
        <w:spacing w:before="0" w:beforeAutospacing="0" w:after="0" w:afterAutospacing="0"/>
        <w:ind w:firstLine="420"/>
        <w:jc w:val="both"/>
        <w:rPr>
          <w:rFonts w:ascii="宋体" w:hAnsi="宋体" w:cs="宋体"/>
          <w:color w:val="333333"/>
          <w:szCs w:val="24"/>
        </w:rP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widowControl/>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szCs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szCs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ascii="宋体"/>
                <w:sz w:val="24"/>
                <w:szCs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28</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28</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jc w:val="center"/>
              <w:rPr>
                <w:rFonts w:hint="eastAsia" w:eastAsia="宋体"/>
                <w:lang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2</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9" w:type="dxa"/>
            <w:tcBorders>
              <w:top w:val="single" w:color="auto" w:sz="8" w:space="0"/>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5</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hint="eastAsia" w:eastAsia="宋体"/>
                <w:lang w:eastAsia="zh-CN"/>
              </w:rPr>
            </w:pPr>
            <w:r>
              <w:rPr>
                <w:rFonts w:ascii="Calibri" w:hAnsi="Calibri" w:cs="Calibri"/>
                <w:kern w:val="0"/>
                <w:sz w:val="20"/>
                <w:szCs w:val="20"/>
                <w:lang w:bidi="ar"/>
              </w:rPr>
              <w:t> </w:t>
            </w:r>
            <w:r>
              <w:rPr>
                <w:rFonts w:hint="eastAsia" w:ascii="Calibri" w:hAnsi="Calibri" w:cs="Calibri"/>
                <w:kern w:val="0"/>
                <w:sz w:val="20"/>
                <w:szCs w:val="20"/>
                <w:lang w:bidi="ar"/>
              </w:rPr>
              <w:t>2</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ascii="Calibri" w:hAnsi="Calibri" w:cs="Calibri"/>
                <w:kern w:val="0"/>
                <w:sz w:val="20"/>
                <w:szCs w:val="20"/>
                <w:lang w:bidi="ar"/>
              </w:rPr>
              <w:t>2</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9" w:type="dxa"/>
            <w:tcBorders>
              <w:top w:val="nil"/>
              <w:left w:val="nil"/>
              <w:bottom w:val="outset"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default" w:eastAsia="宋体"/>
                <w:lang w:val="en-US" w:eastAsia="zh-CN"/>
              </w:rPr>
            </w:pPr>
            <w:r>
              <w:rPr>
                <w:rFonts w:hint="eastAsia" w:ascii="Calibri" w:hAnsi="Calibri" w:cs="Calibri"/>
                <w:kern w:val="0"/>
                <w:sz w:val="20"/>
                <w:szCs w:val="20"/>
                <w:lang w:val="en-US" w:eastAsia="zh-CN" w:bidi="ar"/>
              </w:rPr>
              <w:t>27</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textAlignment w:val="center"/>
            </w:pPr>
            <w:r>
              <w:rPr>
                <w:rFonts w:ascii="Calibri" w:hAnsi="Calibri" w:eastAsia="等线" w:cs="Calibri"/>
                <w:color w:val="000000"/>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rPr>
                <w:rFonts w:hint="default" w:eastAsia="宋体"/>
                <w:lang w:val="en-US" w:eastAsia="zh-CN"/>
              </w:rPr>
            </w:pPr>
            <w:r>
              <w:rPr>
                <w:rFonts w:hint="eastAsia" w:ascii="Calibri" w:hAnsi="Calibri" w:cs="Calibri"/>
                <w:kern w:val="0"/>
                <w:sz w:val="20"/>
                <w:szCs w:val="20"/>
                <w:lang w:val="en-US" w:eastAsia="zh-CN" w:bidi="ar"/>
              </w:rPr>
              <w:t>27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0" w:type="auto"/>
            <w:tcBorders>
              <w:top w:val="outset" w:color="auto" w:sz="6" w:space="0"/>
              <w:left w:val="nil"/>
              <w:bottom w:val="outset" w:color="auto" w:sz="6" w:space="0"/>
              <w:right w:val="outset" w:color="auto" w:sz="6" w:space="0"/>
            </w:tcBorders>
            <w:vAlign w:val="center"/>
          </w:tcPr>
          <w:p>
            <w:pPr>
              <w:rPr>
                <w:rFonts w:ascii="宋体"/>
                <w:sz w:val="24"/>
                <w:szCs w:val="24"/>
              </w:rPr>
            </w:pPr>
            <w:r>
              <w:rPr>
                <w:rFonts w:hint="eastAsia" w:ascii="宋体"/>
                <w:sz w:val="24"/>
                <w:szCs w:val="24"/>
              </w:rPr>
              <w:t>1</w:t>
            </w:r>
          </w:p>
        </w:tc>
        <w:tc>
          <w:tcPr>
            <w:tcW w:w="0" w:type="auto"/>
            <w:tcBorders>
              <w:top w:val="outset" w:color="auto" w:sz="6" w:space="0"/>
              <w:left w:val="nil"/>
              <w:bottom w:val="outset" w:color="auto" w:sz="6" w:space="0"/>
              <w:right w:val="outset" w:color="auto" w:sz="6" w:space="0"/>
            </w:tcBorders>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outset" w:color="auto" w:sz="6" w:space="0"/>
              <w:left w:val="nil"/>
              <w:bottom w:val="outset" w:color="auto" w:sz="6" w:space="0"/>
              <w:right w:val="outset" w:color="auto" w:sz="6" w:space="0"/>
            </w:tcBorders>
            <w:vAlign w:val="center"/>
          </w:tcPr>
          <w:p>
            <w:pPr>
              <w:widowControl/>
              <w:jc w:val="center"/>
              <w:textAlignment w:val="center"/>
            </w:pPr>
            <w:r>
              <w:rPr>
                <w:rFonts w:ascii="Calibri" w:hAnsi="Calibri" w:eastAsia="等线" w:cs="Calibri"/>
                <w:color w:val="000000"/>
                <w:kern w:val="0"/>
                <w:sz w:val="20"/>
                <w:szCs w:val="20"/>
                <w:lang w:bidi="ar"/>
              </w:rPr>
              <w:t>0</w:t>
            </w:r>
          </w:p>
        </w:tc>
        <w:tc>
          <w:tcPr>
            <w:tcW w:w="688" w:type="dxa"/>
            <w:tcBorders>
              <w:top w:val="outset" w:color="auto" w:sz="6" w:space="0"/>
              <w:left w:val="nil"/>
              <w:bottom w:val="outset" w:color="auto" w:sz="6" w:space="0"/>
              <w:right w:val="outset" w:color="auto" w:sz="6" w:space="0"/>
            </w:tcBorders>
            <w:vAlign w:val="center"/>
          </w:tcPr>
          <w:p>
            <w:pPr>
              <w:widowControl/>
              <w:jc w:val="center"/>
              <w:textAlignment w:val="center"/>
            </w:pPr>
            <w:r>
              <w:rPr>
                <w:rFonts w:ascii="Calibri" w:hAnsi="Calibri" w:eastAsia="等线" w:cs="Calibri"/>
                <w:color w:val="000000"/>
                <w:kern w:val="0"/>
                <w:sz w:val="20"/>
                <w:szCs w:val="20"/>
                <w:lang w:bidi="ar"/>
              </w:rPr>
              <w:t>0</w:t>
            </w:r>
          </w:p>
        </w:tc>
        <w:tc>
          <w:tcPr>
            <w:tcW w:w="0" w:type="auto"/>
            <w:tcBorders>
              <w:top w:val="outset" w:color="auto" w:sz="6" w:space="0"/>
              <w:left w:val="nil"/>
              <w:bottom w:val="outset" w:color="auto" w:sz="6" w:space="0"/>
              <w:right w:val="outset" w:color="auto" w:sz="6" w:space="0"/>
            </w:tcBorders>
            <w:vAlign w:val="center"/>
          </w:tcPr>
          <w:p>
            <w:pPr>
              <w:widowControl/>
              <w:jc w:val="center"/>
              <w:textAlignment w:val="center"/>
            </w:pPr>
            <w:r>
              <w:rPr>
                <w:rFonts w:ascii="Calibri" w:hAnsi="Calibri" w:eastAsia="等线" w:cs="Calibri"/>
                <w:color w:val="000000"/>
                <w:kern w:val="0"/>
                <w:sz w:val="20"/>
                <w:szCs w:val="20"/>
                <w:lang w:bidi="ar"/>
              </w:rPr>
              <w:t>0</w:t>
            </w:r>
          </w:p>
        </w:tc>
        <w:tc>
          <w:tcPr>
            <w:tcW w:w="0" w:type="auto"/>
            <w:tcBorders>
              <w:top w:val="outset" w:color="auto" w:sz="6" w:space="0"/>
              <w:left w:val="nil"/>
              <w:bottom w:val="outset" w:color="auto" w:sz="6" w:space="0"/>
              <w:right w:val="outset" w:color="auto" w:sz="6" w:space="0"/>
            </w:tcBorders>
            <w:vAlign w:val="center"/>
          </w:tcPr>
          <w:p>
            <w:pPr>
              <w:widowControl/>
              <w:jc w:val="center"/>
              <w:textAlignment w:val="center"/>
            </w:pPr>
            <w:r>
              <w:rPr>
                <w:rFonts w:ascii="Calibri" w:hAnsi="Calibri" w:eastAsia="等线" w:cs="Calibri"/>
                <w:color w:val="000000"/>
                <w:kern w:val="0"/>
                <w:sz w:val="20"/>
                <w:szCs w:val="20"/>
                <w:lang w:bidi="ar"/>
              </w:rPr>
              <w:t>0</w:t>
            </w:r>
          </w:p>
        </w:tc>
        <w:tc>
          <w:tcPr>
            <w:tcW w:w="0" w:type="auto"/>
            <w:tcBorders>
              <w:top w:val="outset" w:color="auto" w:sz="6" w:space="0"/>
              <w:left w:val="nil"/>
              <w:bottom w:val="outset" w:color="auto" w:sz="6" w:space="0"/>
              <w:right w:val="outset" w:color="auto" w:sz="6" w:space="0"/>
            </w:tcBorders>
            <w:vAlign w:val="center"/>
          </w:tcPr>
          <w:p>
            <w:pPr>
              <w:rPr>
                <w:rFonts w:ascii="宋体"/>
                <w:sz w:val="24"/>
                <w:szCs w:val="24"/>
              </w:rPr>
            </w:pPr>
            <w:r>
              <w:rPr>
                <w:rFonts w:hint="eastAsia" w:ascii="宋体"/>
                <w:sz w:val="24"/>
                <w:szCs w:val="24"/>
              </w:rPr>
              <w:t>1</w:t>
            </w:r>
          </w:p>
        </w:tc>
      </w:tr>
    </w:tbl>
    <w:p>
      <w:pPr>
        <w:pStyle w:val="2"/>
        <w:ind w:left="420" w:leftChars="200"/>
      </w:pPr>
    </w:p>
    <w:p>
      <w:pPr>
        <w:pStyle w:val="2"/>
        <w:ind w:left="420" w:leftChars="200"/>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jc w:val="cente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szCs w:val="24"/>
              </w:rPr>
            </w:pPr>
          </w:p>
        </w:tc>
        <w:tc>
          <w:tcPr>
            <w:tcW w:w="642"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szCs w:val="24"/>
              </w:rPr>
            </w:pP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1</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1</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1</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1</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1</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szCs w:val="24"/>
              </w:rPr>
            </w:pPr>
            <w:r>
              <w:rPr>
                <w:rFonts w:hint="eastAsia" w:ascii="宋体"/>
                <w:sz w:val="24"/>
                <w:szCs w:val="24"/>
              </w:rPr>
              <w:t>1</w:t>
            </w:r>
          </w:p>
        </w:tc>
      </w:tr>
    </w:tbl>
    <w:p>
      <w:pPr>
        <w:widowControl/>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spacing w:line="560" w:lineRule="exact"/>
        <w:ind w:firstLine="675"/>
        <w:jc w:val="left"/>
        <w:rPr>
          <w:rFonts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我局2024年政府信息公开工作严格按照政府信息公开规定执行，</w:t>
      </w:r>
      <w:r>
        <w:rPr>
          <w:rFonts w:ascii="仿宋_GB2312" w:hAnsi="仿宋_GB2312" w:eastAsia="仿宋_GB2312" w:cs="仿宋_GB2312"/>
          <w:spacing w:val="8"/>
          <w:kern w:val="0"/>
          <w:sz w:val="32"/>
          <w:szCs w:val="32"/>
        </w:rPr>
        <w:t>取得了一定成效，但仍存在</w:t>
      </w:r>
      <w:r>
        <w:rPr>
          <w:rFonts w:hint="eastAsia" w:ascii="仿宋_GB2312" w:hAnsi="仿宋_GB2312" w:eastAsia="仿宋_GB2312" w:cs="仿宋_GB2312"/>
          <w:spacing w:val="8"/>
          <w:kern w:val="0"/>
          <w:sz w:val="32"/>
          <w:szCs w:val="32"/>
        </w:rPr>
        <w:t>部分</w:t>
      </w:r>
      <w:r>
        <w:rPr>
          <w:rFonts w:ascii="仿宋_GB2312" w:hAnsi="仿宋_GB2312" w:eastAsia="仿宋_GB2312" w:cs="仿宋_GB2312"/>
          <w:spacing w:val="8"/>
          <w:kern w:val="0"/>
          <w:sz w:val="32"/>
          <w:szCs w:val="32"/>
        </w:rPr>
        <w:t>问题</w:t>
      </w:r>
      <w:r>
        <w:rPr>
          <w:rFonts w:hint="eastAsia" w:ascii="仿宋_GB2312" w:hAnsi="仿宋_GB2312" w:eastAsia="仿宋_GB2312" w:cs="仿宋_GB2312"/>
          <w:spacing w:val="8"/>
          <w:kern w:val="0"/>
          <w:sz w:val="32"/>
          <w:szCs w:val="32"/>
        </w:rPr>
        <w:t>：一是局系统部分干部职工严格政务公开制度意识不强。二是公开、废止信息更新时效性有待加强。三是信息公开业务领域有待拓宽。</w:t>
      </w:r>
    </w:p>
    <w:p>
      <w:pPr>
        <w:widowControl/>
        <w:spacing w:line="560" w:lineRule="exact"/>
        <w:ind w:firstLine="675"/>
        <w:jc w:val="left"/>
        <w:rPr>
          <w:rFonts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下一步改进措施：一是加强宣传教育培训，有效加强干部队伍开展政务信息公开工作业务能力素质，提高干部队伍思想认识和参与公开工作积极性。二是牵头科室、发布文件涉及业务部门提高工作自觉性，对关键文件信息公开发布、更新、废止时限保持高度敏感，确保工作时效性。三是将信息公开工作作为我局工作的重点内容，坚持做到定期更新和重要内容实时更新相结合。</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ind w:firstLine="672" w:firstLineChars="200"/>
        <w:jc w:val="left"/>
        <w:rPr>
          <w:rFonts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2024年本单位发出收费通知的件数和总金额以及实际收取的总金额均为0。</w:t>
      </w:r>
    </w:p>
    <w:p>
      <w:pPr>
        <w:widowControl/>
        <w:spacing w:line="560" w:lineRule="exact"/>
        <w:jc w:val="left"/>
        <w:rPr>
          <w:rFonts w:ascii="仿宋_GB2312" w:hAnsi="宋体" w:eastAsia="仿宋_GB2312" w:cs="宋体"/>
          <w:color w:val="9BC2E6"/>
          <w:spacing w:val="8"/>
          <w:kern w:val="0"/>
          <w:sz w:val="32"/>
          <w:szCs w:val="32"/>
        </w:rPr>
      </w:pPr>
    </w:p>
    <w:p>
      <w:pPr>
        <w:pStyle w:val="2"/>
        <w:spacing w:line="560" w:lineRule="exact"/>
      </w:pPr>
      <w:r>
        <w:rPr>
          <w:rFonts w:hint="eastAsia" w:ascii="微软雅黑" w:hAnsi="微软雅黑" w:eastAsia="微软雅黑" w:cs="宋体"/>
          <w:color w:val="404040"/>
          <w:kern w:val="0"/>
          <w:sz w:val="32"/>
          <w:szCs w:val="32"/>
        </w:rPr>
        <w:t xml:space="preserve"> </w:t>
      </w:r>
    </w:p>
    <w:p>
      <w:pPr>
        <w:pStyle w:val="2"/>
        <w:spacing w:line="560" w:lineRule="exact"/>
      </w:pPr>
    </w:p>
    <w:p>
      <w:pPr>
        <w:pStyle w:val="2"/>
        <w:spacing w:line="560" w:lineRule="exact"/>
      </w:pPr>
    </w:p>
    <w:p>
      <w:pPr>
        <w:spacing w:line="560" w:lineRule="exact"/>
        <w:rPr>
          <w:rFonts w:ascii="黑体" w:hAnsi="黑体" w:eastAsia="黑体" w:cs="黑体"/>
          <w:color w:val="000000"/>
          <w:sz w:val="32"/>
          <w:szCs w:val="32"/>
        </w:rPr>
      </w:pPr>
    </w:p>
    <w:p>
      <w:pPr>
        <w:spacing w:line="560" w:lineRule="exact"/>
        <w:rPr>
          <w:rFonts w:ascii="黑体" w:hAnsi="黑体" w:eastAsia="黑体" w:cs="黑体"/>
          <w:color w:val="000000"/>
          <w:sz w:val="32"/>
          <w:szCs w:val="32"/>
        </w:rPr>
      </w:pPr>
    </w:p>
    <w:p>
      <w:pPr>
        <w:spacing w:line="560" w:lineRule="exact"/>
        <w:rPr>
          <w:rFonts w:ascii="黑体" w:hAnsi="黑体" w:eastAsia="黑体" w:cs="黑体"/>
          <w:color w:val="000000"/>
          <w:sz w:val="32"/>
          <w:szCs w:val="32"/>
        </w:rPr>
      </w:pPr>
    </w:p>
    <w:p>
      <w:pPr>
        <w:pStyle w:val="2"/>
        <w:rPr>
          <w:rFonts w:ascii="黑体" w:hAnsi="黑体" w:eastAsia="黑体" w:cs="黑体"/>
          <w:color w:val="000000"/>
          <w:sz w:val="32"/>
          <w:szCs w:val="32"/>
        </w:rPr>
      </w:pPr>
    </w:p>
    <w:p>
      <w:pPr>
        <w:pStyle w:val="2"/>
        <w:rPr>
          <w:rFonts w:ascii="黑体" w:hAnsi="黑体" w:eastAsia="黑体" w:cs="黑体"/>
          <w:color w:val="000000"/>
          <w:sz w:val="32"/>
          <w:szCs w:val="32"/>
        </w:rPr>
      </w:pPr>
    </w:p>
    <w:p>
      <w:pPr>
        <w:spacing w:line="560" w:lineRule="exact"/>
        <w:rPr>
          <w:rFonts w:ascii="黑体" w:hAnsi="黑体" w:eastAsia="黑体" w:cs="黑体"/>
          <w:color w:val="000000"/>
          <w:sz w:val="32"/>
          <w:szCs w:val="32"/>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BF937"/>
    <w:multiLevelType w:val="singleLevel"/>
    <w:tmpl w:val="F8FBF937"/>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FC300A"/>
    <w:rsid w:val="005A0581"/>
    <w:rsid w:val="00984197"/>
    <w:rsid w:val="00A4414A"/>
    <w:rsid w:val="09BC1F3D"/>
    <w:rsid w:val="0E943096"/>
    <w:rsid w:val="259D4EC8"/>
    <w:rsid w:val="40062582"/>
    <w:rsid w:val="42F20DC9"/>
    <w:rsid w:val="53B63660"/>
    <w:rsid w:val="61FC300A"/>
    <w:rsid w:val="779A7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99"/>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380</Words>
  <Characters>2168</Characters>
  <Lines>18</Lines>
  <Paragraphs>5</Paragraphs>
  <TotalTime>15</TotalTime>
  <ScaleCrop>false</ScaleCrop>
  <LinksUpToDate>false</LinksUpToDate>
  <CharactersWithSpaces>2543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2025-01-07T06:59:00Z</dcterms:created>
  <dc:creator>lc</dc:creator>
  <cp:lastModifiedBy>lJ</cp:lastModifiedBy>
  <dcterms:modified xsi:type="dcterms:W3CDTF">2025-01-24T03:13:50Z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6875E895816C4DC79A3DCE4CEC33A7CE</vt:lpwstr>
  </property>
</Properties>
</file>