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E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北京市丰台区水务局</w:t>
      </w:r>
    </w:p>
    <w:p w14:paraId="65A34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5F183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 w14:paraId="59171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2DE8B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</w:t>
      </w:r>
      <w:bookmarkStart w:id="0" w:name="_GoBack"/>
      <w:bookmarkEnd w:id="0"/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 w14:paraId="70E73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2025年，北京市丰台区水务局认真贯彻落实《政府信息公开条例》，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始终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坚持“以公开为常态、不公开为例外”的原则，扎实推进政府信息公开各项工作，切实保障人民群众的知情权、参与权和监督权，确保政府信息及时、准确、全面公开。</w:t>
      </w:r>
    </w:p>
    <w:p w14:paraId="01AB8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（一）组织领导</w:t>
      </w:r>
    </w:p>
    <w:p w14:paraId="4AC64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为保证政务公开工作的深入扎实开展，我局成立了政务公开工作领导小组，建立了局长为第一责任人、分管副局长具体抓，由办公室督促协调政务公开工作的集中推进，检查落实，各有关科室部门配合的工作机制。</w:t>
      </w:r>
    </w:p>
    <w:p w14:paraId="1BAE4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  <w:t>（二）主动公开</w:t>
      </w:r>
    </w:p>
    <w:p w14:paraId="1A519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坚持提高水务工作的透明度，让民众了解水务工作情况。全年主动公开信息18条，涵盖行政许可、工作动态、政策解读等多个领域。其中，行政许可处理决定公开166项（按处理决定数量统计，虽非直接以“条”计，但反映主动公开力度），确保常规性工作定期公开、临时性工作随时公开、固定性工作长期公开。对政务公开内容严格把控，全年未发生泄密事件。</w:t>
      </w:r>
    </w:p>
    <w:p w14:paraId="66A13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  <w:t>（三）依申请公开</w:t>
      </w:r>
    </w:p>
    <w:p w14:paraId="2E073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进一步优化依申请公开办理程序，由专职工作人员负责依申请信息公开的办理，规范登记、审核、办理、答复、归档等工作环节。积极协调相关部门做好相关资料的收集整理，严格依申请公开办理时限进行答复，切实做到程序规范，依法办理。全年收到政府信息公开申请24件，全部依法依规办理完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00D1ED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  <w:t>（四）政府信息管理</w:t>
      </w:r>
    </w:p>
    <w:p w14:paraId="4CCA3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按照统一管理、分工负责的原则，由各科室分别供稿，及时收集、整理本部门相关新闻、工作动态、文件类信息，并严格按照保密审查要求，确保做到“上网信息不涉密，涉密信息不上网”。</w:t>
      </w:r>
    </w:p>
    <w:p w14:paraId="0CFB7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  <w:t>（五）政府信息公开教育培训</w:t>
      </w:r>
    </w:p>
    <w:p w14:paraId="70A37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积极参加区政务服务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和数据管理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局组织开展的业务培训，认真学习主动公开及依申请公开流程等内容，每季度对公开内容进行自查，发现问题及时整改。</w:t>
      </w:r>
    </w:p>
    <w:p w14:paraId="7AE2E7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  <w:t>（六）平台建设方面</w:t>
      </w:r>
    </w:p>
    <w:p w14:paraId="4DAA5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通过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丰台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区政府信息公开大厅门户网站形成了统一对外的公开渠道，方便公众随时可以查看并获取政府信息。要求信息公开工作负责人定期、按时更新相应政府信息，强化重点领域政府信息的主动公开，并结合我局内部管理系统，安排专人对政府信息进行统一管理，提高政府信息的查找、确认、公开综合效率。</w:t>
      </w:r>
    </w:p>
    <w:p w14:paraId="1550EBAE">
      <w:pPr>
        <w:pStyle w:val="2"/>
        <w:rPr>
          <w:rFonts w:hint="default"/>
        </w:rPr>
      </w:pPr>
    </w:p>
    <w:p w14:paraId="762CF5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eastAsia="宋体"/>
          <w:lang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</w:t>
      </w:r>
      <w:r>
        <w:rPr>
          <w:rFonts w:hint="eastAsia" w:ascii="黑体" w:hAnsi="黑体" w:eastAsia="黑体" w:cs="黑体"/>
          <w:sz w:val="32"/>
          <w:szCs w:val="32"/>
        </w:rPr>
        <w:t>政府信息情况</w:t>
      </w:r>
    </w:p>
    <w:tbl>
      <w:tblPr>
        <w:tblStyle w:val="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6D8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8405A9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38B1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A13B6C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04BBD3E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7BA20E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04D14A8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38BB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9A8508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74C9433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3BFB8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83CA8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09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7E43A9A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F08C05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1F569B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6C48E5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72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6C0FB7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4476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76CE92F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7CD8BA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32E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4D8446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B1A4B22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166</w:t>
            </w:r>
          </w:p>
        </w:tc>
      </w:tr>
      <w:tr w14:paraId="6180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DF47A3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79EB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AAE578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CB806B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7EB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0C5E0FA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D121F98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6A5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2688EB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C2459FC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0B1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5D7BB2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5F34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7C805D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1D667F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53B0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1D5DE9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6D3265E">
            <w:pPr>
              <w:spacing w:line="56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98.857964</w:t>
            </w:r>
          </w:p>
        </w:tc>
      </w:tr>
    </w:tbl>
    <w:p w14:paraId="397B2974">
      <w:pPr>
        <w:pStyle w:val="2"/>
        <w:spacing w:line="560" w:lineRule="exact"/>
        <w:rPr>
          <w:rFonts w:hint="eastAsia"/>
        </w:rPr>
      </w:pPr>
    </w:p>
    <w:p w14:paraId="51BA0C24">
      <w:pPr>
        <w:pStyle w:val="2"/>
        <w:spacing w:line="560" w:lineRule="exact"/>
        <w:rPr>
          <w:rFonts w:hint="eastAsia"/>
        </w:rPr>
      </w:pPr>
    </w:p>
    <w:p w14:paraId="5D0B8607">
      <w:pPr>
        <w:pStyle w:val="2"/>
        <w:spacing w:line="560" w:lineRule="exact"/>
        <w:rPr>
          <w:rFonts w:hint="eastAsia"/>
        </w:rPr>
      </w:pPr>
    </w:p>
    <w:p w14:paraId="3D673373">
      <w:pPr>
        <w:numPr>
          <w:ilvl w:val="0"/>
          <w:numId w:val="0"/>
        </w:numPr>
        <w:spacing w:line="560" w:lineRule="exact"/>
        <w:ind w:left="630" w:leftChars="0"/>
        <w:rPr>
          <w:rFonts w:hint="eastAsia" w:ascii="宋体" w:hAnsi="宋体" w:cs="宋体"/>
          <w:color w:val="333333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8"/>
        <w:gridCol w:w="690"/>
      </w:tblGrid>
      <w:tr w14:paraId="33B0AD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28C021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48CA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2C1B7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A185E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F2FA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CC71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5DA3C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5DCF0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BB47D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41D2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CD14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65B691B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9C89E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0BE8CFF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F505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6B5F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32F7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D6E64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7AA836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6FCE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D3B3E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AAF6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4B01A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9AE18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57E35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01841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DC138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</w:tr>
      <w:tr w14:paraId="2DCF6E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3850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BE9F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383D8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FD909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BF084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69323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B1EA8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041BC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3A87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9ADF0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729A6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6CAB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C7B2D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0B607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713187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64A3F0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AE423C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499658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 w14:paraId="69A3BD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4D6C0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C361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324F28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57937D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F8B7E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C4DEE1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F0779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27C12E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39326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6D60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14347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B654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A802E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8D7D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B688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21DD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457C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EFEBC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9A5C3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FF56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F609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9EF22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71226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22FBD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BAE2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BED7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D406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8296F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B2E2B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EB69A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7C2F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ED8B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2029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14C0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5EF93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5320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559F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6A69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ED7B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E7092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86CE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D08B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5300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DA68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467C4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62230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AF03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0EFA7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0E6F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D8A92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3C4FD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041D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FDC2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146E5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67E8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B64E3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AB07E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F8B3D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29D5D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36B4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0F97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EA8B0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0B7F1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F00B3F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3B0BC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539F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6D2FD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1474A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1AC2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AEE0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3C486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0F967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66A36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1800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BB0EC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8C15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F807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C37D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670BC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F1772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10CC2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7C8CD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4F75D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9858F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8A94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524B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216D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FCB4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71B9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1CF38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1C45A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C9C9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9F39C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0B15C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B5FF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E8928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7B61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354C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7799A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8A90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31A28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7769A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AAF97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41098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0A085A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3E21B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67E729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0607E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</w:tr>
      <w:tr w14:paraId="027FD8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9461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90AF2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18DA6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D122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777B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151BC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50FAB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FB37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BE664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2AFB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DB4C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E05D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1FC27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B3C5F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D5788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1B61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88DD6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ADC7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75E8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7D17F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853FB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50F6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8E181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6C771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182D0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55AD1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CDF2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2A53F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34A5D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B435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730D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860B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8877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CC3C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BE5B1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6F1EA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5B1D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92012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9D247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947E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ABF89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7B45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39D1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1F6C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68B3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DC2C1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42167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5EC84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EE1DD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2413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4438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0FF84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341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5B733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5BB6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BCB7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32B7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59F9C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1649A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B6DE4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CD3A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4844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C2B2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1A3B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9BD01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8E74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5C51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24AE1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EF421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9AF25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688D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6A3E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82B4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F844C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4D206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59E9F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ED30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6F600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05A06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78B1A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0BC3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A356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5F314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8C989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0A9FF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5CC7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4F8D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724B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EF726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74B3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71CC0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3D6E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A236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D0BA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FA8B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6C0D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8235E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21DA9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726F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5BF7D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45AE3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A5C2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8432D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0A05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60A5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2AE61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50C0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6E786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31F5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79BB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1D82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2E61D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B849B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54440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A41D5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FF71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91E6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BFF4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E79C0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</w:tr>
      <w:tr w14:paraId="27F08E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D33C5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D185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4BC9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4535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9468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EDB4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C603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FE36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20278D3">
      <w:pPr>
        <w:pStyle w:val="2"/>
        <w:spacing w:line="560" w:lineRule="exact"/>
        <w:rPr>
          <w:rFonts w:hint="eastAsia"/>
        </w:rPr>
      </w:pPr>
    </w:p>
    <w:p w14:paraId="7837FFDC"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9DDF4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BE9A6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804A8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0AF23D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D811C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4B511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963C9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99059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4C36C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79DF1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93096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9159C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DCE3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DFFAC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3ED9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191CE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ACEF3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DC7A5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070B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653A4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AFB26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51CEF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40EFB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07149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21BE1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6FB52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01E2B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5FC6D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9E494F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97BD6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F53E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789E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C8A03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86B491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A6098B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985C6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C61284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71DE78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33A8A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07DD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DD444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5225D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BD3793"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 w14:paraId="22E6A8F2">
      <w:pPr>
        <w:widowControl/>
        <w:tabs>
          <w:tab w:val="left" w:pos="1914"/>
        </w:tabs>
        <w:spacing w:line="560" w:lineRule="exact"/>
        <w:jc w:val="left"/>
        <w:rPr>
          <w:rFonts w:hint="eastAsia" w:eastAsia="宋体"/>
          <w:lang w:eastAsia="zh-CN"/>
        </w:rPr>
      </w:pPr>
    </w:p>
    <w:p w14:paraId="52E86AD7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28561DF7"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尽管本年度政府信息公开工作取得一定成效，但仍存在以下不足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主要表现在：一是部分工作人员对政府信息公开的重要性认识不足，导致信息发布不及时、不准确；二是政府信息公开的渠道和方式还需进一步拓展和优化，以便更好地满足人民群众的信息需求。</w:t>
      </w:r>
    </w:p>
    <w:p w14:paraId="0C31BDE6"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针对以上问题，我局将采取以下改进措施：一是加强培训和教育，提高全体工作人员对政府信息公开工作的认识和重视程度；二是积极拓展政府信息公开的渠道和方式，如利用新媒体平台、开展线上线下的互动活动等，提高政府信息的传播力和影响力。</w:t>
      </w:r>
    </w:p>
    <w:p w14:paraId="0FE74891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0B6E683A"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本单位依据《政府信息公开处理费管理办法》收取信息费用，2025年发出收费通知的件数0件，总金额0元。实际收取的总金额0元。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05824832"/>
    <w:rsid w:val="1D85059A"/>
    <w:rsid w:val="2AB27A49"/>
    <w:rsid w:val="31C121C0"/>
    <w:rsid w:val="390D56FC"/>
    <w:rsid w:val="3C6057A2"/>
    <w:rsid w:val="4154211D"/>
    <w:rsid w:val="44C76BF4"/>
    <w:rsid w:val="5CC70363"/>
    <w:rsid w:val="61FC300A"/>
    <w:rsid w:val="73C5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2106</Words>
  <Characters>2154</Characters>
  <Lines>0</Lines>
  <Paragraphs>0</Paragraphs>
  <TotalTime>10</TotalTime>
  <ScaleCrop>false</ScaleCrop>
  <LinksUpToDate>false</LinksUpToDate>
  <CharactersWithSpaces>2154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WPS_1717489222</cp:lastModifiedBy>
  <cp:lastPrinted>2026-01-07T08:07:00Z</cp:lastPrinted>
  <dcterms:modified xsi:type="dcterms:W3CDTF">2026-01-19T08:59:27Z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32105E28A0554607B7DED88722D8CD9E_13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