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北京市丰台区水务局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2023年政府信息公开工作年度报告</w:t>
      </w:r>
    </w:p>
    <w:p>
      <w:pPr>
        <w:widowControl/>
        <w:spacing w:line="560" w:lineRule="exact"/>
        <w:jc w:val="left"/>
        <w:rPr>
          <w:rFonts w:hint="eastAsia" w:ascii="微软雅黑" w:hAnsi="微软雅黑" w:eastAsia="微软雅黑" w:cs="宋体"/>
          <w:color w:val="404040"/>
          <w:kern w:val="0"/>
          <w:sz w:val="24"/>
          <w:lang w:val="en-US" w:eastAsia="zh-CN" w:bidi="ar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val="en-US" w:eastAsia="zh-CN" w:bidi="ar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 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both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(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eastAsia="zh-CN"/>
        </w:rPr>
        <w:t>一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主动公开情况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政府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主动公开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累计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eastAsia="zh-Hans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主要包括执法检查统计及计划、重点监控用水单位名录、优化营商环境等方面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依申请公开办理情况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72" w:firstLineChars="200"/>
        <w:jc w:val="both"/>
        <w:textAlignment w:val="baseline"/>
        <w:rPr>
          <w:rFonts w:hint="default" w:ascii="仿宋_GB2312" w:hAnsi="仿宋_GB2312" w:eastAsia="仿宋_GB2312" w:cs="仿宋_GB2312"/>
          <w:spacing w:val="8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共受理申请公开事项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。无败诉情况。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政府信息资源的规范化、标准化管理情况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1.行政事项办理情况。2023年度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共受理行政许可事项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238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项，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均已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办结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，办结率为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信访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接访办理情况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全年共接访信件6件次，复查1件次，不予受理2件次。均在规定时间内回复。同时为优化信访接访渠道，我局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公开举报热线电话，实行24小时值班制度，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并设立领导接访日，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随时受理群众的举报。对日常工作中受理的一般来电、来信、来访举报，有专人受理，专人调处，处理后及时向举报人反馈处理意见；对反映强烈、矛盾突出的重点水务纠纷，局主要领导、分管领导都亲自组织协调处理，尽可能在最短的时间内化解矛盾，妥善解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依法行政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。作为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行政执法部门，严格按照国家水务法律法规要求，在执法程序上和规范上不断加以改进。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全年共办理行政处罚395件，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切实贯彻落实行政执法责任制，认真执行行政处罚事先告知制度和听证制度，实行调罚分离和罚缴分离制度，实行行政处罚公示制度处理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执法与服务的关系，推行人性化执法与服务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政府信息公开监督保障及教育培训情况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Hans"/>
        </w:rPr>
        <w:t>进一步加强对《政府信息公开条例》的学习培训，掌握《条例》规定,提升对政府信息公开的认识，有效提升工作能力，扎实做好政府信息公开工作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(五)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北京市丰台区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年政务公开工作要点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情况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本年度主动公开了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Hans"/>
        </w:rPr>
        <w:t>重大行政执法决定事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项目录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实施程序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立案依据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执法人员信息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执法服装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等，做到执法信息公开透明。</w:t>
      </w: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二、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238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17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</w:t>
            </w:r>
          </w:p>
        </w:tc>
      </w:tr>
    </w:tbl>
    <w:p/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一是政务公开的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内容较为单一，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对公众关心的热点、焦点问题信息关注、回应不够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二是政务公开数量不多，信息质量有待提高；三是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组织建设仍需加改进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，需配备专业领域人才。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二是信息公开类型及内容覆盖不够全面，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进一步拓展和深化信息公开的内容和范围，努力提高信息公开的质量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。三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是依法主动公开意识有待增强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eastAsia="zh-CN"/>
        </w:rPr>
        <w:t>，需提高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对政府信息公开工作的重要性认识。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发出收费通知的件数和总金额以及实际收取的总金额均为0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北京市丰台区水务局门户网站网址为http://www.bjft.gov.cn/ftq/xxfb/zwxx_tjtb.shtml，如需了解更多政府信息，请登录查询。</w:t>
      </w:r>
    </w:p>
    <w:p>
      <w:pPr>
        <w:pStyle w:val="4"/>
        <w:widowControl/>
        <w:spacing w:line="560" w:lineRule="exact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</w:p>
    <w:p>
      <w:pPr>
        <w:pStyle w:val="2"/>
        <w:jc w:val="right"/>
        <w:rPr>
          <w:rFonts w:hint="default" w:ascii="仿宋_GB2312" w:hAnsi="仿宋_GB2312" w:eastAsia="仿宋_GB2312" w:cs="仿宋_GB2312"/>
          <w:color w:val="404040"/>
          <w:kern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42A7CDE"/>
    <w:rsid w:val="0B5B6E2A"/>
    <w:rsid w:val="16CD7BCE"/>
    <w:rsid w:val="22440EF2"/>
    <w:rsid w:val="3A634561"/>
    <w:rsid w:val="44164CE2"/>
    <w:rsid w:val="46A92D02"/>
    <w:rsid w:val="7D28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Plain Text"/>
    <w:basedOn w:val="1"/>
    <w:next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1782</Words>
  <Characters>1878</Characters>
  <Lines>0</Lines>
  <Paragraphs>0</Paragraphs>
  <TotalTime>32</TotalTime>
  <ScaleCrop>false</ScaleCrop>
  <LinksUpToDate>false</LinksUpToDate>
  <CharactersWithSpaces>1899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W。Y</cp:lastModifiedBy>
  <dcterms:modified xsi:type="dcterms:W3CDTF">2024-12-03T09:44:51Z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2CE85D57F1AF48EB93787A55E05929E0</vt:lpwstr>
  </property>
</Properties>
</file>