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北京市丰台区水务局2022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5"/>
        <w:jc w:val="left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</w:pPr>
      <w:r>
        <w:rPr>
          <w:rFonts w:hint="eastAsia" w:eastAsia="仿宋_GB2312" w:cs="Times New Roman"/>
          <w:spacing w:val="8"/>
          <w:kern w:val="0"/>
          <w:sz w:val="32"/>
          <w:szCs w:val="32"/>
          <w:lang w:val="en-US" w:eastAsia="zh-CN"/>
        </w:rPr>
        <w:t>(</w:t>
      </w:r>
      <w:r>
        <w:rPr>
          <w:rFonts w:hint="eastAsia" w:eastAsia="仿宋_GB2312" w:cs="Times New Roman"/>
          <w:spacing w:val="8"/>
          <w:kern w:val="0"/>
          <w:sz w:val="32"/>
          <w:szCs w:val="32"/>
          <w:lang w:eastAsia="zh-CN"/>
        </w:rPr>
        <w:t>一</w:t>
      </w:r>
      <w:r>
        <w:rPr>
          <w:rFonts w:hint="eastAsia" w:eastAsia="仿宋_GB2312" w:cs="Times New Roman"/>
          <w:spacing w:val="8"/>
          <w:kern w:val="0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主动公开情况</w:t>
      </w:r>
    </w:p>
    <w:p>
      <w:pPr>
        <w:widowControl/>
        <w:spacing w:line="560" w:lineRule="exact"/>
        <w:ind w:firstLine="675"/>
        <w:jc w:val="left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2022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年，北京市丰台区水务局累计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Hans"/>
        </w:rPr>
        <w:t>主动公开政府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u w:val="none"/>
          <w:lang w:eastAsia="zh-Hans"/>
        </w:rPr>
        <w:t>信息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62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u w:val="none"/>
          <w:lang w:eastAsia="zh-Hans"/>
        </w:rPr>
        <w:t>条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Hans"/>
        </w:rPr>
        <w:t>，其中“首都之窗</w:t>
      </w:r>
      <w:r>
        <w:rPr>
          <w:rFonts w:ascii="仿宋_GB2312" w:hAnsi="ˎ̥,arial" w:eastAsia="仿宋_GB2312" w:cs="宋体"/>
          <w:color w:val="000000"/>
          <w:kern w:val="0"/>
          <w:szCs w:val="32"/>
          <w:highlight w:val="none"/>
          <w:lang w:eastAsia="zh-Hans"/>
        </w:rPr>
        <w:t>”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Hans"/>
        </w:rPr>
        <w:t>作为重点对外</w:t>
      </w:r>
      <w:r>
        <w:rPr>
          <w:rFonts w:ascii="仿宋_GB2312" w:hAnsi="ˎ̥,arial" w:eastAsia="仿宋_GB2312" w:cs="宋体"/>
          <w:color w:val="000000"/>
          <w:kern w:val="0"/>
          <w:szCs w:val="32"/>
          <w:highlight w:val="none"/>
          <w:lang w:eastAsia="zh-Hans"/>
        </w:rPr>
        <w:t>公开窗口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Hans"/>
        </w:rPr>
        <w:t>，共</w:t>
      </w:r>
      <w:r>
        <w:rPr>
          <w:rFonts w:ascii="仿宋_GB2312" w:hAnsi="ˎ̥,arial" w:eastAsia="仿宋_GB2312" w:cs="宋体"/>
          <w:color w:val="000000"/>
          <w:kern w:val="0"/>
          <w:szCs w:val="32"/>
          <w:highlight w:val="none"/>
          <w:lang w:eastAsia="zh-Hans"/>
        </w:rPr>
        <w:t>公开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Hans"/>
        </w:rPr>
        <w:t>机构</w:t>
      </w:r>
      <w:r>
        <w:rPr>
          <w:rFonts w:ascii="仿宋_GB2312" w:hAnsi="ˎ̥,arial" w:eastAsia="仿宋_GB2312" w:cs="宋体"/>
          <w:color w:val="000000"/>
          <w:kern w:val="0"/>
          <w:szCs w:val="32"/>
          <w:highlight w:val="none"/>
          <w:lang w:eastAsia="zh-Hans"/>
        </w:rPr>
        <w:t>职能类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Hans"/>
        </w:rPr>
        <w:t>信息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val="en-US" w:eastAsia="zh-CN"/>
        </w:rPr>
        <w:t>1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Hans"/>
        </w:rPr>
        <w:t>条。</w:t>
      </w:r>
    </w:p>
    <w:p>
      <w:pPr>
        <w:widowControl/>
        <w:spacing w:line="560" w:lineRule="exact"/>
        <w:ind w:firstLine="675"/>
        <w:jc w:val="left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</w:pPr>
      <w:r>
        <w:rPr>
          <w:rFonts w:hint="eastAsia" w:eastAsia="仿宋_GB2312" w:cs="Times New Roman"/>
          <w:spacing w:val="8"/>
          <w:kern w:val="0"/>
          <w:sz w:val="32"/>
          <w:szCs w:val="32"/>
          <w:lang w:val="en-US" w:eastAsia="zh-CN"/>
        </w:rPr>
        <w:t>(</w:t>
      </w:r>
      <w:r>
        <w:rPr>
          <w:rFonts w:hint="eastAsia" w:eastAsia="仿宋_GB2312" w:cs="Times New Roman"/>
          <w:spacing w:val="8"/>
          <w:kern w:val="0"/>
          <w:sz w:val="32"/>
          <w:szCs w:val="32"/>
          <w:lang w:eastAsia="zh-CN"/>
        </w:rPr>
        <w:t>二</w:t>
      </w:r>
      <w:r>
        <w:rPr>
          <w:rFonts w:hint="eastAsia" w:eastAsia="仿宋_GB2312" w:cs="Times New Roman"/>
          <w:spacing w:val="8"/>
          <w:kern w:val="0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依申请公开办理情况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672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2022</w:t>
      </w:r>
      <w:r>
        <w:rPr>
          <w:rFonts w:hint="default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年</w:t>
      </w:r>
      <w:bookmarkEnd w:id="0"/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，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Hans"/>
        </w:rPr>
        <w:t>共</w:t>
      </w:r>
      <w:r>
        <w:rPr>
          <w:rFonts w:ascii="仿宋_GB2312" w:hAnsi="ˎ̥,arial" w:eastAsia="仿宋_GB2312" w:cs="宋体"/>
          <w:color w:val="000000"/>
          <w:kern w:val="0"/>
          <w:szCs w:val="32"/>
          <w:highlight w:val="none"/>
          <w:lang w:eastAsia="zh-Hans"/>
        </w:rPr>
        <w:t>受理申请公开事项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val="en-US" w:eastAsia="zh-CN"/>
        </w:rPr>
        <w:t>32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Hans"/>
        </w:rPr>
        <w:t>项</w:t>
      </w:r>
      <w:r>
        <w:rPr>
          <w:rFonts w:ascii="仿宋_GB2312" w:hAnsi="ˎ̥,arial" w:eastAsia="仿宋_GB2312" w:cs="宋体"/>
          <w:color w:val="000000"/>
          <w:kern w:val="0"/>
          <w:szCs w:val="32"/>
          <w:highlight w:val="none"/>
          <w:lang w:eastAsia="zh-Hans"/>
        </w:rPr>
        <w:t>，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CN"/>
        </w:rPr>
        <w:t>受理依申请复议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val="en-US" w:eastAsia="zh-CN"/>
        </w:rPr>
        <w:t>1项。</w:t>
      </w:r>
    </w:p>
    <w:p>
      <w:pPr>
        <w:widowControl/>
        <w:spacing w:line="560" w:lineRule="exact"/>
        <w:ind w:firstLine="675"/>
        <w:jc w:val="left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</w:pPr>
      <w:r>
        <w:rPr>
          <w:rFonts w:hint="eastAsia" w:eastAsia="仿宋_GB2312" w:cs="Times New Roman"/>
          <w:spacing w:val="8"/>
          <w:kern w:val="0"/>
          <w:sz w:val="32"/>
          <w:szCs w:val="32"/>
          <w:lang w:val="en-US" w:eastAsia="zh-CN"/>
        </w:rPr>
        <w:t>(</w:t>
      </w:r>
      <w:r>
        <w:rPr>
          <w:rFonts w:hint="eastAsia" w:eastAsia="仿宋_GB2312" w:cs="Times New Roman"/>
          <w:spacing w:val="8"/>
          <w:kern w:val="0"/>
          <w:sz w:val="32"/>
          <w:szCs w:val="32"/>
          <w:lang w:eastAsia="zh-CN"/>
        </w:rPr>
        <w:t>三</w:t>
      </w:r>
      <w:r>
        <w:rPr>
          <w:rFonts w:hint="eastAsia" w:eastAsia="仿宋_GB2312" w:cs="Times New Roman"/>
          <w:spacing w:val="8"/>
          <w:kern w:val="0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政府信息资源的规范化、标准化管理情况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640" w:firstLineChars="200"/>
        <w:jc w:val="both"/>
        <w:textAlignment w:val="baseline"/>
        <w:rPr>
          <w:rFonts w:hint="default" w:ascii="仿宋_GB2312" w:hAnsi="ˎ̥,arial" w:eastAsia="仿宋_GB2312" w:cs="宋体"/>
          <w:color w:val="000000"/>
          <w:kern w:val="0"/>
          <w:szCs w:val="32"/>
          <w:highlight w:val="none"/>
          <w:lang w:eastAsia="zh-Hans"/>
        </w:rPr>
      </w:pP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CN"/>
        </w:rPr>
        <w:t>一是行政许可工作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Hans"/>
        </w:rPr>
        <w:t>。今年，我局共受理行政许可事项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val="en-US" w:eastAsia="zh-CN"/>
        </w:rPr>
        <w:t>322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Hans"/>
        </w:rPr>
        <w:t>项，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CN"/>
        </w:rPr>
        <w:t>全部办结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Hans"/>
        </w:rPr>
        <w:t>，办结率为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val="en-US" w:eastAsia="zh-CN"/>
        </w:rPr>
        <w:t>100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Hans"/>
        </w:rPr>
        <w:t>%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CN"/>
        </w:rPr>
        <w:t>。二是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Hans"/>
        </w:rPr>
        <w:t>水务信访工作。公开举报热线电话，实行24小时值班制度，随时受理群众的环境危害举报。对日常工作中受理的一般来电、来信、来访举报，有专人受理，专人调处，处理后及时向举报人反馈处理意见；对反映强烈、矛盾突出的重点水务纠纷，局主要领导、分管领导都亲自组织协调处理，尽可能在最短的时间内化解矛盾，妥善解决。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CN"/>
        </w:rPr>
        <w:t>三是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Hans"/>
        </w:rPr>
        <w:t>依法行政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CN"/>
        </w:rPr>
        <w:t>工作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Hans"/>
        </w:rPr>
        <w:t>。我局作为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CN"/>
        </w:rPr>
        <w:t>水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Hans"/>
        </w:rPr>
        <w:t>行政执法部门，严格按照国家水务法律法规要求，在执法程序上和规范上不断加以改进。切实贯彻落实行政执法责任制，认真执行行政处罚事先告知制度和听证制度，实行调罚分离和罚缴分离制度，实行行政处罚公示制度处理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CN"/>
        </w:rPr>
        <w:t>好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Hans"/>
        </w:rPr>
        <w:t>执法与服务的关系，推行人性化执法与服务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CN"/>
        </w:rPr>
        <w:t>。</w:t>
      </w:r>
    </w:p>
    <w:p>
      <w:pPr>
        <w:widowControl/>
        <w:spacing w:line="560" w:lineRule="exact"/>
        <w:ind w:firstLine="675"/>
        <w:jc w:val="left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(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政府信息公开监督保障及教育培训情况</w:t>
      </w:r>
    </w:p>
    <w:p>
      <w:pPr>
        <w:widowControl/>
        <w:spacing w:line="560" w:lineRule="exact"/>
        <w:ind w:firstLine="675"/>
        <w:jc w:val="left"/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Hans"/>
        </w:rPr>
        <w:t>采取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线上线下相结合的方式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Hans"/>
        </w:rPr>
        <w:t>，进一步加强对《政府信息公开条例》的学习培训，掌握《条例》规定, 进一步提升对政府信息公开的认识，有效提升工作能力，扎实做好政府信息公开工作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。</w:t>
      </w:r>
    </w:p>
    <w:p>
      <w:pPr>
        <w:widowControl/>
        <w:spacing w:line="560" w:lineRule="exact"/>
        <w:ind w:firstLine="675"/>
        <w:jc w:val="left"/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(五)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</w:rPr>
        <w:t>北京市丰台区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2022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</w:rPr>
        <w:t>年政务公开工作要点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  <w:t>本年度主动公开了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eastAsia="zh-Hans"/>
        </w:rPr>
        <w:t>重大行政执法决定事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Hans"/>
        </w:rPr>
        <w:t>项目录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CN"/>
        </w:rPr>
        <w:t>、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Hans"/>
        </w:rPr>
        <w:t>实施程序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CN"/>
        </w:rPr>
        <w:t>、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Hans"/>
        </w:rPr>
        <w:t>立案依据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CN"/>
        </w:rPr>
        <w:t>、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Hans"/>
        </w:rPr>
        <w:t>执法人员信息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CN"/>
        </w:rPr>
        <w:t>、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Hans"/>
        </w:rPr>
        <w:t>执法服装</w:t>
      </w:r>
      <w:r>
        <w:rPr>
          <w:rFonts w:hint="eastAsia" w:ascii="仿宋_GB2312" w:hAnsi="ˎ̥,arial" w:eastAsia="仿宋_GB2312" w:cs="宋体"/>
          <w:color w:val="000000"/>
          <w:kern w:val="0"/>
          <w:szCs w:val="32"/>
          <w:highlight w:val="none"/>
          <w:lang w:eastAsia="zh-CN"/>
        </w:rPr>
        <w:t>等，做到执法信息公开透明。</w:t>
      </w:r>
    </w:p>
    <w:p>
      <w:pPr>
        <w:pStyle w:val="2"/>
        <w:rPr>
          <w:rFonts w:hint="eastAsia"/>
          <w:lang w:eastAsia="zh-CN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1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现行有效件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13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1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ascii="楷体" w:hAnsi="楷体" w:eastAsia="楷体" w:cs="楷体"/>
                <w:kern w:val="0"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doub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163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doub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163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doub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6"/>
        <w:ind w:left="640" w:leftChars="200"/>
        <w:rPr>
          <w:rFonts w:hint="eastAsia"/>
        </w:rPr>
      </w:pPr>
    </w:p>
    <w:p>
      <w:pPr>
        <w:pStyle w:val="6"/>
        <w:ind w:left="640"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1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一是政务公开的组织建设仍需加改进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  <w:t>，需配备专业领域人才。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二是依法主动公开意识有待增强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  <w:t>，需提高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对政府信息公开工作的重要性认识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  <w:t>。三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是信息公开类型及内容覆盖不够全面，对公众关心的热点、焦点问题信息关注、回应不够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  <w:t>，需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进一步拓展和深化信息公开的内容和范围，努力提高信息公开的质量。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Times New Roman" w:hAnsi="Times New Roman" w:eastAsia="仿宋_GB2312" w:cs="Times New Roman"/>
          <w:color w:val="9BC2E6"/>
          <w:spacing w:val="8"/>
          <w:kern w:val="0"/>
          <w:sz w:val="32"/>
          <w:szCs w:val="32"/>
          <w:lang w:eastAsia="zh-CN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发出收费通知的件数和总金额以及实际收取的总金额均为0</w:t>
      </w:r>
      <w:r>
        <w:rPr>
          <w:rFonts w:hint="eastAsia" w:eastAsia="仿宋_GB2312" w:cs="Times New Roman"/>
          <w:spacing w:val="8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北京市丰台区水务局门户网站网址为http://www.bjft.gov.cn/ftq/xxfb/zwxx_tjtb.shtml，如需了解更多政府信息，请登录查询。</w:t>
      </w:r>
    </w:p>
    <w:p>
      <w:pPr>
        <w:pStyle w:val="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>
      <w:pPr>
        <w:pStyle w:val="6"/>
        <w:rPr>
          <w:rFonts w:hint="eastAsia"/>
          <w:lang w:val="en-US" w:eastAsia="zh-CN"/>
        </w:rPr>
      </w:pPr>
    </w:p>
    <w:p>
      <w:pPr>
        <w:spacing w:line="560" w:lineRule="exact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</w:t>
      </w:r>
    </w:p>
    <w:sectPr>
      <w:footerReference r:id="rId3" w:type="default"/>
      <w:footerReference r:id="rId4" w:type="even"/>
      <w:endnotePr>
        <w:numFmt w:val="decimal"/>
      </w:endnotePr>
      <w:pgSz w:w="11907" w:h="16840"/>
      <w:pgMar w:top="2098" w:right="1474" w:bottom="1984" w:left="1588" w:header="851" w:footer="737" w:gutter="0"/>
      <w:pgNumType w:fmt="numberInDash"/>
      <w:cols w:space="720" w:num="1"/>
      <w:titlePg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,aria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书体坊硬笔行书3500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</w:pPr>
    <w:r>
      <w:rPr>
        <w:rStyle w:val="16"/>
        <w:rFonts w:hint="eastAsia"/>
        <w:sz w:val="28"/>
        <w:szCs w:val="28"/>
      </w:rPr>
      <w:t>—</w:t>
    </w:r>
    <w:r>
      <w:rPr>
        <w:rFonts w:ascii="宋体" w:hAnsi="宋体"/>
        <w:sz w:val="28"/>
        <w:szCs w:val="28"/>
        <w:lang w:eastAsia="en-US"/>
      </w:rPr>
      <w:fldChar w:fldCharType="begin"/>
    </w:r>
    <w:r>
      <w:rPr>
        <w:rFonts w:ascii="宋体" w:hAnsi="宋体"/>
        <w:sz w:val="28"/>
        <w:szCs w:val="28"/>
        <w:lang w:eastAsia="en-US"/>
      </w:rPr>
      <w:instrText xml:space="preserve"> PAGE </w:instrText>
    </w:r>
    <w:r>
      <w:rPr>
        <w:rFonts w:ascii="宋体" w:hAnsi="宋体"/>
        <w:sz w:val="28"/>
        <w:szCs w:val="28"/>
        <w:lang w:eastAsia="en-US"/>
      </w:rPr>
      <w:fldChar w:fldCharType="separate"/>
    </w:r>
    <w:r>
      <w:rPr>
        <w:rFonts w:ascii="宋体" w:hAnsi="宋体"/>
        <w:sz w:val="28"/>
        <w:szCs w:val="28"/>
        <w:lang w:eastAsia="en-US"/>
      </w:rPr>
      <w:t>- 3 -</w:t>
    </w:r>
    <w:r>
      <w:rPr>
        <w:rFonts w:ascii="宋体" w:hAnsi="宋体"/>
        <w:sz w:val="28"/>
        <w:szCs w:val="28"/>
        <w:lang w:eastAsia="en-US"/>
      </w:rPr>
      <w:fldChar w:fldCharType="end"/>
    </w:r>
    <w:r>
      <w:rPr>
        <w:rStyle w:val="16"/>
        <w:rFonts w:hint="eastAsia"/>
        <w:sz w:val="28"/>
        <w:szCs w:val="28"/>
      </w:rPr>
      <w:t xml:space="preserve">—  </w:t>
    </w:r>
  </w:p>
  <w:p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404238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10"/>
          <w:ind w:right="360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10"/>
      <w:ind w:right="360" w:firstLine="360"/>
      <w:rPr>
        <w:rFonts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evenAndOddHeaders w:val="1"/>
  <w:drawingGridHorizontalSpacing w:val="320"/>
  <w:drawingGridVerticalSpacing w:val="579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03"/>
    <w:rsid w:val="0001426C"/>
    <w:rsid w:val="00016E78"/>
    <w:rsid w:val="00020F05"/>
    <w:rsid w:val="000413F4"/>
    <w:rsid w:val="00045278"/>
    <w:rsid w:val="0005437D"/>
    <w:rsid w:val="00055570"/>
    <w:rsid w:val="0006405F"/>
    <w:rsid w:val="00065816"/>
    <w:rsid w:val="00073446"/>
    <w:rsid w:val="00081512"/>
    <w:rsid w:val="0008254A"/>
    <w:rsid w:val="00090BFB"/>
    <w:rsid w:val="00097419"/>
    <w:rsid w:val="000A7221"/>
    <w:rsid w:val="000B42F6"/>
    <w:rsid w:val="000D012C"/>
    <w:rsid w:val="000D58E0"/>
    <w:rsid w:val="000E3E26"/>
    <w:rsid w:val="000F3971"/>
    <w:rsid w:val="00122D5A"/>
    <w:rsid w:val="00125701"/>
    <w:rsid w:val="00127136"/>
    <w:rsid w:val="0013069E"/>
    <w:rsid w:val="001332BD"/>
    <w:rsid w:val="00155DE1"/>
    <w:rsid w:val="00156B3A"/>
    <w:rsid w:val="00165368"/>
    <w:rsid w:val="001734DA"/>
    <w:rsid w:val="001A3267"/>
    <w:rsid w:val="001A5AEE"/>
    <w:rsid w:val="001A77E6"/>
    <w:rsid w:val="001E17A1"/>
    <w:rsid w:val="00212226"/>
    <w:rsid w:val="00213BF6"/>
    <w:rsid w:val="00233BA4"/>
    <w:rsid w:val="0023443F"/>
    <w:rsid w:val="00251AAA"/>
    <w:rsid w:val="002526DD"/>
    <w:rsid w:val="00266485"/>
    <w:rsid w:val="00267E47"/>
    <w:rsid w:val="00281DE5"/>
    <w:rsid w:val="00283696"/>
    <w:rsid w:val="00283A80"/>
    <w:rsid w:val="00285E68"/>
    <w:rsid w:val="00297DDD"/>
    <w:rsid w:val="002A3ED2"/>
    <w:rsid w:val="002B6C09"/>
    <w:rsid w:val="002B7B3D"/>
    <w:rsid w:val="002D1F41"/>
    <w:rsid w:val="002E4D58"/>
    <w:rsid w:val="0030750B"/>
    <w:rsid w:val="00310446"/>
    <w:rsid w:val="00312243"/>
    <w:rsid w:val="00315D19"/>
    <w:rsid w:val="0031609C"/>
    <w:rsid w:val="00321015"/>
    <w:rsid w:val="0032207F"/>
    <w:rsid w:val="00323D2B"/>
    <w:rsid w:val="00324F78"/>
    <w:rsid w:val="00350EBE"/>
    <w:rsid w:val="00375EDD"/>
    <w:rsid w:val="00383767"/>
    <w:rsid w:val="00384B5C"/>
    <w:rsid w:val="00392EC2"/>
    <w:rsid w:val="0039458C"/>
    <w:rsid w:val="00395504"/>
    <w:rsid w:val="003A132A"/>
    <w:rsid w:val="003A2C54"/>
    <w:rsid w:val="003B34D1"/>
    <w:rsid w:val="003C56CF"/>
    <w:rsid w:val="003C72CA"/>
    <w:rsid w:val="003D4CA2"/>
    <w:rsid w:val="003D7951"/>
    <w:rsid w:val="00405CAE"/>
    <w:rsid w:val="00434709"/>
    <w:rsid w:val="00440D30"/>
    <w:rsid w:val="0044222A"/>
    <w:rsid w:val="004526F4"/>
    <w:rsid w:val="00455CC0"/>
    <w:rsid w:val="00457C1A"/>
    <w:rsid w:val="004814EC"/>
    <w:rsid w:val="004A3A8A"/>
    <w:rsid w:val="004A4DAA"/>
    <w:rsid w:val="004A596F"/>
    <w:rsid w:val="004B3FD9"/>
    <w:rsid w:val="004B548D"/>
    <w:rsid w:val="005058F9"/>
    <w:rsid w:val="00536B93"/>
    <w:rsid w:val="00537291"/>
    <w:rsid w:val="0054593D"/>
    <w:rsid w:val="00571640"/>
    <w:rsid w:val="00573BBE"/>
    <w:rsid w:val="00586F0A"/>
    <w:rsid w:val="005A1332"/>
    <w:rsid w:val="005C4885"/>
    <w:rsid w:val="005C6CFF"/>
    <w:rsid w:val="005D3EA6"/>
    <w:rsid w:val="005D5F41"/>
    <w:rsid w:val="005E402C"/>
    <w:rsid w:val="005F07CB"/>
    <w:rsid w:val="006109F5"/>
    <w:rsid w:val="00616C17"/>
    <w:rsid w:val="006258DD"/>
    <w:rsid w:val="00626B04"/>
    <w:rsid w:val="00641F35"/>
    <w:rsid w:val="00664950"/>
    <w:rsid w:val="0066547E"/>
    <w:rsid w:val="00673424"/>
    <w:rsid w:val="00694DA9"/>
    <w:rsid w:val="00696A94"/>
    <w:rsid w:val="00697A4A"/>
    <w:rsid w:val="00697DAC"/>
    <w:rsid w:val="006A0D17"/>
    <w:rsid w:val="006A1900"/>
    <w:rsid w:val="006A3CDB"/>
    <w:rsid w:val="006B1B1B"/>
    <w:rsid w:val="006B4E27"/>
    <w:rsid w:val="006D23C4"/>
    <w:rsid w:val="006E5C33"/>
    <w:rsid w:val="00700CC2"/>
    <w:rsid w:val="007103C2"/>
    <w:rsid w:val="0071044A"/>
    <w:rsid w:val="00713BDC"/>
    <w:rsid w:val="0071558E"/>
    <w:rsid w:val="0072048B"/>
    <w:rsid w:val="00721B0B"/>
    <w:rsid w:val="0073204C"/>
    <w:rsid w:val="007323C1"/>
    <w:rsid w:val="00756414"/>
    <w:rsid w:val="00760061"/>
    <w:rsid w:val="007602DE"/>
    <w:rsid w:val="00764616"/>
    <w:rsid w:val="007A5ED6"/>
    <w:rsid w:val="007B7DBA"/>
    <w:rsid w:val="007C42D6"/>
    <w:rsid w:val="007D1197"/>
    <w:rsid w:val="007E6E4C"/>
    <w:rsid w:val="00800205"/>
    <w:rsid w:val="008163B5"/>
    <w:rsid w:val="00816C87"/>
    <w:rsid w:val="0083080E"/>
    <w:rsid w:val="00837AC9"/>
    <w:rsid w:val="00844C7E"/>
    <w:rsid w:val="00852737"/>
    <w:rsid w:val="00865538"/>
    <w:rsid w:val="0086749D"/>
    <w:rsid w:val="00892F3A"/>
    <w:rsid w:val="0089641F"/>
    <w:rsid w:val="00897903"/>
    <w:rsid w:val="008A00C4"/>
    <w:rsid w:val="008B03A9"/>
    <w:rsid w:val="008B1EB6"/>
    <w:rsid w:val="008C2DF1"/>
    <w:rsid w:val="008C4161"/>
    <w:rsid w:val="008D1C5C"/>
    <w:rsid w:val="008D36DF"/>
    <w:rsid w:val="008D4C4A"/>
    <w:rsid w:val="008E036E"/>
    <w:rsid w:val="00901458"/>
    <w:rsid w:val="00917CA3"/>
    <w:rsid w:val="009326F3"/>
    <w:rsid w:val="00944B2B"/>
    <w:rsid w:val="00945238"/>
    <w:rsid w:val="00946E47"/>
    <w:rsid w:val="00947776"/>
    <w:rsid w:val="00952FDA"/>
    <w:rsid w:val="009647D5"/>
    <w:rsid w:val="00981E99"/>
    <w:rsid w:val="00993421"/>
    <w:rsid w:val="00993435"/>
    <w:rsid w:val="009A6CB9"/>
    <w:rsid w:val="009B64D0"/>
    <w:rsid w:val="009D5596"/>
    <w:rsid w:val="009E36D2"/>
    <w:rsid w:val="009E7E47"/>
    <w:rsid w:val="009F42BD"/>
    <w:rsid w:val="00A00F1B"/>
    <w:rsid w:val="00A019E7"/>
    <w:rsid w:val="00A163E5"/>
    <w:rsid w:val="00A368AD"/>
    <w:rsid w:val="00A410D8"/>
    <w:rsid w:val="00A42BDB"/>
    <w:rsid w:val="00A5449E"/>
    <w:rsid w:val="00A664FD"/>
    <w:rsid w:val="00A80ED4"/>
    <w:rsid w:val="00A85982"/>
    <w:rsid w:val="00A917FA"/>
    <w:rsid w:val="00AA2BE5"/>
    <w:rsid w:val="00AA5EC3"/>
    <w:rsid w:val="00AB1B51"/>
    <w:rsid w:val="00AC76E6"/>
    <w:rsid w:val="00AD0D0C"/>
    <w:rsid w:val="00AD1529"/>
    <w:rsid w:val="00AE478E"/>
    <w:rsid w:val="00AE6095"/>
    <w:rsid w:val="00AE6734"/>
    <w:rsid w:val="00AF3093"/>
    <w:rsid w:val="00AF3FAD"/>
    <w:rsid w:val="00AF5031"/>
    <w:rsid w:val="00B020F8"/>
    <w:rsid w:val="00B066C1"/>
    <w:rsid w:val="00B10279"/>
    <w:rsid w:val="00B116AD"/>
    <w:rsid w:val="00B22678"/>
    <w:rsid w:val="00B2282A"/>
    <w:rsid w:val="00B23C55"/>
    <w:rsid w:val="00B759DA"/>
    <w:rsid w:val="00B75B08"/>
    <w:rsid w:val="00B820D3"/>
    <w:rsid w:val="00B86FDB"/>
    <w:rsid w:val="00B934DE"/>
    <w:rsid w:val="00BC1BF6"/>
    <w:rsid w:val="00BE1783"/>
    <w:rsid w:val="00C011AC"/>
    <w:rsid w:val="00C053C8"/>
    <w:rsid w:val="00C1107A"/>
    <w:rsid w:val="00C33590"/>
    <w:rsid w:val="00C36FFF"/>
    <w:rsid w:val="00C50F40"/>
    <w:rsid w:val="00C515CE"/>
    <w:rsid w:val="00C5231D"/>
    <w:rsid w:val="00C64F30"/>
    <w:rsid w:val="00C712AB"/>
    <w:rsid w:val="00C76F0A"/>
    <w:rsid w:val="00CA4513"/>
    <w:rsid w:val="00CE02FB"/>
    <w:rsid w:val="00D01B3C"/>
    <w:rsid w:val="00D22AC8"/>
    <w:rsid w:val="00D25DEE"/>
    <w:rsid w:val="00D4427A"/>
    <w:rsid w:val="00D449E2"/>
    <w:rsid w:val="00D47C17"/>
    <w:rsid w:val="00D52DE4"/>
    <w:rsid w:val="00D5545E"/>
    <w:rsid w:val="00D57483"/>
    <w:rsid w:val="00D64457"/>
    <w:rsid w:val="00D668C8"/>
    <w:rsid w:val="00D9597C"/>
    <w:rsid w:val="00D974E0"/>
    <w:rsid w:val="00DB5A6A"/>
    <w:rsid w:val="00DD0FB3"/>
    <w:rsid w:val="00DF2070"/>
    <w:rsid w:val="00DF25DD"/>
    <w:rsid w:val="00E148FF"/>
    <w:rsid w:val="00E15156"/>
    <w:rsid w:val="00E27A08"/>
    <w:rsid w:val="00E31786"/>
    <w:rsid w:val="00E4033D"/>
    <w:rsid w:val="00E40AC0"/>
    <w:rsid w:val="00E43B75"/>
    <w:rsid w:val="00E441C9"/>
    <w:rsid w:val="00E45412"/>
    <w:rsid w:val="00E50B59"/>
    <w:rsid w:val="00E64036"/>
    <w:rsid w:val="00E67985"/>
    <w:rsid w:val="00E7208C"/>
    <w:rsid w:val="00E81EDD"/>
    <w:rsid w:val="00E908E6"/>
    <w:rsid w:val="00E922D5"/>
    <w:rsid w:val="00EB16EB"/>
    <w:rsid w:val="00EC11A8"/>
    <w:rsid w:val="00ED1E07"/>
    <w:rsid w:val="00ED378E"/>
    <w:rsid w:val="00EE17A7"/>
    <w:rsid w:val="00EF5A6C"/>
    <w:rsid w:val="00F01EB1"/>
    <w:rsid w:val="00F044B3"/>
    <w:rsid w:val="00F07C94"/>
    <w:rsid w:val="00F23604"/>
    <w:rsid w:val="00F27B58"/>
    <w:rsid w:val="00F50791"/>
    <w:rsid w:val="00F54FD3"/>
    <w:rsid w:val="00F73305"/>
    <w:rsid w:val="00F73CD1"/>
    <w:rsid w:val="00F82ED8"/>
    <w:rsid w:val="00F9080B"/>
    <w:rsid w:val="00F946F0"/>
    <w:rsid w:val="00F949BE"/>
    <w:rsid w:val="00F96CE3"/>
    <w:rsid w:val="00FA0A5B"/>
    <w:rsid w:val="00FA5194"/>
    <w:rsid w:val="00FB574D"/>
    <w:rsid w:val="00FC0420"/>
    <w:rsid w:val="00FD050B"/>
    <w:rsid w:val="00FE6E62"/>
    <w:rsid w:val="00FE7BA3"/>
    <w:rsid w:val="00FF4093"/>
    <w:rsid w:val="00FF5EF0"/>
    <w:rsid w:val="01C748DC"/>
    <w:rsid w:val="050D3985"/>
    <w:rsid w:val="0B485B37"/>
    <w:rsid w:val="0BA621D6"/>
    <w:rsid w:val="0C2000A9"/>
    <w:rsid w:val="0C3D70EB"/>
    <w:rsid w:val="0EDA140A"/>
    <w:rsid w:val="0FEC2571"/>
    <w:rsid w:val="11354FE0"/>
    <w:rsid w:val="13196CD2"/>
    <w:rsid w:val="1777437B"/>
    <w:rsid w:val="1D0836F3"/>
    <w:rsid w:val="208C3707"/>
    <w:rsid w:val="21683990"/>
    <w:rsid w:val="21985CAA"/>
    <w:rsid w:val="21DC3351"/>
    <w:rsid w:val="237964E5"/>
    <w:rsid w:val="2390167A"/>
    <w:rsid w:val="3211703E"/>
    <w:rsid w:val="32FE2D34"/>
    <w:rsid w:val="34F6041E"/>
    <w:rsid w:val="386D5951"/>
    <w:rsid w:val="39326F05"/>
    <w:rsid w:val="3A0F0CC4"/>
    <w:rsid w:val="3FB05BDE"/>
    <w:rsid w:val="41CD1A35"/>
    <w:rsid w:val="41EF506F"/>
    <w:rsid w:val="420838E5"/>
    <w:rsid w:val="46851C60"/>
    <w:rsid w:val="47326F04"/>
    <w:rsid w:val="4FEC2BA8"/>
    <w:rsid w:val="52E249E3"/>
    <w:rsid w:val="54F27962"/>
    <w:rsid w:val="553C5E7E"/>
    <w:rsid w:val="6029617B"/>
    <w:rsid w:val="6430090C"/>
    <w:rsid w:val="66DB784C"/>
    <w:rsid w:val="67FD0B94"/>
    <w:rsid w:val="6CC621EC"/>
    <w:rsid w:val="6D0C396A"/>
    <w:rsid w:val="70BB7555"/>
    <w:rsid w:val="73D75E72"/>
    <w:rsid w:val="746349FD"/>
    <w:rsid w:val="77D07954"/>
    <w:rsid w:val="79C97364"/>
    <w:rsid w:val="7E3B5127"/>
    <w:rsid w:val="7EED13B8"/>
    <w:rsid w:val="7FB003B2"/>
    <w:rsid w:val="7FF6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jc w:val="center"/>
    </w:pPr>
  </w:style>
  <w:style w:type="paragraph" w:styleId="4">
    <w:name w:val="Body Text Indent"/>
    <w:basedOn w:val="1"/>
    <w:qFormat/>
    <w:uiPriority w:val="0"/>
    <w:pPr>
      <w:ind w:firstLine="645"/>
    </w:pPr>
    <w:rPr>
      <w:rFonts w:ascii="楷体_GB2312" w:eastAsia="楷体_GB2312"/>
    </w:rPr>
  </w:style>
  <w:style w:type="paragraph" w:styleId="5">
    <w:name w:val="Block Text"/>
    <w:basedOn w:val="1"/>
    <w:qFormat/>
    <w:uiPriority w:val="0"/>
    <w:pPr>
      <w:ind w:left="-224" w:right="-205" w:firstLine="210"/>
      <w:jc w:val="center"/>
    </w:pPr>
    <w:rPr>
      <w:rFonts w:ascii="黑体" w:eastAsia="黑体"/>
      <w:sz w:val="36"/>
    </w:rPr>
  </w:style>
  <w:style w:type="paragraph" w:styleId="6">
    <w:name w:val="Plain Text"/>
    <w:basedOn w:val="1"/>
    <w:qFormat/>
    <w:uiPriority w:val="0"/>
    <w:pPr>
      <w:autoSpaceDE/>
      <w:autoSpaceDN/>
      <w:adjustRightInd/>
      <w:textAlignment w:val="auto"/>
    </w:pPr>
    <w:rPr>
      <w:rFonts w:ascii="宋体" w:hAnsi="Courier New"/>
      <w:sz w:val="21"/>
    </w:rPr>
  </w:style>
  <w:style w:type="paragraph" w:styleId="7">
    <w:name w:val="Date"/>
    <w:basedOn w:val="1"/>
    <w:next w:val="1"/>
    <w:qFormat/>
    <w:uiPriority w:val="0"/>
  </w:style>
  <w:style w:type="paragraph" w:styleId="8">
    <w:name w:val="Body Text Indent 2"/>
    <w:basedOn w:val="1"/>
    <w:qFormat/>
    <w:uiPriority w:val="0"/>
    <w:pPr>
      <w:spacing w:line="600" w:lineRule="exact"/>
      <w:ind w:firstLine="600"/>
    </w:pPr>
    <w:rPr>
      <w:rFonts w:ascii="楷体_GB2312" w:eastAsia="楷体_GB2312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19"/>
    <w:qFormat/>
    <w:uiPriority w:val="99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1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</w:rPr>
  </w:style>
  <w:style w:type="paragraph" w:styleId="12">
    <w:name w:val="Body Text Indent 3"/>
    <w:basedOn w:val="1"/>
    <w:qFormat/>
    <w:uiPriority w:val="0"/>
    <w:pPr>
      <w:autoSpaceDE/>
      <w:autoSpaceDN/>
      <w:adjustRightInd/>
      <w:ind w:firstLine="630"/>
      <w:textAlignment w:val="auto"/>
    </w:pPr>
    <w:rPr>
      <w:rFonts w:eastAsia="楷体_GB2312"/>
      <w:b/>
    </w:rPr>
  </w:style>
  <w:style w:type="paragraph" w:styleId="1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6">
    <w:name w:val="page number"/>
    <w:qFormat/>
    <w:uiPriority w:val="0"/>
    <w:rPr>
      <w:sz w:val="20"/>
    </w:rPr>
  </w:style>
  <w:style w:type="paragraph" w:customStyle="1" w:styleId="17">
    <w:name w:val="Char"/>
    <w:basedOn w:val="1"/>
    <w:qFormat/>
    <w:uiPriority w:val="0"/>
    <w:pPr>
      <w:widowControl/>
      <w:autoSpaceDE/>
      <w:autoSpaceDN/>
      <w:adjustRightInd/>
      <w:spacing w:after="160" w:line="240" w:lineRule="exact"/>
      <w:jc w:val="left"/>
      <w:textAlignment w:val="auto"/>
    </w:pPr>
    <w:rPr>
      <w:sz w:val="21"/>
    </w:rPr>
  </w:style>
  <w:style w:type="character" w:customStyle="1" w:styleId="18">
    <w:name w:val="页眉 Char"/>
    <w:basedOn w:val="15"/>
    <w:link w:val="11"/>
    <w:qFormat/>
    <w:uiPriority w:val="99"/>
    <w:rPr>
      <w:kern w:val="2"/>
      <w:sz w:val="18"/>
    </w:rPr>
  </w:style>
  <w:style w:type="character" w:customStyle="1" w:styleId="19">
    <w:name w:val="页脚 Char"/>
    <w:basedOn w:val="15"/>
    <w:link w:val="10"/>
    <w:qFormat/>
    <w:uiPriority w:val="99"/>
    <w:rPr>
      <w:kern w:val="2"/>
      <w:sz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22">
    <w:name w:val="样式 首行缩进:  0.99 厘米 行距: 最小值 25 磅"/>
    <w:basedOn w:val="1"/>
    <w:link w:val="23"/>
    <w:qFormat/>
    <w:uiPriority w:val="0"/>
    <w:pPr>
      <w:autoSpaceDE/>
      <w:autoSpaceDN/>
      <w:adjustRightInd/>
      <w:spacing w:line="500" w:lineRule="atLeast"/>
      <w:ind w:firstLine="561"/>
      <w:textAlignment w:val="auto"/>
    </w:pPr>
    <w:rPr>
      <w:rFonts w:cs="宋体"/>
      <w:sz w:val="28"/>
    </w:rPr>
  </w:style>
  <w:style w:type="character" w:customStyle="1" w:styleId="23">
    <w:name w:val="样式 首行缩进:  0.99 厘米 行距: 最小值 25 磅 Char"/>
    <w:link w:val="22"/>
    <w:qFormat/>
    <w:uiPriority w:val="0"/>
    <w:rPr>
      <w:rFonts w:cs="宋体"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016;&#25919;&#20892;&#209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丰政农函</Template>
  <Company>Lenovo</Company>
  <Pages>1</Pages>
  <Words>132</Words>
  <Characters>142</Characters>
  <Lines>3</Lines>
  <Paragraphs>1</Paragraphs>
  <TotalTime>7</TotalTime>
  <ScaleCrop>false</ScaleCrop>
  <LinksUpToDate>false</LinksUpToDate>
  <CharactersWithSpaces>147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2019-12-12T09:01:00Z</dcterms:created>
  <dc:creator>USER</dc:creator>
  <cp:lastModifiedBy>XYSD</cp:lastModifiedBy>
  <cp:lastPrinted>2022-01-14T03:23:00Z</cp:lastPrinted>
  <dcterms:modified xsi:type="dcterms:W3CDTF">2023-01-18T01:18:16Z</dcterms:modified>
  <dc:title>丰台区区级领导班子和领导干部“三讲”教育“回头看”工作实施方案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