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34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北京市丰台区住房和城乡建设委员会</w:t>
      </w:r>
    </w:p>
    <w:p w14:paraId="289FC0B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55D165AA">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7E9AEFF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3695BE7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DC0253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（一）组织领导情况。</w:t>
      </w:r>
      <w:r>
        <w:rPr>
          <w:rFonts w:hint="eastAsia" w:ascii="仿宋_GB2312" w:hAnsi="仿宋_GB2312" w:eastAsia="仿宋_GB2312" w:cs="仿宋_GB2312"/>
          <w:color w:val="auto"/>
          <w:sz w:val="32"/>
          <w:szCs w:val="32"/>
          <w:highlight w:val="none"/>
        </w:rPr>
        <w:t>我单位高度重视政府信息公开工作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eastAsia="zh-CN"/>
        </w:rPr>
        <w:t>认真落实《</w:t>
      </w:r>
      <w:r>
        <w:rPr>
          <w:rFonts w:hint="eastAsia" w:ascii="仿宋_GB2312" w:hAnsi="宋体" w:eastAsia="仿宋_GB2312" w:cs="宋体"/>
          <w:spacing w:val="8"/>
          <w:kern w:val="0"/>
          <w:sz w:val="32"/>
          <w:szCs w:val="32"/>
        </w:rPr>
        <w:t>中华人民共和国政府信息公开条例</w:t>
      </w:r>
      <w:r>
        <w:rPr>
          <w:rFonts w:hint="eastAsia" w:ascii="仿宋_GB2312" w:hAnsi="仿宋_GB2312" w:eastAsia="仿宋_GB2312" w:cs="仿宋_GB2312"/>
          <w:sz w:val="32"/>
          <w:szCs w:val="32"/>
          <w:highlight w:val="none"/>
          <w:lang w:eastAsia="zh-CN"/>
        </w:rPr>
        <w:t>》。强化制度建设，修订本单位</w:t>
      </w:r>
      <w:r>
        <w:rPr>
          <w:rFonts w:hint="eastAsia" w:ascii="仿宋_GB2312" w:hAnsi="仿宋_GB2312" w:eastAsia="仿宋_GB2312" w:cs="仿宋_GB2312"/>
          <w:sz w:val="32"/>
          <w:szCs w:val="32"/>
          <w:lang w:eastAsia="zh-CN"/>
        </w:rPr>
        <w:t>政府信息公开管理制度及保密审查制度，完善依申请公开办理流程，严格执行信息公开保密审查相关流程。</w:t>
      </w:r>
    </w:p>
    <w:p w14:paraId="2B80A9C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auto"/>
          <w:sz w:val="32"/>
          <w:szCs w:val="32"/>
        </w:rPr>
        <w:t>主动</w:t>
      </w:r>
      <w:r>
        <w:rPr>
          <w:rFonts w:hint="eastAsia" w:ascii="仿宋_GB2312" w:hAnsi="仿宋_GB2312" w:eastAsia="仿宋_GB2312" w:cs="仿宋_GB2312"/>
          <w:sz w:val="32"/>
          <w:szCs w:val="32"/>
          <w:highlight w:val="none"/>
          <w:lang w:eastAsia="zh-CN"/>
        </w:rPr>
        <w:t>公开</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积极落实</w:t>
      </w:r>
      <w:r>
        <w:rPr>
          <w:rFonts w:hint="eastAsia" w:ascii="仿宋_GB2312" w:hAnsi="仿宋_GB2312" w:eastAsia="仿宋_GB2312" w:cs="仿宋_GB2312"/>
          <w:sz w:val="32"/>
          <w:szCs w:val="32"/>
          <w:highlight w:val="none"/>
          <w:lang w:eastAsia="zh-CN"/>
        </w:rPr>
        <w:t>《丰台区2025年政务服务和数据管理工作要点》中关于政府信息公开相关工作要求，</w:t>
      </w:r>
      <w:r>
        <w:rPr>
          <w:rFonts w:hint="eastAsia" w:ascii="仿宋_GB2312" w:hAnsi="仿宋_GB2312" w:eastAsia="仿宋_GB2312" w:cs="仿宋_GB2312"/>
          <w:color w:val="auto"/>
          <w:sz w:val="32"/>
          <w:szCs w:val="32"/>
          <w:lang w:val="en-US" w:eastAsia="zh-CN"/>
        </w:rPr>
        <w:t>通过</w:t>
      </w:r>
      <w:r>
        <w:rPr>
          <w:rFonts w:hint="eastAsia" w:ascii="仿宋_GB2312" w:hAnsi="仿宋_GB2312" w:eastAsia="仿宋_GB2312" w:cs="仿宋_GB2312"/>
          <w:sz w:val="32"/>
          <w:szCs w:val="32"/>
          <w:lang w:eastAsia="zh-CN"/>
        </w:rPr>
        <w:t>区政府网站、新闻媒体、微信公众号等渠道</w:t>
      </w:r>
      <w:r>
        <w:rPr>
          <w:rFonts w:hint="eastAsia" w:ascii="仿宋_GB2312" w:hAnsi="仿宋_GB2312" w:eastAsia="仿宋_GB2312" w:cs="仿宋_GB2312"/>
          <w:sz w:val="32"/>
          <w:szCs w:val="32"/>
        </w:rPr>
        <w:t>主动公开</w:t>
      </w:r>
      <w:r>
        <w:rPr>
          <w:rFonts w:hint="eastAsia" w:ascii="仿宋_GB2312" w:hAnsi="仿宋_GB2312" w:eastAsia="仿宋_GB2312" w:cs="仿宋_GB2312"/>
          <w:sz w:val="32"/>
          <w:szCs w:val="32"/>
          <w:lang w:eastAsia="zh-CN"/>
        </w:rPr>
        <w:t>各类</w:t>
      </w:r>
      <w:r>
        <w:rPr>
          <w:rFonts w:hint="eastAsia" w:ascii="仿宋_GB2312" w:hAnsi="仿宋_GB2312" w:eastAsia="仿宋_GB2312" w:cs="仿宋_GB2312"/>
          <w:sz w:val="32"/>
          <w:szCs w:val="32"/>
        </w:rPr>
        <w:t>政务信息</w:t>
      </w:r>
      <w:r>
        <w:rPr>
          <w:rFonts w:hint="eastAsia" w:ascii="仿宋_GB2312" w:hAnsi="仿宋_GB2312" w:eastAsia="仿宋_GB2312" w:cs="仿宋_GB2312"/>
          <w:sz w:val="32"/>
          <w:szCs w:val="32"/>
          <w:highlight w:val="none"/>
          <w:lang w:val="en-US" w:eastAsia="zh-CN"/>
        </w:rPr>
        <w:t>260余</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。对保障性住房建设、重点工程建设、安全生产、智能建造、城中村改造等相关重点项目建设信息及时向社会发布，公开部门权责清单、预算、决算等信息，加大住建领域工作动态的公开力度。</w:t>
      </w:r>
    </w:p>
    <w:p w14:paraId="326E85BC">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color w:val="auto"/>
          <w:sz w:val="32"/>
          <w:szCs w:val="32"/>
        </w:rPr>
        <w:t>依申请公开办理情况。</w:t>
      </w:r>
      <w:r>
        <w:rPr>
          <w:rFonts w:hint="eastAsia" w:ascii="仿宋_GB2312" w:hAnsi="仿宋_GB2312" w:eastAsia="仿宋_GB2312" w:cs="仿宋_GB2312"/>
          <w:color w:val="auto"/>
          <w:sz w:val="32"/>
          <w:szCs w:val="32"/>
          <w:lang w:eastAsia="zh-CN"/>
        </w:rPr>
        <w:t>我单位依法依规办理政府信息公开申请，本年度收到申请总数为</w:t>
      </w:r>
      <w:r>
        <w:rPr>
          <w:rFonts w:hint="eastAsia" w:ascii="仿宋_GB2312" w:hAnsi="仿宋_GB2312" w:eastAsia="仿宋_GB2312" w:cs="仿宋_GB2312"/>
          <w:color w:val="auto"/>
          <w:sz w:val="32"/>
          <w:szCs w:val="32"/>
          <w:lang w:val="en-US" w:eastAsia="zh-CN"/>
        </w:rPr>
        <w:t>722</w:t>
      </w:r>
      <w:r>
        <w:rPr>
          <w:rFonts w:hint="eastAsia" w:ascii="仿宋_GB2312" w:hAnsi="仿宋_GB2312" w:eastAsia="仿宋_GB2312" w:cs="仿宋_GB2312"/>
          <w:color w:val="auto"/>
          <w:sz w:val="32"/>
          <w:szCs w:val="32"/>
          <w:lang w:eastAsia="zh-CN"/>
        </w:rPr>
        <w:t>件。当面申请</w:t>
      </w:r>
      <w:r>
        <w:rPr>
          <w:rFonts w:hint="eastAsia" w:ascii="仿宋_GB2312" w:hAnsi="仿宋_GB2312" w:eastAsia="仿宋_GB2312" w:cs="仿宋_GB2312"/>
          <w:color w:val="auto"/>
          <w:sz w:val="32"/>
          <w:szCs w:val="32"/>
          <w:lang w:val="en-US" w:eastAsia="zh-CN"/>
        </w:rPr>
        <w:t>269</w:t>
      </w:r>
      <w:r>
        <w:rPr>
          <w:rFonts w:hint="eastAsia" w:ascii="仿宋_GB2312" w:hAnsi="仿宋_GB2312" w:eastAsia="仿宋_GB2312" w:cs="仿宋_GB2312"/>
          <w:color w:val="auto"/>
          <w:sz w:val="32"/>
          <w:szCs w:val="32"/>
          <w:lang w:eastAsia="zh-CN"/>
        </w:rPr>
        <w:t>件，占总数的37.</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%；传真申请0件，占总数的0.0%；信函申请</w:t>
      </w:r>
      <w:r>
        <w:rPr>
          <w:rFonts w:hint="eastAsia" w:ascii="仿宋_GB2312" w:hAnsi="仿宋_GB2312" w:eastAsia="仿宋_GB2312" w:cs="仿宋_GB2312"/>
          <w:color w:val="auto"/>
          <w:sz w:val="32"/>
          <w:szCs w:val="32"/>
          <w:lang w:val="en-US" w:eastAsia="zh-CN"/>
        </w:rPr>
        <w:t>350</w:t>
      </w:r>
      <w:r>
        <w:rPr>
          <w:rFonts w:hint="eastAsia" w:ascii="仿宋_GB2312" w:hAnsi="仿宋_GB2312" w:eastAsia="仿宋_GB2312" w:cs="仿宋_GB2312"/>
          <w:color w:val="auto"/>
          <w:sz w:val="32"/>
          <w:szCs w:val="32"/>
          <w:lang w:eastAsia="zh-CN"/>
        </w:rPr>
        <w:t>件，占总数的</w:t>
      </w:r>
      <w:r>
        <w:rPr>
          <w:rFonts w:hint="eastAsia" w:ascii="仿宋_GB2312" w:hAnsi="仿宋_GB2312" w:eastAsia="仿宋_GB2312" w:cs="仿宋_GB2312"/>
          <w:color w:val="auto"/>
          <w:sz w:val="32"/>
          <w:szCs w:val="32"/>
          <w:lang w:val="en-US" w:eastAsia="zh-CN"/>
        </w:rPr>
        <w:t>48.5</w:t>
      </w:r>
      <w:r>
        <w:rPr>
          <w:rFonts w:hint="eastAsia" w:ascii="仿宋_GB2312" w:hAnsi="仿宋_GB2312" w:eastAsia="仿宋_GB2312" w:cs="仿宋_GB2312"/>
          <w:color w:val="auto"/>
          <w:sz w:val="32"/>
          <w:szCs w:val="32"/>
          <w:lang w:eastAsia="zh-CN"/>
        </w:rPr>
        <w:t>%；电子邮件</w:t>
      </w: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sz w:val="32"/>
          <w:szCs w:val="32"/>
          <w:lang w:eastAsia="zh-CN"/>
        </w:rPr>
        <w:t>件，占总数的1</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color w:val="auto"/>
          <w:sz w:val="32"/>
          <w:szCs w:val="32"/>
          <w:lang w:eastAsia="zh-CN"/>
        </w:rPr>
        <w:t>%。本年度按期答复</w:t>
      </w:r>
      <w:r>
        <w:rPr>
          <w:rFonts w:hint="eastAsia" w:ascii="仿宋_GB2312" w:hAnsi="仿宋_GB2312" w:eastAsia="仿宋_GB2312" w:cs="仿宋_GB2312"/>
          <w:color w:val="auto"/>
          <w:sz w:val="32"/>
          <w:szCs w:val="32"/>
          <w:lang w:val="en-US" w:eastAsia="zh-CN"/>
        </w:rPr>
        <w:t>672</w:t>
      </w:r>
      <w:r>
        <w:rPr>
          <w:rFonts w:hint="eastAsia" w:ascii="仿宋_GB2312" w:hAnsi="仿宋_GB2312" w:eastAsia="仿宋_GB2312" w:cs="仿宋_GB2312"/>
          <w:color w:val="auto"/>
          <w:sz w:val="32"/>
          <w:szCs w:val="32"/>
          <w:lang w:eastAsia="zh-CN"/>
        </w:rPr>
        <w:t>件申请，按期答复率为100%。</w:t>
      </w:r>
    </w:p>
    <w:p w14:paraId="7196D65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（四）政府信息公开管理情况。规范政府信息公开程序标准，参照市、区两级政务公开事项清单，依据三定职责，完善我单位《政府信息主动公开全清单》。修订我单位《信息公开指南（</w:t>
      </w:r>
      <w:r>
        <w:rPr>
          <w:rFonts w:hint="eastAsia" w:ascii="仿宋_GB2312" w:hAnsi="仿宋_GB2312" w:eastAsia="仿宋_GB2312" w:cs="仿宋_GB2312"/>
          <w:sz w:val="32"/>
          <w:szCs w:val="32"/>
          <w:lang w:val="en-US" w:eastAsia="zh-CN"/>
        </w:rPr>
        <w:t>2025年版</w:t>
      </w:r>
      <w:r>
        <w:rPr>
          <w:rFonts w:hint="eastAsia" w:ascii="仿宋_GB2312" w:hAnsi="仿宋_GB2312" w:eastAsia="仿宋_GB2312" w:cs="仿宋_GB2312"/>
          <w:sz w:val="32"/>
          <w:szCs w:val="32"/>
          <w:lang w:eastAsia="zh-CN"/>
        </w:rPr>
        <w:t>）》，保持政务公开渠道畅通。</w:t>
      </w:r>
    </w:p>
    <w:p w14:paraId="43B4CC2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（五）政府信息公开平台建设情况。实时维护</w:t>
      </w:r>
      <w:r>
        <w:rPr>
          <w:rFonts w:hint="eastAsia" w:ascii="仿宋_GB2312" w:hAnsi="仿宋_GB2312" w:eastAsia="仿宋_GB2312" w:cs="仿宋_GB2312"/>
          <w:sz w:val="32"/>
          <w:szCs w:val="32"/>
          <w:lang w:val="en-US" w:eastAsia="zh-CN"/>
        </w:rPr>
        <w:t>区政府网站征收拆迁、城乡建设、保障性住房建设情况等专栏，严格执行网站信息发布审批流程，及时更新政务信息。强化政务</w:t>
      </w:r>
      <w:r>
        <w:rPr>
          <w:rFonts w:hint="eastAsia" w:ascii="仿宋_GB2312" w:hAnsi="仿宋_GB2312" w:eastAsia="仿宋_GB2312" w:cs="仿宋_GB2312"/>
          <w:sz w:val="32"/>
          <w:szCs w:val="32"/>
          <w:highlight w:val="none"/>
          <w:lang w:val="en-US" w:eastAsia="zh-CN"/>
        </w:rPr>
        <w:t>新媒体服务能力，依托《北京日报》《丰台时报》，“北京丰台”“丰台住建”公众号等媒体平台进一步扩大信息的影响力</w:t>
      </w:r>
      <w:r>
        <w:rPr>
          <w:rFonts w:hint="eastAsia" w:ascii="仿宋_GB2312" w:hAnsi="仿宋_GB2312" w:eastAsia="仿宋_GB2312" w:cs="仿宋_GB2312"/>
          <w:sz w:val="32"/>
          <w:szCs w:val="32"/>
          <w:lang w:val="en-US" w:eastAsia="zh-CN"/>
        </w:rPr>
        <w:t>。</w:t>
      </w:r>
    </w:p>
    <w:p w14:paraId="53B7C82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（六）教育培训及监督保障情况。我单位积极参加区政务服务和数据管理局组织的各项专题培训会及案例研讨会，深入领会最新的政策精神并上传下达至工作人员。</w:t>
      </w:r>
      <w:r>
        <w:rPr>
          <w:rFonts w:hint="eastAsia" w:ascii="仿宋_GB2312" w:hAnsi="仿宋_GB2312" w:eastAsia="仿宋_GB2312" w:cs="仿宋_GB2312"/>
          <w:sz w:val="32"/>
          <w:szCs w:val="32"/>
          <w:lang w:val="en-US" w:eastAsia="zh-CN"/>
        </w:rPr>
        <w:t>明确信息公开责任科室，配备专职人员负责日常事务，强化监督管理水平,保障我单位信息公开工作规范、稳定运行，切实提升政府透明度和公信力。</w:t>
      </w:r>
    </w:p>
    <w:p w14:paraId="21727189">
      <w:pPr>
        <w:keepNext w:val="0"/>
        <w:keepLines w:val="0"/>
        <w:pageBreakBefore w:val="0"/>
        <w:numPr>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tbl>
      <w:tblPr>
        <w:tblStyle w:val="4"/>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2B65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759503F8">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306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B2B0C01">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55CF28EA">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7670EFA1">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4C1F4105">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C18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4D75CAF">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403A1B5D">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4D211F49">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noWrap w:val="0"/>
            <w:tcMar>
              <w:left w:w="57" w:type="dxa"/>
              <w:right w:w="57" w:type="dxa"/>
            </w:tcMar>
            <w:vAlign w:val="center"/>
          </w:tcPr>
          <w:p w14:paraId="5EC81B55">
            <w:pPr>
              <w:widowControl/>
              <w:spacing w:line="560" w:lineRule="exact"/>
              <w:jc w:val="cente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0</w:t>
            </w:r>
          </w:p>
        </w:tc>
      </w:tr>
      <w:tr w14:paraId="4FA9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8D665A4">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77E3DFE3">
            <w:pPr>
              <w:widowControl/>
              <w:spacing w:line="560" w:lineRule="exact"/>
              <w:jc w:val="center"/>
              <w:rPr>
                <w:rFonts w:hint="eastAsia" w:eastAsia="宋体"/>
                <w:highlight w:val="none"/>
                <w:lang w:val="en-US" w:eastAsia="zh-CN"/>
              </w:rPr>
            </w:pPr>
            <w:r>
              <w:rPr>
                <w:rFonts w:hint="eastAsia" w:ascii="宋体" w:hAnsi="宋体" w:cs="宋体"/>
                <w:color w:val="000000"/>
                <w:kern w:val="0"/>
                <w:sz w:val="20"/>
                <w:szCs w:val="20"/>
                <w:highlight w:val="none"/>
                <w:lang w:val="en-US" w:eastAsia="zh-CN" w:bidi="ar"/>
              </w:rPr>
              <w:t>0</w:t>
            </w:r>
          </w:p>
        </w:tc>
        <w:tc>
          <w:tcPr>
            <w:tcW w:w="2435" w:type="dxa"/>
            <w:noWrap w:val="0"/>
            <w:tcMar>
              <w:left w:w="57" w:type="dxa"/>
              <w:right w:w="57" w:type="dxa"/>
            </w:tcMar>
            <w:vAlign w:val="center"/>
          </w:tcPr>
          <w:p w14:paraId="7743BA56">
            <w:pPr>
              <w:widowControl/>
              <w:spacing w:line="560" w:lineRule="exact"/>
              <w:jc w:val="center"/>
              <w:rPr>
                <w:rFonts w:hint="eastAsia" w:eastAsia="宋体"/>
                <w:highlight w:val="none"/>
                <w:lang w:val="en-US" w:eastAsia="zh-CN"/>
              </w:rPr>
            </w:pPr>
            <w:r>
              <w:rPr>
                <w:rFonts w:hint="eastAsia" w:ascii="宋体" w:hAnsi="宋体" w:cs="宋体"/>
                <w:color w:val="000000"/>
                <w:kern w:val="0"/>
                <w:sz w:val="20"/>
                <w:szCs w:val="20"/>
                <w:highlight w:val="none"/>
                <w:lang w:val="en-US" w:eastAsia="zh-CN" w:bidi="ar"/>
              </w:rPr>
              <w:t>0</w:t>
            </w:r>
          </w:p>
        </w:tc>
        <w:tc>
          <w:tcPr>
            <w:tcW w:w="2435" w:type="dxa"/>
            <w:noWrap w:val="0"/>
            <w:tcMar>
              <w:left w:w="57" w:type="dxa"/>
              <w:right w:w="57" w:type="dxa"/>
            </w:tcMar>
            <w:vAlign w:val="center"/>
          </w:tcPr>
          <w:p w14:paraId="74F773C6">
            <w:pPr>
              <w:widowControl/>
              <w:spacing w:line="560" w:lineRule="exact"/>
              <w:jc w:val="center"/>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r>
      <w:tr w14:paraId="5516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2676F3A5">
            <w:pPr>
              <w:widowControl/>
              <w:spacing w:line="560" w:lineRule="exact"/>
              <w:jc w:val="center"/>
            </w:pPr>
            <w:r>
              <w:rPr>
                <w:rFonts w:hint="eastAsia" w:ascii="宋体" w:hAnsi="宋体" w:cs="宋体"/>
                <w:color w:val="000000"/>
                <w:kern w:val="0"/>
                <w:sz w:val="20"/>
                <w:szCs w:val="20"/>
                <w:lang w:bidi="ar"/>
              </w:rPr>
              <w:t>第二十条第（五）项</w:t>
            </w:r>
          </w:p>
        </w:tc>
      </w:tr>
      <w:tr w14:paraId="7745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97ED65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0063C893">
            <w:pPr>
              <w:widowControl/>
              <w:spacing w:line="560" w:lineRule="exact"/>
              <w:jc w:val="center"/>
            </w:pPr>
            <w:r>
              <w:rPr>
                <w:rFonts w:hint="eastAsia" w:ascii="宋体" w:hAnsi="宋体" w:cs="宋体"/>
                <w:color w:val="000000"/>
                <w:kern w:val="0"/>
                <w:sz w:val="20"/>
                <w:szCs w:val="20"/>
                <w:lang w:bidi="ar"/>
              </w:rPr>
              <w:t>本年处理决定数量</w:t>
            </w:r>
          </w:p>
        </w:tc>
      </w:tr>
      <w:tr w14:paraId="5D42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9EA4F41">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5652BE46">
            <w:pPr>
              <w:widowControl/>
              <w:spacing w:line="560" w:lineRule="exact"/>
              <w:jc w:val="center"/>
              <w:rPr>
                <w:rFonts w:hint="default" w:eastAsia="宋体"/>
                <w:lang w:val="en-US" w:eastAsia="zh-CN"/>
              </w:rPr>
            </w:pPr>
            <w:r>
              <w:rPr>
                <w:rFonts w:ascii="Calibri" w:hAnsi="Calibri" w:cs="Calibri"/>
                <w:kern w:val="0"/>
                <w:szCs w:val="21"/>
                <w:lang w:bidi="ar"/>
              </w:rPr>
              <w:t> </w:t>
            </w:r>
            <w:r>
              <w:rPr>
                <w:rFonts w:hint="eastAsia" w:ascii="宋体" w:hAnsi="宋体" w:cs="宋体"/>
                <w:color w:val="000000"/>
                <w:kern w:val="0"/>
                <w:sz w:val="20"/>
                <w:szCs w:val="20"/>
                <w:lang w:val="en-US" w:eastAsia="zh-CN" w:bidi="ar"/>
              </w:rPr>
              <w:t>937</w:t>
            </w:r>
          </w:p>
        </w:tc>
      </w:tr>
      <w:tr w14:paraId="705D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2C04DE67">
            <w:pPr>
              <w:widowControl/>
              <w:spacing w:line="560" w:lineRule="exact"/>
              <w:jc w:val="center"/>
            </w:pPr>
            <w:r>
              <w:rPr>
                <w:rFonts w:hint="eastAsia" w:ascii="宋体" w:hAnsi="宋体" w:cs="宋体"/>
                <w:color w:val="000000"/>
                <w:kern w:val="0"/>
                <w:sz w:val="20"/>
                <w:szCs w:val="20"/>
                <w:lang w:bidi="ar"/>
              </w:rPr>
              <w:t>第二十条第（六）项</w:t>
            </w:r>
          </w:p>
        </w:tc>
      </w:tr>
      <w:tr w14:paraId="3C25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53D80A6">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278691D">
            <w:pPr>
              <w:widowControl/>
              <w:spacing w:line="560" w:lineRule="exact"/>
              <w:jc w:val="center"/>
            </w:pPr>
            <w:r>
              <w:rPr>
                <w:rFonts w:hint="eastAsia" w:ascii="宋体" w:hAnsi="宋体" w:cs="宋体"/>
                <w:color w:val="000000"/>
                <w:kern w:val="0"/>
                <w:sz w:val="20"/>
                <w:szCs w:val="20"/>
                <w:lang w:bidi="ar"/>
              </w:rPr>
              <w:t>本年处理决定数量</w:t>
            </w:r>
          </w:p>
        </w:tc>
      </w:tr>
      <w:tr w14:paraId="27AD3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702EDA1">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00A0D6C0">
            <w:pPr>
              <w:widowControl/>
              <w:spacing w:line="560" w:lineRule="exact"/>
              <w:jc w:val="center"/>
              <w:rPr>
                <w:rFonts w:hint="default" w:eastAsia="宋体"/>
                <w:lang w:val="en-US" w:eastAsia="zh-CN"/>
              </w:rPr>
            </w:pPr>
            <w:r>
              <w:rPr>
                <w:rFonts w:hint="eastAsia" w:ascii="宋体" w:hAnsi="宋体" w:cs="宋体"/>
                <w:color w:val="000000"/>
                <w:kern w:val="0"/>
                <w:sz w:val="20"/>
                <w:szCs w:val="20"/>
                <w:lang w:val="en-US" w:eastAsia="zh-CN" w:bidi="ar"/>
              </w:rPr>
              <w:t>122</w:t>
            </w:r>
          </w:p>
        </w:tc>
      </w:tr>
      <w:tr w14:paraId="4BA6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CD1716B">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2047EFC5">
            <w:pPr>
              <w:widowControl/>
              <w:spacing w:line="560" w:lineRule="exact"/>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1ED1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C288DE5">
            <w:pPr>
              <w:widowControl/>
              <w:spacing w:line="560" w:lineRule="exact"/>
              <w:jc w:val="center"/>
            </w:pPr>
            <w:r>
              <w:rPr>
                <w:rFonts w:hint="eastAsia" w:ascii="宋体" w:hAnsi="宋体" w:cs="宋体"/>
                <w:color w:val="000000"/>
                <w:kern w:val="0"/>
                <w:sz w:val="20"/>
                <w:szCs w:val="20"/>
                <w:lang w:bidi="ar"/>
              </w:rPr>
              <w:t>第二十条第（八）项</w:t>
            </w:r>
          </w:p>
        </w:tc>
      </w:tr>
      <w:tr w14:paraId="006D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9239B3E">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5C2DE2A0">
            <w:pPr>
              <w:widowControl/>
              <w:spacing w:line="560" w:lineRule="exact"/>
              <w:jc w:val="center"/>
            </w:pPr>
            <w:r>
              <w:rPr>
                <w:rFonts w:hint="eastAsia" w:ascii="宋体" w:hAnsi="宋体" w:cs="宋体"/>
                <w:color w:val="000000"/>
                <w:kern w:val="0"/>
                <w:sz w:val="20"/>
                <w:szCs w:val="20"/>
                <w:lang w:bidi="ar"/>
              </w:rPr>
              <w:t>本年收费金额（单位：万元）</w:t>
            </w:r>
          </w:p>
        </w:tc>
      </w:tr>
      <w:tr w14:paraId="65A9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1B36461">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0BF379F6">
            <w:pPr>
              <w:widowControl/>
              <w:spacing w:line="560" w:lineRule="exact"/>
              <w:jc w:val="center"/>
              <w:rPr>
                <w:rFonts w:hint="eastAsia" w:ascii="宋体"/>
                <w:sz w:val="24"/>
              </w:rPr>
            </w:pPr>
            <w:r>
              <w:rPr>
                <w:rFonts w:hint="eastAsia" w:ascii="宋体" w:hAnsi="宋体" w:cs="宋体"/>
                <w:color w:val="000000"/>
                <w:kern w:val="0"/>
                <w:sz w:val="20"/>
                <w:szCs w:val="20"/>
                <w:lang w:val="en-US" w:eastAsia="zh-CN" w:bidi="ar"/>
              </w:rPr>
              <w:t>0</w:t>
            </w:r>
          </w:p>
        </w:tc>
      </w:tr>
    </w:tbl>
    <w:p w14:paraId="3256C8BB">
      <w:pPr>
        <w:pStyle w:val="2"/>
        <w:spacing w:line="560" w:lineRule="exact"/>
        <w:rPr>
          <w:rFonts w:hint="eastAsia"/>
        </w:rPr>
      </w:pPr>
    </w:p>
    <w:p w14:paraId="0C9BEA4C">
      <w:pPr>
        <w:numPr>
          <w:numId w:val="0"/>
        </w:numPr>
        <w:spacing w:line="560" w:lineRule="exact"/>
        <w:ind w:left="630" w:leftChars="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2"/>
        <w:gridCol w:w="3210"/>
        <w:gridCol w:w="697"/>
        <w:gridCol w:w="687"/>
        <w:gridCol w:w="687"/>
        <w:gridCol w:w="687"/>
        <w:gridCol w:w="687"/>
        <w:gridCol w:w="687"/>
        <w:gridCol w:w="697"/>
      </w:tblGrid>
      <w:tr w14:paraId="485DC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B0FB6E">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ascii="楷体" w:hAnsi="楷体" w:eastAsia="楷体" w:cs="楷体"/>
                <w:kern w:val="0"/>
                <w:sz w:val="20"/>
                <w:szCs w:val="20"/>
                <w:lang w:bidi="ar"/>
              </w:rPr>
              <w:t>（本列数据的勾稽关系为：第一项加第二项之和，等于第三项加第四项之和）</w:t>
            </w:r>
          </w:p>
        </w:tc>
        <w:tc>
          <w:tcPr>
            <w:tcW w:w="4829"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425B2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申请人情况</w:t>
            </w:r>
          </w:p>
        </w:tc>
      </w:tr>
      <w:tr w14:paraId="175A4D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EA844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697"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562EE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自然人</w:t>
            </w:r>
          </w:p>
        </w:tc>
        <w:tc>
          <w:tcPr>
            <w:tcW w:w="3435"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0355F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法人或其他组织</w:t>
            </w:r>
          </w:p>
        </w:tc>
        <w:tc>
          <w:tcPr>
            <w:tcW w:w="697"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62304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总计</w:t>
            </w:r>
          </w:p>
        </w:tc>
      </w:tr>
      <w:tr w14:paraId="334BB4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8ED2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69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7F0C0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DEE24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商业</w:t>
            </w:r>
          </w:p>
          <w:p w14:paraId="46C1AB3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企业</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D83BA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科研</w:t>
            </w:r>
          </w:p>
          <w:p w14:paraId="2ECB72C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机构</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6A3E4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社会公益组织</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447B5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法律服务机构</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A1EA22">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宋体" w:hAnsi="宋体" w:cs="宋体"/>
                <w:kern w:val="0"/>
                <w:sz w:val="20"/>
                <w:szCs w:val="20"/>
                <w:lang w:bidi="ar"/>
              </w:rPr>
              <w:t>其他</w:t>
            </w:r>
          </w:p>
        </w:tc>
        <w:tc>
          <w:tcPr>
            <w:tcW w:w="69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68C05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r>
      <w:tr w14:paraId="02A16C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444C58">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一、本年新收政府信息公开申请数量</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FF799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695</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F5141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hint="eastAsia" w:ascii="Calibri" w:hAnsi="Calibri" w:cs="Calibri"/>
                <w:kern w:val="0"/>
                <w:sz w:val="20"/>
                <w:szCs w:val="20"/>
                <w:lang w:val="en-US" w:eastAsia="zh-CN" w:bidi="ar"/>
              </w:rPr>
              <w:t>17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E6039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eastAsia="zh-CN"/>
              </w:rPr>
            </w:pPr>
            <w:r>
              <w:rPr>
                <w:rFonts w:hint="eastAsia" w:ascii="Calibri" w:hAnsi="Calibri" w:cs="Calibri"/>
                <w:kern w:val="0"/>
                <w:sz w:val="20"/>
                <w:szCs w:val="20"/>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9D5EB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eastAsia="zh-CN"/>
              </w:rPr>
            </w:pPr>
            <w:r>
              <w:rPr>
                <w:rFonts w:hint="eastAsia" w:ascii="Calibri" w:hAnsi="Calibri" w:cs="Calibri"/>
                <w:kern w:val="0"/>
                <w:sz w:val="20"/>
                <w:szCs w:val="20"/>
                <w:lang w:val="en-US" w:eastAsia="zh-CN" w:bidi="ar"/>
              </w:rPr>
              <w:t>0</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7E19F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A8EA6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eastAsia="zh-CN"/>
              </w:rPr>
            </w:pPr>
            <w:r>
              <w:rPr>
                <w:rFonts w:hint="eastAsia" w:ascii="Calibri" w:hAnsi="Calibri" w:cs="Calibri"/>
                <w:kern w:val="0"/>
                <w:sz w:val="20"/>
                <w:szCs w:val="20"/>
                <w:lang w:val="en-US" w:eastAsia="zh-CN" w:bidi="ar"/>
              </w:rPr>
              <w:t>9</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653D5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hint="eastAsia" w:ascii="Calibri" w:hAnsi="Calibri" w:cs="Calibri"/>
                <w:kern w:val="0"/>
                <w:sz w:val="20"/>
                <w:szCs w:val="20"/>
                <w:lang w:val="en-US" w:eastAsia="zh-CN" w:bidi="ar"/>
              </w:rPr>
              <w:t>722</w:t>
            </w:r>
          </w:p>
        </w:tc>
      </w:tr>
      <w:tr w14:paraId="6DD497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2B0BD2">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二、上年结转政府信息公开申请数量</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578F1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CC2C7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B0E3F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F463E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63293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2754A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E6221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31</w:t>
            </w:r>
          </w:p>
        </w:tc>
      </w:tr>
      <w:tr w14:paraId="4E0AEF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CC8D30">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三、本年度办理结果</w:t>
            </w:r>
          </w:p>
        </w:tc>
        <w:tc>
          <w:tcPr>
            <w:tcW w:w="41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50B23F">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（一）予以公开</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E6EA1C">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142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828659">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eastAsia="zh-CN"/>
              </w:rPr>
            </w:pPr>
            <w:r>
              <w:rPr>
                <w:rFonts w:hint="eastAsia" w:ascii="Calibri" w:hAnsi="Calibri" w:cs="Calibri"/>
                <w:kern w:val="0"/>
                <w:sz w:val="20"/>
                <w:szCs w:val="20"/>
                <w:lang w:val="en-US" w:eastAsia="zh-CN" w:bidi="ar"/>
              </w:rPr>
              <w:t>2</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3E2A8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2A9C0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1D7C5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76F95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22EEE8">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hint="eastAsia" w:ascii="Calibri" w:hAnsi="Calibri" w:cs="Calibri"/>
                <w:kern w:val="0"/>
                <w:sz w:val="20"/>
                <w:szCs w:val="20"/>
                <w:lang w:val="en-US" w:eastAsia="zh-CN" w:bidi="ar"/>
              </w:rPr>
              <w:t>144</w:t>
            </w:r>
          </w:p>
        </w:tc>
      </w:tr>
      <w:tr w14:paraId="4CCCA3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DED5E2">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41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635214">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0CC06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135</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93AF5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42E82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44CA0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E26AE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7446FD">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kern w:val="2"/>
                <w:sz w:val="21"/>
                <w:szCs w:val="22"/>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53E97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kern w:val="2"/>
                <w:sz w:val="21"/>
                <w:szCs w:val="22"/>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140</w:t>
            </w:r>
          </w:p>
        </w:tc>
      </w:tr>
      <w:tr w14:paraId="14235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CB3D2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B5B4B7">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（三）不予公开</w:t>
            </w: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1B7EFEF">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1.属于国家秘密</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9089C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37B06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9D2BB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A8E2F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B0D92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D6321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5715D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1A56D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33123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5A23C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05B7BAB">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2.其他法律行政法规禁止公开</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497BA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B48D3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DA962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75EE7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A0075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18B1B2">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0E190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974C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194502">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AEAD4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EB15B90">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3.危及“三安全一稳定”</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02AA3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50BD2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25092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195DD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15EA5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4DA91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9B1DE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70E3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35AA9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3BFBA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3014251">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4.保护第三方合法权益</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9CAC4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4</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3EF83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DDBC3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E3D54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55DF0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441C3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AEEFF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4</w:t>
            </w:r>
            <w:r>
              <w:rPr>
                <w:rFonts w:ascii="Calibri" w:hAnsi="Calibri" w:cs="Calibri"/>
                <w:kern w:val="0"/>
                <w:sz w:val="20"/>
                <w:szCs w:val="20"/>
                <w:lang w:bidi="ar"/>
              </w:rPr>
              <w:t> </w:t>
            </w:r>
          </w:p>
        </w:tc>
      </w:tr>
      <w:tr w14:paraId="36AC2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89105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BD09F0">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FEA11B">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5.属于三类内部事务信息</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EE4D15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406B6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65FFA2">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D95FA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36B41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0AEF9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3518C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r>
      <w:tr w14:paraId="21A57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DEE74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3E0F29">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BEC31E">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6.属于四类过程性信息</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D04929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911DD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C566D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17F37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F180D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379172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95516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0625C0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537B6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8244ED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B2002B">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7.属于行政执法案卷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6B68C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3E6B3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E6EDA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F6CA3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B57CB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9BCAD2">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0563E5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1990EA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6DBB3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73CD6E">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0974E1">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8.属于行政查询事项</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78391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29E54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EB7BA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30652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F4FF0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E6F69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C6C9E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D7002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BCF5E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BF5DED">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（四）无法提供</w:t>
            </w: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3047E33">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1.本机关不掌握相关政府信息</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D80010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357</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B1E19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8</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9481C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23A01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CC36F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DA1920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8</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E585405">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373</w:t>
            </w:r>
          </w:p>
        </w:tc>
      </w:tr>
      <w:tr w14:paraId="1563E8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21A91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7B1D1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F72CF71">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2.没有现成信息需要另行制作</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2DDD3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19314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1D683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2DBCB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9167E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79AA0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99021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DC888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39E743">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269CC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3B95D78">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3.补正后申请内容仍不明确</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41ED5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3BCB5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EF095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031DF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B27CF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88FB0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557D6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9091F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C99EE8">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D36BEA">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（五）不予处理</w:t>
            </w: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7DD3DF">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1.信访举报投诉类申请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56F06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3FB4E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74FAC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68243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57A84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B53CB">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FFC07A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204902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DB3E1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14BB5F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CC58EED">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2.重复申请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4CD809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3F4D7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F072F8">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F0D83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2C1E2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4AC05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B7C54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30C43D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ABE5C6">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9198D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759B29">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3.要求提供公开出版物</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396CB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B27DBB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D47C5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58EFC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BDD2D7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325DE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96003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73E401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26C562">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A0EB6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65CD012">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4.无正当理由大量反复申请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C433B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92B5D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D6D8B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7A407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45838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A1B3B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F42ED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83EEF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94DE9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08C5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2A61DD">
            <w:pPr>
              <w:keepNext w:val="0"/>
              <w:keepLines w:val="0"/>
              <w:pageBreakBefore w:val="0"/>
              <w:widowControl/>
              <w:kinsoku/>
              <w:wordWrap/>
              <w:overflowPunct/>
              <w:topLinePunct w:val="0"/>
              <w:autoSpaceDE/>
              <w:autoSpaceDN/>
              <w:bidi w:val="0"/>
              <w:adjustRightInd/>
              <w:snapToGrid/>
              <w:spacing w:line="520" w:lineRule="exact"/>
              <w:textAlignment w:val="auto"/>
            </w:pPr>
            <w:r>
              <w:rPr>
                <w:rFonts w:hint="eastAsia" w:ascii="宋体" w:hAnsi="宋体" w:cs="宋体"/>
                <w:kern w:val="0"/>
                <w:sz w:val="20"/>
                <w:szCs w:val="20"/>
                <w:lang w:bidi="ar"/>
              </w:rPr>
              <w:t>5.要求行政机关确认或重新出具已获取信息</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167FA8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0E540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BF6D7A">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5E571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B1F70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2EF18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3C236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DDD8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6" w:hRule="atLeast"/>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B2D47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7C538B">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（六）其他处理</w:t>
            </w: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B5F6F6">
            <w:pPr>
              <w:keepNext w:val="0"/>
              <w:keepLines w:val="0"/>
              <w:pageBreakBefore w:val="0"/>
              <w:widowControl/>
              <w:kinsoku/>
              <w:wordWrap/>
              <w:overflowPunct/>
              <w:topLinePunct w:val="0"/>
              <w:autoSpaceDE/>
              <w:autoSpaceDN/>
              <w:bidi w:val="0"/>
              <w:adjustRightInd/>
              <w:snapToGrid/>
              <w:spacing w:line="520" w:lineRule="exact"/>
              <w:textAlignment w:val="auto"/>
            </w:pPr>
            <w:r>
              <w:rPr>
                <w:rFonts w:hint="eastAsia" w:ascii="宋体" w:hAnsi="宋体" w:cs="宋体"/>
                <w:kern w:val="0"/>
                <w:sz w:val="20"/>
                <w:szCs w:val="20"/>
                <w:lang w:bidi="ar"/>
              </w:rPr>
              <w:t>1.申请人无正当理由逾期不补正、行政机关不再处理其政府信息公开申请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73AFB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C54D8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791ACC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CF0B2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8B3F3C">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97A3F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E4F775">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14:paraId="68E7AB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01D6E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F9812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B6E5DE">
            <w:pPr>
              <w:keepNext w:val="0"/>
              <w:keepLines w:val="0"/>
              <w:pageBreakBefore w:val="0"/>
              <w:widowControl/>
              <w:kinsoku/>
              <w:wordWrap/>
              <w:overflowPunct/>
              <w:topLinePunct w:val="0"/>
              <w:autoSpaceDE/>
              <w:autoSpaceDN/>
              <w:bidi w:val="0"/>
              <w:adjustRightInd/>
              <w:snapToGrid/>
              <w:spacing w:line="520" w:lineRule="exact"/>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82BEB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42</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2261A0">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279CA3">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E3EEA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5F44F9">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78254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FA767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Times New Roman" w:hAnsi="Times New Roman" w:eastAsia="宋体" w:cs="Times New Roman"/>
                <w:kern w:val="2"/>
                <w:sz w:val="21"/>
                <w:szCs w:val="22"/>
                <w:lang w:val="en-US" w:eastAsia="zh-CN" w:bidi="ar-SA"/>
              </w:rPr>
            </w:pPr>
            <w:r>
              <w:rPr>
                <w:rFonts w:hint="eastAsia" w:ascii="Calibri" w:hAnsi="Calibri" w:cs="Calibri"/>
                <w:kern w:val="0"/>
                <w:sz w:val="20"/>
                <w:szCs w:val="20"/>
                <w:lang w:val="en-US" w:eastAsia="zh-CN" w:bidi="ar"/>
              </w:rPr>
              <w:t>42</w:t>
            </w:r>
            <w:r>
              <w:rPr>
                <w:rFonts w:ascii="Calibri" w:hAnsi="Calibri" w:cs="Calibri"/>
                <w:kern w:val="0"/>
                <w:sz w:val="20"/>
                <w:szCs w:val="20"/>
                <w:lang w:bidi="ar"/>
              </w:rPr>
              <w:t> </w:t>
            </w:r>
          </w:p>
        </w:tc>
      </w:tr>
      <w:tr w14:paraId="004ED2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9F1E7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942"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189C47">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321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EC35F9">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3.其他</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B9D92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13</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EE1BD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F079C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00CEA6">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FF003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B75564">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CF26F3D">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13</w:t>
            </w:r>
            <w:r>
              <w:rPr>
                <w:rFonts w:ascii="Calibri" w:hAnsi="Calibri" w:cs="Calibri"/>
                <w:kern w:val="0"/>
                <w:sz w:val="20"/>
                <w:szCs w:val="20"/>
                <w:lang w:bidi="ar"/>
              </w:rPr>
              <w:t> </w:t>
            </w:r>
          </w:p>
        </w:tc>
      </w:tr>
      <w:tr w14:paraId="21039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72807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sz w:val="24"/>
              </w:rPr>
            </w:pPr>
          </w:p>
        </w:tc>
        <w:tc>
          <w:tcPr>
            <w:tcW w:w="4152"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63DF8D">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（七）总计</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E67E5F">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706</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3D05B2">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hint="eastAsia" w:ascii="Calibri" w:hAnsi="Calibri" w:cs="Calibri"/>
                <w:kern w:val="0"/>
                <w:sz w:val="20"/>
                <w:szCs w:val="20"/>
                <w:lang w:val="en-US" w:eastAsia="zh-CN" w:bidi="ar"/>
              </w:rPr>
              <w:t>15</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307E9E">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8A7521">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4EA4B17">
            <w:pPr>
              <w:keepNext w:val="0"/>
              <w:keepLines w:val="0"/>
              <w:pageBreakBefore w:val="0"/>
              <w:widowControl/>
              <w:kinsoku/>
              <w:wordWrap/>
              <w:overflowPunct/>
              <w:topLinePunct w:val="0"/>
              <w:autoSpaceDE/>
              <w:autoSpaceDN/>
              <w:bidi w:val="0"/>
              <w:adjustRightInd/>
              <w:snapToGrid/>
              <w:spacing w:line="520" w:lineRule="exact"/>
              <w:jc w:val="center"/>
              <w:textAlignment w:val="auto"/>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BE79C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eastAsia="宋体"/>
                <w:lang w:eastAsia="zh-CN"/>
              </w:rPr>
            </w:pPr>
            <w:r>
              <w:rPr>
                <w:rFonts w:hint="eastAsia" w:ascii="Calibri" w:hAnsi="Calibri" w:cs="Calibri"/>
                <w:kern w:val="0"/>
                <w:sz w:val="20"/>
                <w:szCs w:val="20"/>
                <w:lang w:val="en-US" w:eastAsia="zh-CN" w:bidi="ar"/>
              </w:rPr>
              <w:t>8</w:t>
            </w:r>
          </w:p>
        </w:tc>
        <w:tc>
          <w:tcPr>
            <w:tcW w:w="69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576C511">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730</w:t>
            </w:r>
          </w:p>
        </w:tc>
      </w:tr>
      <w:tr w14:paraId="66C735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19"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60F58D">
            <w:pPr>
              <w:keepNext w:val="0"/>
              <w:keepLines w:val="0"/>
              <w:pageBreakBefore w:val="0"/>
              <w:widowControl/>
              <w:kinsoku/>
              <w:wordWrap/>
              <w:overflowPunct/>
              <w:topLinePunct w:val="0"/>
              <w:autoSpaceDE/>
              <w:autoSpaceDN/>
              <w:bidi w:val="0"/>
              <w:adjustRightInd/>
              <w:snapToGrid/>
              <w:spacing w:line="520" w:lineRule="exact"/>
              <w:jc w:val="left"/>
              <w:textAlignment w:val="auto"/>
            </w:pPr>
            <w:r>
              <w:rPr>
                <w:rFonts w:hint="eastAsia" w:ascii="宋体" w:hAnsi="宋体" w:cs="宋体"/>
                <w:kern w:val="0"/>
                <w:sz w:val="20"/>
                <w:szCs w:val="20"/>
                <w:lang w:bidi="ar"/>
              </w:rPr>
              <w:t>四、结转下年度继续办理</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73B8C05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kern w:val="2"/>
                <w:sz w:val="21"/>
                <w:szCs w:val="22"/>
                <w:lang w:val="en-US" w:eastAsia="zh-CN" w:bidi="ar-SA"/>
              </w:rPr>
            </w:pPr>
            <w:r>
              <w:rPr>
                <w:rFonts w:hint="eastAsia" w:ascii="Calibri" w:hAnsi="Calibri" w:cs="Calibri"/>
                <w:kern w:val="0"/>
                <w:sz w:val="20"/>
                <w:szCs w:val="20"/>
                <w:lang w:val="en-US" w:eastAsia="zh-CN" w:bidi="ar"/>
              </w:rPr>
              <w:t>20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D9C08F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eastAsia="宋体"/>
                <w:sz w:val="24"/>
                <w:lang w:val="en-US" w:eastAsia="zh-CN"/>
              </w:rPr>
            </w:pPr>
            <w:r>
              <w:rPr>
                <w:rFonts w:hint="eastAsia" w:ascii="Calibri" w:hAnsi="Calibri" w:cs="Calibri"/>
                <w:kern w:val="0"/>
                <w:sz w:val="20"/>
                <w:szCs w:val="20"/>
                <w:lang w:val="en-US" w:eastAsia="zh-CN" w:bidi="ar"/>
              </w:rPr>
              <w:t>2</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2EEB537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3CC46CC6">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30548FA">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D12AF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eastAsia="宋体"/>
                <w:sz w:val="24"/>
                <w:lang w:val="en-US" w:eastAsia="zh-CN"/>
              </w:rPr>
            </w:pPr>
            <w:r>
              <w:rPr>
                <w:rFonts w:hint="eastAsia" w:ascii="Calibri" w:hAnsi="Calibri" w:cs="Calibri"/>
                <w:kern w:val="0"/>
                <w:sz w:val="20"/>
                <w:szCs w:val="20"/>
                <w:lang w:val="en-US" w:eastAsia="zh-CN" w:bidi="ar"/>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06D492A">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eastAsia="宋体"/>
                <w:sz w:val="24"/>
                <w:lang w:val="en-US" w:eastAsia="zh-CN"/>
              </w:rPr>
            </w:pPr>
            <w:r>
              <w:rPr>
                <w:rFonts w:hint="eastAsia" w:ascii="Calibri" w:hAnsi="Calibri" w:cs="Calibri"/>
                <w:kern w:val="0"/>
                <w:sz w:val="20"/>
                <w:szCs w:val="20"/>
                <w:lang w:val="en-US" w:eastAsia="zh-CN" w:bidi="ar"/>
              </w:rPr>
              <w:t>23</w:t>
            </w:r>
          </w:p>
        </w:tc>
      </w:tr>
    </w:tbl>
    <w:p w14:paraId="1EDFF601">
      <w:pPr>
        <w:spacing w:line="560" w:lineRule="exact"/>
        <w:ind w:firstLine="640" w:firstLineChars="200"/>
        <w:rPr>
          <w:rFonts w:hint="eastAsia" w:ascii="黑体" w:hAnsi="黑体" w:eastAsia="黑体" w:cs="黑体"/>
          <w:sz w:val="32"/>
          <w:szCs w:val="32"/>
        </w:rPr>
      </w:pPr>
    </w:p>
    <w:p w14:paraId="47A66204">
      <w:pPr>
        <w:pStyle w:val="2"/>
        <w:rPr>
          <w:rFonts w:hint="eastAsia"/>
        </w:rPr>
      </w:pPr>
    </w:p>
    <w:p w14:paraId="312B2802">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6257B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CBEBFE">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行政复议</w:t>
            </w:r>
          </w:p>
        </w:tc>
        <w:tc>
          <w:tcPr>
            <w:tcW w:w="6503"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0A4584">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行政诉讼</w:t>
            </w:r>
          </w:p>
        </w:tc>
      </w:tr>
      <w:tr w14:paraId="6862F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94D219">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结果维持</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3B9BF5">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249054">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88080C">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6B1930C">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总计</w:t>
            </w:r>
          </w:p>
        </w:tc>
        <w:tc>
          <w:tcPr>
            <w:tcW w:w="3248"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57EF42">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未经复议直接起诉</w:t>
            </w:r>
          </w:p>
        </w:tc>
        <w:tc>
          <w:tcPr>
            <w:tcW w:w="325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CE1E53">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复议后起诉</w:t>
            </w:r>
          </w:p>
        </w:tc>
      </w:tr>
      <w:tr w14:paraId="073C4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3A497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2DFB3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7DF10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C1565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sz w:val="24"/>
              </w:rPr>
            </w:pPr>
          </w:p>
        </w:tc>
        <w:tc>
          <w:tcPr>
            <w:tcW w:w="649"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E8592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sz w:val="24"/>
              </w:rPr>
            </w:pP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C7DB13">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4CB39D">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9119B9">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50E603">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E7A56F">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color w:val="000000"/>
                <w:kern w:val="0"/>
                <w:sz w:val="20"/>
                <w:szCs w:val="20"/>
                <w:lang w:bidi="ar"/>
              </w:rPr>
              <w:t>总计</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79A0D2">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FFDFC4">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03FA306">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08A7CF">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1ADEE55">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宋体" w:hAnsi="宋体" w:cs="宋体"/>
                <w:color w:val="000000"/>
                <w:kern w:val="0"/>
                <w:sz w:val="20"/>
                <w:szCs w:val="20"/>
                <w:lang w:bidi="ar"/>
              </w:rPr>
              <w:t>总计</w:t>
            </w:r>
          </w:p>
        </w:tc>
      </w:tr>
      <w:tr w14:paraId="765A0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5EB63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宋体"/>
                <w:lang w:val="en-US" w:eastAsia="zh-CN"/>
              </w:rPr>
            </w:pPr>
            <w:r>
              <w:rPr>
                <w:rFonts w:hint="eastAsia" w:ascii="黑体" w:hAnsi="宋体" w:eastAsia="黑体" w:cs="黑体"/>
                <w:kern w:val="0"/>
                <w:sz w:val="20"/>
                <w:szCs w:val="20"/>
                <w:lang w:val="en-US" w:eastAsia="zh-CN" w:bidi="ar"/>
              </w:rPr>
              <w:t>16</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3C722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宋体"/>
                <w:lang w:val="en-US" w:eastAsia="zh-CN"/>
              </w:rPr>
            </w:pPr>
            <w:r>
              <w:rPr>
                <w:rFonts w:hint="eastAsia" w:ascii="黑体" w:hAnsi="宋体" w:eastAsia="黑体" w:cs="黑体"/>
                <w:kern w:val="0"/>
                <w:sz w:val="20"/>
                <w:szCs w:val="20"/>
                <w:lang w:val="en-US" w:eastAsia="zh-CN" w:bidi="ar"/>
              </w:rPr>
              <w:t>3</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D43CA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宋体"/>
                <w:lang w:val="en-US" w:eastAsia="zh-CN"/>
              </w:rP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67804F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kern w:val="2"/>
                <w:sz w:val="21"/>
                <w:szCs w:val="22"/>
                <w:lang w:val="en-US" w:eastAsia="zh-CN" w:bidi="ar-SA"/>
              </w:rPr>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4301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宋体"/>
                <w:lang w:val="en-US" w:eastAsia="zh-CN"/>
              </w:rPr>
            </w:pPr>
            <w:r>
              <w:rPr>
                <w:rFonts w:hint="eastAsia" w:ascii="黑体" w:hAnsi="宋体" w:eastAsia="黑体" w:cs="黑体"/>
                <w:kern w:val="0"/>
                <w:sz w:val="20"/>
                <w:szCs w:val="20"/>
                <w:lang w:val="en-US" w:eastAsia="zh-CN" w:bidi="ar"/>
              </w:rPr>
              <w:t>19</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A116DB">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4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79E57D">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4FD0C7">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DB6C9F2">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6D115D">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B7BA9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eastAsia="宋体"/>
                <w:lang w:val="en-US" w:eastAsia="zh-CN"/>
              </w:rPr>
            </w:pPr>
            <w:r>
              <w:rPr>
                <w:rFonts w:hint="eastAsia" w:ascii="黑体" w:hAnsi="宋体" w:eastAsia="黑体" w:cs="黑体"/>
                <w:kern w:val="0"/>
                <w:sz w:val="20"/>
                <w:szCs w:val="20"/>
                <w:lang w:val="en-US" w:eastAsia="zh-CN" w:bidi="ar"/>
              </w:rPr>
              <w:t>11</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FEA47B0">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0BC33A">
            <w:pPr>
              <w:keepNext w:val="0"/>
              <w:keepLines w:val="0"/>
              <w:pageBreakBefore w:val="0"/>
              <w:widowControl/>
              <w:kinsoku/>
              <w:wordWrap/>
              <w:overflowPunct/>
              <w:topLinePunct w:val="0"/>
              <w:autoSpaceDE/>
              <w:autoSpaceDN/>
              <w:bidi w:val="0"/>
              <w:adjustRightInd/>
              <w:snapToGrid/>
              <w:spacing w:line="440" w:lineRule="exact"/>
              <w:jc w:val="center"/>
              <w:textAlignment w:val="auto"/>
            </w:pPr>
            <w:r>
              <w:rPr>
                <w:rFonts w:hint="eastAsia" w:ascii="黑体" w:hAnsi="宋体" w:eastAsia="黑体" w:cs="黑体"/>
                <w:kern w:val="0"/>
                <w:sz w:val="20"/>
                <w:szCs w:val="20"/>
                <w:lang w:val="en-US" w:eastAsia="zh-CN" w:bidi="ar"/>
              </w:rPr>
              <w:t>0</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F0AB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eastAsia="宋体"/>
                <w:lang w:eastAsia="zh-CN"/>
              </w:rPr>
            </w:pPr>
            <w:r>
              <w:rPr>
                <w:rFonts w:hint="eastAsia" w:ascii="黑体" w:hAnsi="宋体" w:eastAsia="黑体" w:cs="黑体"/>
                <w:kern w:val="0"/>
                <w:sz w:val="20"/>
                <w:szCs w:val="20"/>
                <w:lang w:val="en-US" w:eastAsia="zh-CN" w:bidi="ar"/>
              </w:rPr>
              <w:t>4</w:t>
            </w:r>
          </w:p>
        </w:tc>
        <w:tc>
          <w:tcPr>
            <w:tcW w:w="6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A8F5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2"/>
                <w:sz w:val="21"/>
                <w:szCs w:val="22"/>
                <w:lang w:val="en-US" w:eastAsia="zh-CN" w:bidi="ar-SA"/>
              </w:rPr>
            </w:pPr>
            <w:r>
              <w:rPr>
                <w:rFonts w:hint="eastAsia" w:ascii="黑体" w:hAnsi="宋体" w:eastAsia="黑体" w:cs="黑体"/>
                <w:kern w:val="0"/>
                <w:sz w:val="20"/>
                <w:szCs w:val="20"/>
                <w:lang w:val="en-US" w:eastAsia="zh-CN" w:bidi="ar"/>
              </w:rPr>
              <w:t>15</w:t>
            </w:r>
          </w:p>
        </w:tc>
      </w:tr>
    </w:tbl>
    <w:p w14:paraId="639467AF">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4C26439">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我单位信息公开工作稳步推进，但仍有部分问题需改进。主动公开方面，部分领域存在信息发布渠道单一问题，应进一步强化政务公开意识，拓展多元化发布渠道，扩大信息覆盖面。依申请公开方面，我单位呈现受理量显著增长、申请内容日趋综合复杂的趋势，导致出现行政复议、行政诉讼案件，对此，应主动加强与信息公开主管部门的交流与学习，提高业务水平，系统提升答复的规范性、准确性、完整性。</w:t>
      </w:r>
    </w:p>
    <w:p w14:paraId="26A2F9BE">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w:t>
      </w:r>
      <w:bookmarkStart w:id="0" w:name="_GoBack"/>
      <w:bookmarkEnd w:id="0"/>
      <w:r>
        <w:rPr>
          <w:rFonts w:ascii="黑体" w:hAnsi="黑体" w:eastAsia="黑体" w:cs="宋体"/>
          <w:spacing w:val="8"/>
          <w:kern w:val="0"/>
          <w:sz w:val="32"/>
          <w:szCs w:val="32"/>
        </w:rPr>
        <w:t>、其他需要报告的事项</w:t>
      </w:r>
    </w:p>
    <w:p w14:paraId="6047C58A">
      <w:pPr>
        <w:widowControl/>
        <w:spacing w:line="560" w:lineRule="exact"/>
        <w:ind w:firstLine="640" w:firstLineChars="200"/>
        <w:jc w:val="both"/>
        <w:rPr>
          <w:rFonts w:hint="eastAsia" w:ascii="仿宋_GB2312" w:hAnsi="宋体" w:eastAsia="仿宋_GB2312" w:cs="宋体"/>
          <w:color w:val="9BC2E6"/>
          <w:spacing w:val="8"/>
          <w:kern w:val="0"/>
          <w:sz w:val="32"/>
          <w:szCs w:val="32"/>
        </w:rPr>
      </w:pPr>
      <w:r>
        <w:rPr>
          <w:rFonts w:hint="eastAsia" w:ascii="仿宋_GB2312" w:hAnsi="仿宋_GB2312" w:eastAsia="仿宋_GB2312" w:cs="仿宋_GB2312"/>
          <w:color w:val="000000"/>
          <w:kern w:val="2"/>
          <w:sz w:val="32"/>
          <w:szCs w:val="32"/>
          <w:highlight w:val="none"/>
          <w:lang w:val="en-US" w:eastAsia="zh-CN" w:bidi="ar-SA"/>
        </w:rPr>
        <w:t>依据</w:t>
      </w:r>
      <w:r>
        <w:rPr>
          <w:rFonts w:hint="eastAsia" w:ascii="仿宋_GB2312" w:hAnsi="宋体" w:eastAsia="仿宋_GB2312" w:cs="宋体"/>
          <w:spacing w:val="8"/>
          <w:kern w:val="0"/>
          <w:sz w:val="32"/>
          <w:szCs w:val="32"/>
          <w:lang w:val="en-US" w:eastAsia="zh-CN"/>
        </w:rPr>
        <w:t>国务院</w:t>
      </w:r>
      <w:r>
        <w:rPr>
          <w:rFonts w:hint="eastAsia" w:ascii="仿宋_GB2312" w:hAnsi="仿宋_GB2312" w:eastAsia="仿宋_GB2312" w:cs="仿宋_GB2312"/>
          <w:color w:val="000000"/>
          <w:kern w:val="2"/>
          <w:sz w:val="32"/>
          <w:szCs w:val="32"/>
          <w:highlight w:val="none"/>
          <w:lang w:val="en-US" w:eastAsia="zh-CN" w:bidi="ar-SA"/>
        </w:rPr>
        <w:t>办公厅《政府信息公开信息处理费管理办法》（</w:t>
      </w:r>
      <w:r>
        <w:rPr>
          <w:rFonts w:hint="eastAsia" w:ascii="仿宋_GB2312" w:hAnsi="仿宋_GB2312" w:eastAsia="仿宋_GB2312" w:cs="仿宋_GB2312"/>
          <w:i w:val="0"/>
          <w:iCs w:val="0"/>
          <w:caps w:val="0"/>
          <w:color w:val="000000"/>
          <w:spacing w:val="0"/>
          <w:kern w:val="2"/>
          <w:sz w:val="32"/>
          <w:szCs w:val="32"/>
          <w:highlight w:val="none"/>
          <w:shd w:val="clear" w:color="auto" w:fill="auto"/>
          <w:lang w:val="en-US" w:eastAsia="zh-CN" w:bidi="ar"/>
        </w:rPr>
        <w:t>国办函〔2020〕109号</w:t>
      </w:r>
      <w:r>
        <w:rPr>
          <w:rFonts w:hint="eastAsia" w:ascii="仿宋_GB2312" w:hAnsi="仿宋_GB2312" w:eastAsia="仿宋_GB2312" w:cs="仿宋_GB2312"/>
          <w:color w:val="000000"/>
          <w:kern w:val="2"/>
          <w:sz w:val="32"/>
          <w:szCs w:val="32"/>
          <w:highlight w:val="none"/>
          <w:lang w:val="en-US" w:eastAsia="zh-CN" w:bidi="ar-SA"/>
        </w:rPr>
        <w:t>）</w:t>
      </w:r>
      <w:r>
        <w:rPr>
          <w:rFonts w:hint="eastAsia" w:ascii="仿宋_GB2312" w:hAnsi="宋体" w:eastAsia="仿宋_GB2312" w:cs="宋体"/>
          <w:spacing w:val="8"/>
          <w:kern w:val="0"/>
          <w:sz w:val="32"/>
          <w:szCs w:val="32"/>
          <w:lang w:eastAsia="zh-CN" w:bidi="ar"/>
        </w:rPr>
        <w:t>规定</w:t>
      </w:r>
      <w:r>
        <w:rPr>
          <w:rFonts w:hint="eastAsia" w:ascii="仿宋_GB2312" w:hAnsi="宋体" w:eastAsia="仿宋_GB2312" w:cs="宋体"/>
          <w:spacing w:val="8"/>
          <w:kern w:val="0"/>
          <w:sz w:val="32"/>
          <w:szCs w:val="32"/>
          <w:lang w:bidi="ar"/>
        </w:rPr>
        <w:t>，</w:t>
      </w:r>
      <w:r>
        <w:rPr>
          <w:rFonts w:hint="eastAsia" w:ascii="仿宋_GB2312" w:hAnsi="仿宋_GB2312" w:eastAsia="仿宋_GB2312" w:cs="仿宋_GB2312"/>
          <w:color w:val="auto"/>
          <w:sz w:val="32"/>
          <w:szCs w:val="32"/>
          <w:highlight w:val="none"/>
        </w:rPr>
        <w:t>我单位</w:t>
      </w:r>
      <w:r>
        <w:rPr>
          <w:rFonts w:hint="eastAsia" w:ascii="仿宋_GB2312" w:hAnsi="宋体" w:eastAsia="仿宋_GB2312" w:cs="宋体"/>
          <w:spacing w:val="8"/>
          <w:kern w:val="0"/>
          <w:sz w:val="32"/>
          <w:szCs w:val="32"/>
          <w:lang w:val="en-US" w:eastAsia="zh-CN" w:bidi="ar"/>
        </w:rPr>
        <w:t>2025年度</w:t>
      </w:r>
      <w:r>
        <w:rPr>
          <w:rFonts w:hint="eastAsia" w:ascii="仿宋_GB2312" w:hAnsi="宋体" w:eastAsia="仿宋_GB2312" w:cs="宋体"/>
          <w:color w:val="000000"/>
          <w:spacing w:val="8"/>
          <w:kern w:val="0"/>
          <w:sz w:val="32"/>
          <w:szCs w:val="32"/>
          <w:lang w:val="en-US" w:eastAsia="zh-CN"/>
        </w:rPr>
        <w:t>发出收费通知42件，总金额7800元，实际收取总金额0元。丰台区政务门户网站：</w:t>
      </w:r>
      <w:r>
        <w:rPr>
          <w:rFonts w:hint="eastAsia" w:ascii="仿宋_GB2312" w:hAnsi="宋体" w:eastAsia="仿宋_GB2312" w:cs="宋体"/>
          <w:color w:val="000000"/>
          <w:spacing w:val="8"/>
          <w:kern w:val="0"/>
          <w:sz w:val="32"/>
          <w:szCs w:val="32"/>
          <w:lang w:val="en-US" w:eastAsia="zh-CN"/>
        </w:rPr>
        <w:fldChar w:fldCharType="begin"/>
      </w:r>
      <w:r>
        <w:rPr>
          <w:rFonts w:hint="eastAsia" w:ascii="仿宋_GB2312" w:hAnsi="宋体" w:eastAsia="仿宋_GB2312" w:cs="宋体"/>
          <w:color w:val="000000"/>
          <w:spacing w:val="8"/>
          <w:kern w:val="0"/>
          <w:sz w:val="32"/>
          <w:szCs w:val="32"/>
          <w:lang w:val="en-US" w:eastAsia="zh-CN"/>
        </w:rPr>
        <w:instrText xml:space="preserve"> HYPERLINK "http://www.bjft.gov.cn/ftq/index.shtml" </w:instrText>
      </w:r>
      <w:r>
        <w:rPr>
          <w:rFonts w:hint="eastAsia" w:ascii="仿宋_GB2312" w:hAnsi="宋体" w:eastAsia="仿宋_GB2312" w:cs="宋体"/>
          <w:color w:val="000000"/>
          <w:spacing w:val="8"/>
          <w:kern w:val="0"/>
          <w:sz w:val="32"/>
          <w:szCs w:val="32"/>
          <w:lang w:val="en-US" w:eastAsia="zh-CN"/>
        </w:rPr>
        <w:fldChar w:fldCharType="separate"/>
      </w:r>
      <w:r>
        <w:rPr>
          <w:rFonts w:hint="eastAsia" w:ascii="仿宋_GB2312" w:hAnsi="宋体" w:eastAsia="仿宋_GB2312" w:cs="宋体"/>
          <w:color w:val="000000"/>
          <w:spacing w:val="8"/>
          <w:kern w:val="0"/>
          <w:sz w:val="32"/>
          <w:szCs w:val="32"/>
          <w:lang w:val="en-US" w:eastAsia="zh-CN"/>
        </w:rPr>
        <w:t>http://www.bjft.gov.cn/ftq/index.shtml</w:t>
      </w:r>
      <w:r>
        <w:rPr>
          <w:rFonts w:hint="eastAsia" w:ascii="仿宋_GB2312" w:hAnsi="宋体" w:eastAsia="仿宋_GB2312" w:cs="宋体"/>
          <w:color w:val="000000"/>
          <w:spacing w:val="8"/>
          <w:kern w:val="0"/>
          <w:sz w:val="32"/>
          <w:szCs w:val="32"/>
          <w:lang w:val="en-US" w:eastAsia="zh-CN"/>
        </w:rPr>
        <w:fldChar w:fldCharType="end"/>
      </w:r>
      <w:r>
        <w:rPr>
          <w:rFonts w:hint="eastAsia" w:ascii="仿宋_GB2312" w:hAnsi="宋体" w:eastAsia="仿宋_GB2312" w:cs="宋体"/>
          <w:color w:val="000000"/>
          <w:spacing w:val="8"/>
          <w:kern w:val="0"/>
          <w:sz w:val="32"/>
          <w:szCs w:val="32"/>
          <w:lang w:val="en-US" w:eastAsia="zh-CN"/>
        </w:rPr>
        <w:t>，如需了解更多政务服务信息，请登录查询。</w:t>
      </w:r>
    </w:p>
    <w:p w14:paraId="6CDAD849">
      <w:pPr>
        <w:pStyle w:val="2"/>
        <w:spacing w:line="560" w:lineRule="exact"/>
        <w:rPr>
          <w:rFonts w:hint="eastAsia" w:ascii="黑体" w:hAnsi="黑体" w:eastAsia="黑体" w:cs="黑体"/>
          <w:color w:val="000000"/>
          <w:sz w:val="32"/>
          <w:szCs w:val="32"/>
          <w:highlight w:val="none"/>
          <w:lang w:val="en-US" w:eastAsia="zh-CN"/>
        </w:rPr>
      </w:pPr>
      <w:r>
        <w:rPr>
          <w:rFonts w:hint="eastAsia" w:ascii="微软雅黑" w:hAnsi="微软雅黑" w:eastAsia="微软雅黑" w:cs="宋体"/>
          <w:color w:val="404040"/>
          <w:kern w:val="0"/>
          <w:sz w:val="32"/>
          <w:szCs w:val="32"/>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1B02CD3"/>
    <w:rsid w:val="03335E64"/>
    <w:rsid w:val="0B14237E"/>
    <w:rsid w:val="0C8251AF"/>
    <w:rsid w:val="11245001"/>
    <w:rsid w:val="193759F7"/>
    <w:rsid w:val="1AC172C1"/>
    <w:rsid w:val="1D85059A"/>
    <w:rsid w:val="204301D2"/>
    <w:rsid w:val="27346B58"/>
    <w:rsid w:val="2BC34344"/>
    <w:rsid w:val="2CB405FD"/>
    <w:rsid w:val="2D7F05EE"/>
    <w:rsid w:val="2E3327F3"/>
    <w:rsid w:val="34230FB1"/>
    <w:rsid w:val="3A20438B"/>
    <w:rsid w:val="3CDE35F8"/>
    <w:rsid w:val="4A9D22D0"/>
    <w:rsid w:val="4AD85D28"/>
    <w:rsid w:val="4FCB5B7D"/>
    <w:rsid w:val="50045E94"/>
    <w:rsid w:val="55D74799"/>
    <w:rsid w:val="582C6CD4"/>
    <w:rsid w:val="5C60512D"/>
    <w:rsid w:val="5DD33C67"/>
    <w:rsid w:val="61892E2F"/>
    <w:rsid w:val="61FC300A"/>
    <w:rsid w:val="65E50726"/>
    <w:rsid w:val="65F34C1E"/>
    <w:rsid w:val="6E9824E3"/>
    <w:rsid w:val="709C43F9"/>
    <w:rsid w:val="744D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2036</Words>
  <Characters>2185</Characters>
  <Lines>0</Lines>
  <Paragraphs>0</Paragraphs>
  <TotalTime>41</TotalTime>
  <ScaleCrop>false</ScaleCrop>
  <LinksUpToDate>false</LinksUpToDate>
  <CharactersWithSpaces>2350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WPS_1717489222</cp:lastModifiedBy>
  <cp:lastPrinted>2026-01-08T06:12:00Z</cp:lastPrinted>
  <dcterms:modified xsi:type="dcterms:W3CDTF">2026-01-20T05:11:43Z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6875E895816C4DC79A3DCE4CEC33A7CE</vt:lpwstr>
  </property>
  <property fmtid="{D5CDD505-2E9C-101B-9397-08002B2CF9AE}" pid="4" name="KSOTemplateDocerSaveRecord">
    <vt:lpwstr>eyJoZGlkIjoiMzEwNTM5NzYwMDRjMzkwZTVkZjY2ODkwMGIxNGU0OTUiLCJ1c2VySWQiOiIxNjA0Mzk3OTIxIn0=</vt:lpwstr>
  </property>
</Properties>
</file>