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北京市丰台区财政局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2025年政府信息公开工作年度报告</w:t>
      </w:r>
    </w:p>
    <w:p>
      <w:pPr>
        <w:spacing w:line="560" w:lineRule="exact"/>
        <w:jc w:val="center"/>
        <w:rPr>
          <w:sz w:val="44"/>
          <w:szCs w:val="44"/>
        </w:rPr>
      </w:pPr>
      <w:r>
        <w:rPr>
          <w:rFonts w:hint="eastAsia" w:ascii="微软雅黑" w:hAnsi="微软雅黑" w:eastAsia="微软雅黑" w:cs="宋体"/>
          <w:kern w:val="0"/>
          <w:sz w:val="24"/>
        </w:rPr>
        <w:t>　</w:t>
      </w:r>
      <w:r>
        <w:rPr>
          <w:rFonts w:hint="eastAsia" w:ascii="微软雅黑" w:hAnsi="微软雅黑" w:eastAsia="微软雅黑" w:cs="宋体"/>
          <w:kern w:val="0"/>
          <w:sz w:val="32"/>
          <w:szCs w:val="32"/>
        </w:rPr>
        <w:t xml:space="preserve"> </w:t>
      </w:r>
      <w:r>
        <w:rPr>
          <w:rFonts w:ascii="微软雅黑" w:hAnsi="微软雅黑" w:eastAsia="微软雅黑" w:cs="宋体"/>
          <w:kern w:val="0"/>
          <w:sz w:val="32"/>
          <w:szCs w:val="32"/>
        </w:rPr>
        <w:t xml:space="preserve"> </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（一）强化领导、压实责任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严格落实“局长抓总、各主管副局长分领域负责”的信息公开工作机制，增加意识形态环节审核，强化信息质量管理。局党组理论学习中心组带头并组织全局学习</w:t>
      </w:r>
      <w:r>
        <w:rPr>
          <w:rFonts w:hint="eastAsia" w:ascii="仿宋_GB2312" w:hAnsi="Calibri" w:eastAsia="仿宋_GB2312"/>
          <w:sz w:val="32"/>
          <w:szCs w:val="32"/>
        </w:rPr>
        <w:t>《中华人民共和国政府信息公开条例》，明确信息主动公开范畴，对照年度重点领域公开任务，抓好财政预决算等重要信息公开。</w:t>
      </w:r>
      <w:r>
        <w:rPr>
          <w:rFonts w:hint="eastAsia" w:ascii="仿宋_GB2312" w:eastAsia="仿宋_GB2312"/>
          <w:sz w:val="32"/>
          <w:szCs w:val="32"/>
        </w:rPr>
        <w:t>落实政府门户网站信息发布审核机制，规范填写《区政府门户网站信息发布审批表》，压实工作责任。</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（二）有序做好主动公开工作</w:t>
      </w:r>
    </w:p>
    <w:p>
      <w:pPr>
        <w:spacing w:line="560" w:lineRule="exact"/>
        <w:ind w:firstLine="640" w:firstLineChars="200"/>
        <w:rPr>
          <w:rFonts w:ascii="仿宋_GB2312" w:hAnsi="Calibri" w:eastAsia="仿宋_GB2312"/>
          <w:sz w:val="32"/>
          <w:szCs w:val="32"/>
        </w:rPr>
      </w:pPr>
      <w:r>
        <w:rPr>
          <w:rFonts w:hint="eastAsia" w:ascii="楷体_GB2312" w:hAnsi="楷体_GB2312" w:eastAsia="楷体_GB2312" w:cs="楷体_GB2312"/>
          <w:sz w:val="32"/>
          <w:szCs w:val="32"/>
        </w:rPr>
        <w:t>1.</w:t>
      </w:r>
      <w:r>
        <w:rPr>
          <w:rFonts w:hint="eastAsia" w:ascii="仿宋_GB2312" w:hAnsi="Calibri" w:eastAsia="仿宋_GB2312"/>
          <w:sz w:val="32"/>
          <w:szCs w:val="32"/>
        </w:rPr>
        <w:t>扩展主动公开范畴</w:t>
      </w:r>
    </w:p>
    <w:p>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2025年，在完成区年度重点领域公开任务的同时，主动公开“企业国有资产管理情况、地方债务存续表”等内容，并持续做好财政业务宣传、执法检查及行政审批事项公开，全年通过区政府网站主动向社会公开各类287条。</w:t>
      </w:r>
    </w:p>
    <w:p>
      <w:pPr>
        <w:spacing w:line="560" w:lineRule="exact"/>
        <w:ind w:firstLine="640" w:firstLineChars="200"/>
        <w:rPr>
          <w:rFonts w:ascii="仿宋_GB2312" w:eastAsia="仿宋_GB2312" w:cstheme="minorBidi"/>
          <w:sz w:val="32"/>
          <w:szCs w:val="32"/>
        </w:rPr>
      </w:pPr>
      <w:r>
        <w:rPr>
          <w:rFonts w:hint="eastAsia" w:ascii="仿宋_GB2312" w:eastAsia="仿宋_GB2312"/>
          <w:sz w:val="32"/>
          <w:szCs w:val="32"/>
        </w:rPr>
        <w:t>2.依法抓好</w:t>
      </w:r>
      <w:r>
        <w:rPr>
          <w:rFonts w:hint="eastAsia" w:ascii="仿宋_GB2312" w:eastAsia="仿宋_GB2312" w:cstheme="minorBidi"/>
          <w:sz w:val="32"/>
          <w:szCs w:val="32"/>
        </w:rPr>
        <w:t>财政预决算信息公开</w:t>
      </w:r>
    </w:p>
    <w:p>
      <w:pPr>
        <w:spacing w:line="560" w:lineRule="exact"/>
        <w:ind w:firstLine="640" w:firstLineChars="200"/>
        <w:rPr>
          <w:rFonts w:ascii="仿宋_GB2312" w:eastAsia="仿宋_GB2312" w:cstheme="minorBidi"/>
          <w:sz w:val="32"/>
          <w:szCs w:val="32"/>
        </w:rPr>
      </w:pPr>
      <w:r>
        <w:rPr>
          <w:rFonts w:hint="eastAsia" w:ascii="仿宋_GB2312" w:eastAsia="仿宋_GB2312" w:cstheme="minorBidi"/>
          <w:sz w:val="32"/>
          <w:szCs w:val="32"/>
        </w:rPr>
        <w:t>落实《预算法》规定，把控时间节点，周密组织区级政府年度预决算情况公开和政府各部门预决算情况公开工作。</w:t>
      </w:r>
    </w:p>
    <w:p>
      <w:pPr>
        <w:spacing w:line="560" w:lineRule="exact"/>
        <w:ind w:firstLine="640" w:firstLineChars="200"/>
        <w:rPr>
          <w:rFonts w:ascii="仿宋_GB2312" w:hAnsi="Arial" w:eastAsia="仿宋_GB2312" w:cs="仿宋_GB2312"/>
          <w:sz w:val="32"/>
          <w:szCs w:val="32"/>
          <w:lang w:bidi="ar"/>
        </w:rPr>
      </w:pPr>
      <w:r>
        <w:rPr>
          <w:rFonts w:hint="eastAsia" w:ascii="仿宋_GB2312" w:eastAsia="仿宋_GB2312" w:cstheme="minorBidi"/>
          <w:sz w:val="32"/>
          <w:szCs w:val="32"/>
        </w:rPr>
        <w:t>一是在区人民代表大会及区人民代表大会常务委员会批准后二十日内，</w:t>
      </w:r>
      <w:r>
        <w:rPr>
          <w:rFonts w:hint="eastAsia" w:ascii="仿宋_GB2312" w:hAnsi="Arial" w:eastAsia="仿宋_GB2312" w:cs="仿宋_GB2312"/>
          <w:sz w:val="32"/>
          <w:szCs w:val="32"/>
          <w:lang w:bidi="ar"/>
        </w:rPr>
        <w:t>在丰台区政府网站上</w:t>
      </w:r>
      <w:r>
        <w:rPr>
          <w:rFonts w:hint="eastAsia" w:ascii="仿宋_GB2312" w:eastAsia="仿宋_GB2312" w:cstheme="minorBidi"/>
          <w:sz w:val="32"/>
          <w:szCs w:val="32"/>
        </w:rPr>
        <w:t>向社会公开2025年区级政府预决算情况。分别是：2025年</w:t>
      </w:r>
      <w:r>
        <w:rPr>
          <w:rFonts w:hint="eastAsia" w:ascii="仿宋_GB2312" w:hAnsi="Arial" w:eastAsia="仿宋_GB2312" w:cs="仿宋_GB2312"/>
          <w:sz w:val="32"/>
          <w:szCs w:val="32"/>
          <w:lang w:bidi="ar"/>
        </w:rPr>
        <w:t>1月22日公开经区十七届人代会第三次会议审议批准的区级政府年度预算情况；</w:t>
      </w:r>
      <w:r>
        <w:rPr>
          <w:rFonts w:hint="eastAsia" w:ascii="仿宋_GB2312" w:eastAsia="仿宋_GB2312" w:cstheme="minorBidi"/>
          <w:sz w:val="32"/>
          <w:szCs w:val="32"/>
        </w:rPr>
        <w:t>2025年</w:t>
      </w:r>
      <w:r>
        <w:rPr>
          <w:rFonts w:hint="eastAsia" w:ascii="仿宋_GB2312" w:hAnsi="Arial" w:eastAsia="仿宋_GB2312" w:cs="仿宋_GB2312"/>
          <w:sz w:val="32"/>
          <w:szCs w:val="32"/>
          <w:lang w:bidi="ar"/>
        </w:rPr>
        <w:t>8月19日公开经区人大常委会批准的2025年上半年预算执行情况；2025年8月19日公开经区人大常委会审议批准的区级政府决算情况。</w:t>
      </w:r>
    </w:p>
    <w:p>
      <w:pPr>
        <w:spacing w:line="560" w:lineRule="exact"/>
        <w:ind w:firstLine="640" w:firstLineChars="200"/>
        <w:rPr>
          <w:rFonts w:ascii="仿宋_GB2312" w:hAnsi="仿宋_GB2312" w:eastAsia="仿宋_GB2312" w:cs="仿宋_GB2312"/>
          <w:sz w:val="32"/>
          <w:szCs w:val="32"/>
        </w:rPr>
      </w:pPr>
      <w:r>
        <w:rPr>
          <w:rFonts w:hint="eastAsia" w:ascii="仿宋_GB2312" w:hAnsi="Arial" w:eastAsia="仿宋_GB2312" w:cs="仿宋_GB2312"/>
          <w:sz w:val="32"/>
          <w:szCs w:val="32"/>
          <w:lang w:bidi="ar"/>
        </w:rPr>
        <w:t>二是按照“</w:t>
      </w:r>
      <w:r>
        <w:rPr>
          <w:rFonts w:hint="eastAsia" w:ascii="仿宋_GB2312" w:eastAsia="仿宋_GB2312"/>
          <w:sz w:val="32"/>
          <w:szCs w:val="32"/>
        </w:rPr>
        <w:t>统一标准、统一时间、集中公开”的要求，在2025年</w:t>
      </w:r>
      <w:r>
        <w:rPr>
          <w:rFonts w:hint="eastAsia" w:ascii="仿宋_GB2312" w:hAnsi="Arial" w:eastAsia="仿宋_GB2312" w:cs="仿宋_GB2312"/>
          <w:sz w:val="32"/>
          <w:szCs w:val="32"/>
          <w:lang w:bidi="ar"/>
        </w:rPr>
        <w:t>1月24日完成部门预算批复后，于2025年</w:t>
      </w:r>
      <w:r>
        <w:rPr>
          <w:rFonts w:hint="eastAsia" w:ascii="仿宋_GB2312" w:hAnsi="仿宋_GB2312" w:eastAsia="仿宋_GB2312" w:cs="仿宋_GB2312"/>
          <w:sz w:val="32"/>
          <w:szCs w:val="32"/>
        </w:rPr>
        <w:t>2月12日组织296家部门（单位），在区政府网站及单位门户网站统一公开2025年度部门预算情况，实现除法定涉密信息及涉密部门外，使用财政资金的区级部门及其下属二级单位均向社会进行公开。</w:t>
      </w:r>
    </w:p>
    <w:p>
      <w:pPr>
        <w:spacing w:line="560" w:lineRule="exact"/>
        <w:ind w:firstLine="640" w:firstLineChars="200"/>
      </w:pPr>
      <w:r>
        <w:rPr>
          <w:rFonts w:hint="eastAsia" w:ascii="仿宋_GB2312" w:hAnsi="仿宋_GB2312" w:eastAsia="仿宋_GB2312" w:cs="仿宋_GB2312"/>
          <w:sz w:val="32"/>
          <w:szCs w:val="32"/>
        </w:rPr>
        <w:t>三是</w:t>
      </w:r>
      <w:r>
        <w:rPr>
          <w:rFonts w:hint="eastAsia" w:ascii="仿宋_GB2312" w:eastAsia="仿宋_GB2312" w:cs="仿宋_GB2312"/>
          <w:sz w:val="32"/>
          <w:szCs w:val="32"/>
          <w:shd w:val="clear" w:color="auto" w:fill="FFFFFF"/>
          <w:lang w:bidi="ar"/>
        </w:rPr>
        <w:t>坚持以公开为常态、不公开为例外原则，组织</w:t>
      </w:r>
      <w:r>
        <w:rPr>
          <w:rFonts w:hint="eastAsia" w:ascii="仿宋_GB2312" w:hAnsi="宋体" w:eastAsia="仿宋_GB2312" w:cs="仿宋_GB2312"/>
          <w:sz w:val="32"/>
          <w:szCs w:val="32"/>
          <w:lang w:bidi="ar"/>
        </w:rPr>
        <w:t>全区104家预算部门于2025年</w:t>
      </w:r>
      <w:r>
        <w:rPr>
          <w:rFonts w:ascii="仿宋_GB2312" w:hAnsi="Calibri" w:eastAsia="仿宋_GB2312" w:cs="仿宋_GB2312"/>
          <w:sz w:val="32"/>
          <w:szCs w:val="32"/>
          <w:shd w:val="clear" w:color="auto" w:fill="FFFFFF"/>
          <w:lang w:bidi="ar"/>
        </w:rPr>
        <w:t>9</w:t>
      </w:r>
      <w:r>
        <w:rPr>
          <w:rFonts w:hint="eastAsia" w:ascii="仿宋_GB2312" w:hAnsi="Calibri" w:eastAsia="仿宋_GB2312" w:cs="仿宋_GB2312"/>
          <w:sz w:val="32"/>
          <w:szCs w:val="32"/>
          <w:shd w:val="clear" w:color="auto" w:fill="FFFFFF"/>
          <w:lang w:bidi="ar"/>
        </w:rPr>
        <w:t>月4日在区政府网站及部门门户网站向社会集中公开2024年度区级部门决算</w:t>
      </w:r>
      <w:r>
        <w:rPr>
          <w:rFonts w:hint="eastAsia" w:ascii="仿宋_GB2312" w:hAnsi="仿宋_GB2312" w:eastAsia="仿宋_GB2312" w:cs="仿宋_GB2312"/>
          <w:sz w:val="32"/>
          <w:szCs w:val="32"/>
        </w:rPr>
        <w:t>报表、部门决算说明、其他重要事项情况说明及部门绩效评价情况等内容，</w:t>
      </w:r>
      <w:r>
        <w:rPr>
          <w:rFonts w:hint="eastAsia" w:ascii="仿宋_GB2312" w:hAnsi="Calibri" w:eastAsia="仿宋_GB2312" w:cs="仿宋_GB2312"/>
          <w:sz w:val="32"/>
          <w:szCs w:val="32"/>
          <w:shd w:val="clear" w:color="auto" w:fill="FFFFFF"/>
          <w:lang w:bidi="ar"/>
        </w:rPr>
        <w:t>主动接受社会监督。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3.推进执行信息公开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主动公开2025年度财会监督工作计划、季度执法检查计划和检查结果11条。发布《丰台区代理记账业务操作指南和中介机构审批流程》，</w:t>
      </w:r>
      <w:r>
        <w:rPr>
          <w:rFonts w:hint="eastAsia" w:ascii="仿宋_GB2312" w:eastAsia="仿宋_GB2312"/>
          <w:sz w:val="32"/>
          <w:szCs w:val="32"/>
        </w:rPr>
        <w:t>加快审批</w:t>
      </w:r>
      <w:r>
        <w:rPr>
          <w:rFonts w:hint="eastAsia" w:ascii="仿宋_GB2312" w:eastAsia="仿宋_GB2312"/>
          <w:sz w:val="32"/>
          <w:szCs w:val="32"/>
          <w:lang w:eastAsia="zh-CN"/>
        </w:rPr>
        <w:t>速度</w:t>
      </w:r>
      <w:r>
        <w:rPr>
          <w:rFonts w:hint="eastAsia" w:ascii="仿宋_GB2312" w:eastAsia="仿宋_GB2312"/>
          <w:sz w:val="32"/>
          <w:szCs w:val="32"/>
        </w:rPr>
        <w:t>，及时发布代理记账审批结果。2025年审批代理记账事项并公开审批结果178条。</w:t>
      </w:r>
      <w:r>
        <w:rPr>
          <w:rFonts w:hint="eastAsia" w:ascii="仿宋_GB2312" w:hAnsi="仿宋_GB2312" w:eastAsia="仿宋_GB2312" w:cs="仿宋_GB2312"/>
          <w:sz w:val="32"/>
          <w:szCs w:val="32"/>
        </w:rPr>
        <w:t>关注市级行政事业性收费信息变化，及时发布最新行政事业性收费信息。</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（三）认真做好依申请公开工作</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rPr>
        <w:t>重视信息依申请通道建设，通过设立信函、传真申请、电子邮箱申请和当面申请等多种方式，在政府网站公开联系方式、联系地址、联系电话、政务邮箱，满足线上、线下的多重申请需求。树立好为民服务思想，严格信息依申请公开办理</w:t>
      </w:r>
      <w:r>
        <w:rPr>
          <w:rFonts w:hint="eastAsia" w:ascii="仿宋_GB2312" w:hAnsi="Calibri" w:eastAsia="仿宋_GB2312"/>
          <w:sz w:val="32"/>
          <w:szCs w:val="32"/>
        </w:rPr>
        <w:t>流程，加强合规性审查，力求群众满意。</w:t>
      </w:r>
      <w:r>
        <w:rPr>
          <w:rFonts w:hint="eastAsia" w:ascii="仿宋_GB2312" w:hAnsi="宋体" w:eastAsia="仿宋_GB2312" w:cs="宋体"/>
          <w:kern w:val="0"/>
          <w:sz w:val="32"/>
          <w:szCs w:val="32"/>
        </w:rPr>
        <w:t>2025年，我局共办理政府信息依申请公开件17件，其中16件已办理完毕，1件因时间跨度转2026年办理。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p>
      <w:pPr>
        <w:pStyle w:val="2"/>
        <w:spacing w:line="560" w:lineRule="exact"/>
      </w:pP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信息内容</w:t>
            </w:r>
          </w:p>
        </w:tc>
        <w:tc>
          <w:tcPr>
            <w:tcW w:w="2435" w:type="dxa"/>
            <w:tcMar>
              <w:left w:w="57" w:type="dxa"/>
              <w:right w:w="57" w:type="dxa"/>
            </w:tcMar>
            <w:vAlign w:val="center"/>
          </w:tcPr>
          <w:p>
            <w:pPr>
              <w:widowControl/>
              <w:spacing w:line="560" w:lineRule="exact"/>
              <w:jc w:val="center"/>
              <w:rPr>
                <w:rFonts w:ascii="宋体" w:hAnsi="宋体" w:cs="宋体"/>
                <w:kern w:val="0"/>
                <w:sz w:val="20"/>
                <w:szCs w:val="20"/>
                <w:lang w:bidi="ar"/>
              </w:rPr>
            </w:pPr>
            <w:r>
              <w:rPr>
                <w:rFonts w:hint="eastAsia" w:ascii="宋体" w:hAnsi="宋体" w:cs="宋体"/>
                <w:kern w:val="0"/>
                <w:sz w:val="20"/>
                <w:szCs w:val="20"/>
                <w:lang w:bidi="ar"/>
              </w:rPr>
              <w:t>本年制发件数</w:t>
            </w:r>
          </w:p>
        </w:tc>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本年废止件数</w:t>
            </w:r>
          </w:p>
        </w:tc>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left"/>
            </w:pPr>
            <w:r>
              <w:rPr>
                <w:rFonts w:hint="eastAsia" w:ascii="宋体" w:hAnsi="宋体" w:cs="宋体"/>
                <w:kern w:val="0"/>
                <w:sz w:val="20"/>
                <w:szCs w:val="20"/>
                <w:lang w:bidi="ar"/>
              </w:rPr>
              <w:t>规章</w:t>
            </w:r>
          </w:p>
        </w:tc>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0</w:t>
            </w:r>
          </w:p>
        </w:tc>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0</w:t>
            </w:r>
          </w:p>
        </w:tc>
        <w:tc>
          <w:tcPr>
            <w:tcW w:w="2435" w:type="dxa"/>
            <w:tcMar>
              <w:left w:w="57" w:type="dxa"/>
              <w:right w:w="57" w:type="dxa"/>
            </w:tcMar>
            <w:vAlign w:val="center"/>
          </w:tcPr>
          <w:p>
            <w:pPr>
              <w:widowControl/>
              <w:spacing w:line="560" w:lineRule="exact"/>
              <w:jc w:val="center"/>
            </w:pPr>
            <w:r>
              <w:rPr>
                <w:rFonts w:hint="eastAsia" w:ascii="Calibri" w:hAnsi="Calibri" w:cs="Calibri"/>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left"/>
            </w:pPr>
            <w:r>
              <w:rPr>
                <w:rFonts w:hint="eastAsia" w:ascii="宋体" w:hAnsi="宋体" w:cs="宋体"/>
                <w:kern w:val="0"/>
                <w:sz w:val="20"/>
                <w:szCs w:val="20"/>
                <w:lang w:bidi="ar"/>
              </w:rPr>
              <w:t>行政规范性文件</w:t>
            </w:r>
          </w:p>
        </w:tc>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0</w:t>
            </w:r>
          </w:p>
        </w:tc>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0</w:t>
            </w:r>
          </w:p>
        </w:tc>
        <w:tc>
          <w:tcPr>
            <w:tcW w:w="2435" w:type="dxa"/>
            <w:tcMar>
              <w:left w:w="57" w:type="dxa"/>
              <w:right w:w="57" w:type="dxa"/>
            </w:tcMar>
            <w:vAlign w:val="center"/>
          </w:tcPr>
          <w:p>
            <w:pPr>
              <w:widowControl/>
              <w:spacing w:line="560" w:lineRule="exact"/>
              <w:jc w:val="center"/>
            </w:pPr>
            <w:r>
              <w:rPr>
                <w:rFonts w:hint="eastAsia" w:ascii="Calibri" w:hAnsi="Calibri" w:cs="Calibri"/>
                <w:kern w:val="0"/>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信息内容</w:t>
            </w:r>
          </w:p>
        </w:tc>
        <w:tc>
          <w:tcPr>
            <w:tcW w:w="7305" w:type="dxa"/>
            <w:gridSpan w:val="3"/>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left"/>
            </w:pPr>
            <w:r>
              <w:rPr>
                <w:rFonts w:hint="eastAsia" w:ascii="宋体" w:hAnsi="宋体" w:cs="宋体"/>
                <w:kern w:val="0"/>
                <w:sz w:val="20"/>
                <w:szCs w:val="20"/>
                <w:lang w:bidi="ar"/>
              </w:rPr>
              <w:t>行政许可</w:t>
            </w:r>
          </w:p>
        </w:tc>
        <w:tc>
          <w:tcPr>
            <w:tcW w:w="7305" w:type="dxa"/>
            <w:gridSpan w:val="3"/>
            <w:tcMar>
              <w:left w:w="57" w:type="dxa"/>
              <w:right w:w="57" w:type="dxa"/>
            </w:tcMar>
            <w:vAlign w:val="center"/>
          </w:tcPr>
          <w:p>
            <w:pPr>
              <w:widowControl/>
              <w:spacing w:line="560" w:lineRule="exact"/>
              <w:jc w:val="center"/>
            </w:pPr>
            <w:r>
              <w:rPr>
                <w:rFonts w:hint="eastAsia" w:ascii="Calibri" w:hAnsi="Calibri" w:cs="Calibri"/>
                <w:kern w:val="0"/>
                <w:szCs w:val="21"/>
                <w:lang w:bidi="ar"/>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信息内容</w:t>
            </w:r>
          </w:p>
        </w:tc>
        <w:tc>
          <w:tcPr>
            <w:tcW w:w="7305" w:type="dxa"/>
            <w:gridSpan w:val="3"/>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left"/>
            </w:pPr>
            <w:r>
              <w:rPr>
                <w:rFonts w:hint="eastAsia" w:ascii="宋体" w:hAnsi="宋体" w:cs="宋体"/>
                <w:kern w:val="0"/>
                <w:sz w:val="20"/>
                <w:szCs w:val="20"/>
                <w:lang w:bidi="ar"/>
              </w:rPr>
              <w:t>行政处罚</w:t>
            </w:r>
          </w:p>
        </w:tc>
        <w:tc>
          <w:tcPr>
            <w:tcW w:w="7305" w:type="dxa"/>
            <w:gridSpan w:val="3"/>
            <w:tcMar>
              <w:left w:w="57" w:type="dxa"/>
              <w:right w:w="57" w:type="dxa"/>
            </w:tcMar>
            <w:vAlign w:val="center"/>
          </w:tcPr>
          <w:p>
            <w:pPr>
              <w:widowControl/>
              <w:spacing w:line="560" w:lineRule="exact"/>
              <w:jc w:val="center"/>
            </w:pPr>
            <w:r>
              <w:rPr>
                <w:rFonts w:hint="eastAsia" w:ascii="宋体" w:hAnsi="宋体" w:cs="宋体"/>
                <w:kern w:val="0"/>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left"/>
            </w:pPr>
            <w:r>
              <w:rPr>
                <w:rFonts w:hint="eastAsia" w:ascii="宋体" w:hAnsi="宋体" w:cs="宋体"/>
                <w:kern w:val="0"/>
                <w:sz w:val="20"/>
                <w:szCs w:val="20"/>
                <w:lang w:bidi="ar"/>
              </w:rPr>
              <w:t>行政强制</w:t>
            </w:r>
          </w:p>
        </w:tc>
        <w:tc>
          <w:tcPr>
            <w:tcW w:w="7305" w:type="dxa"/>
            <w:gridSpan w:val="3"/>
            <w:tcMar>
              <w:left w:w="57" w:type="dxa"/>
              <w:right w:w="57" w:type="dxa"/>
            </w:tcMar>
            <w:vAlign w:val="center"/>
          </w:tcPr>
          <w:p>
            <w:pPr>
              <w:widowControl/>
              <w:spacing w:line="560" w:lineRule="exact"/>
              <w:jc w:val="center"/>
            </w:pPr>
            <w:r>
              <w:rPr>
                <w:rFonts w:hint="eastAsia" w:ascii="宋体" w:hAnsi="宋体" w:cs="宋体"/>
                <w:kern w:val="0"/>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center"/>
            </w:pPr>
            <w:r>
              <w:rPr>
                <w:rFonts w:hint="eastAsia" w:ascii="宋体" w:hAnsi="宋体" w:cs="宋体"/>
                <w:kern w:val="0"/>
                <w:sz w:val="20"/>
                <w:szCs w:val="20"/>
                <w:lang w:bidi="ar"/>
              </w:rPr>
              <w:t>信息内容</w:t>
            </w:r>
          </w:p>
        </w:tc>
        <w:tc>
          <w:tcPr>
            <w:tcW w:w="7305" w:type="dxa"/>
            <w:gridSpan w:val="3"/>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tcMar>
              <w:left w:w="57" w:type="dxa"/>
              <w:right w:w="57" w:type="dxa"/>
            </w:tcMar>
            <w:vAlign w:val="center"/>
          </w:tcPr>
          <w:p>
            <w:pPr>
              <w:widowControl/>
              <w:spacing w:line="560" w:lineRule="exact"/>
              <w:jc w:val="left"/>
            </w:pPr>
            <w:r>
              <w:rPr>
                <w:rFonts w:hint="eastAsia" w:ascii="宋体" w:hAnsi="宋体" w:cs="宋体"/>
                <w:kern w:val="0"/>
                <w:sz w:val="20"/>
                <w:szCs w:val="20"/>
                <w:lang w:bidi="ar"/>
              </w:rPr>
              <w:t>行政事业性收费</w:t>
            </w:r>
          </w:p>
        </w:tc>
        <w:tc>
          <w:tcPr>
            <w:tcW w:w="7305" w:type="dxa"/>
            <w:gridSpan w:val="3"/>
            <w:tcMar>
              <w:left w:w="57" w:type="dxa"/>
              <w:right w:w="57" w:type="dxa"/>
            </w:tcMar>
            <w:vAlign w:val="center"/>
          </w:tcPr>
          <w:p>
            <w:pPr>
              <w:spacing w:line="560" w:lineRule="exact"/>
              <w:jc w:val="center"/>
              <w:rPr>
                <w:rFonts w:ascii="宋体"/>
                <w:sz w:val="24"/>
              </w:rPr>
            </w:pPr>
            <w:r>
              <w:rPr>
                <w:rFonts w:hint="eastAsia" w:ascii="宋体"/>
                <w:sz w:val="24"/>
              </w:rPr>
              <w:t>165</w:t>
            </w:r>
          </w:p>
        </w:tc>
      </w:tr>
    </w:tbl>
    <w:p>
      <w:pPr>
        <w:pStyle w:val="2"/>
        <w:spacing w:line="560" w:lineRule="exact"/>
      </w:pPr>
    </w:p>
    <w:p>
      <w:pPr>
        <w:pStyle w:val="7"/>
        <w:numPr>
          <w:ilvl w:val="0"/>
          <w:numId w:val="1"/>
        </w:numPr>
        <w:spacing w:line="560" w:lineRule="exact"/>
        <w:ind w:firstLineChars="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4"/>
        <w:widowControl/>
        <w:shd w:val="clear" w:color="auto" w:fill="FFFFFF"/>
        <w:spacing w:before="0" w:beforeAutospacing="0" w:after="0" w:afterAutospacing="0" w:line="560" w:lineRule="exact"/>
        <w:ind w:firstLine="420"/>
        <w:jc w:val="both"/>
        <w:rPr>
          <w:rFonts w:ascii="宋体" w:hAnsi="宋体" w:cs="宋体"/>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5"/>
        <w:gridCol w:w="942"/>
        <w:gridCol w:w="3210"/>
        <w:gridCol w:w="690"/>
        <w:gridCol w:w="687"/>
        <w:gridCol w:w="687"/>
        <w:gridCol w:w="687"/>
        <w:gridCol w:w="701"/>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rPr>
                <w:rFonts w:ascii="宋体"/>
                <w:sz w:val="24"/>
              </w:rPr>
            </w:pPr>
          </w:p>
        </w:tc>
        <w:tc>
          <w:tcPr>
            <w:tcW w:w="69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9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rPr>
                <w:rFonts w:ascii="宋体"/>
                <w:sz w:val="24"/>
              </w:rPr>
            </w:pPr>
          </w:p>
        </w:tc>
        <w:tc>
          <w:tcPr>
            <w:tcW w:w="69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91"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17</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0"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4160"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2</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bidi="ar"/>
              </w:rPr>
              <w:t>0 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1.属于国家秘密</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2.其他法律行政法规禁止公开</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3.危及“三安全一稳定”</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4.保护第三方合法权益</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5.属于三类内部事务信息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1</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6.属于四类过程性信息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7.属于行政执法案卷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8.属于行政查询事项</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1.本机关不掌握相关政府信息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10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2.没有现成信息需要另行制作</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3.补正后申请内容仍不明确</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1.信访举报投诉类申请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2.重复申请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tabs>
                <w:tab w:val="center" w:pos="346"/>
                <w:tab w:val="left" w:pos="485"/>
              </w:tabs>
              <w:spacing w:line="560" w:lineRule="exact"/>
              <w:jc w:val="left"/>
            </w:pPr>
            <w:r>
              <w:rPr>
                <w:rFonts w:hint="eastAsia" w:ascii="Calibri" w:hAnsi="Calibri" w:cs="Calibri"/>
                <w:kern w:val="0"/>
                <w:sz w:val="20"/>
                <w:szCs w:val="20"/>
                <w:lang w:bidi="ar"/>
              </w:rPr>
              <w:tab/>
            </w:r>
            <w:r>
              <w:rPr>
                <w:rFonts w:ascii="Calibri" w:hAnsi="Calibri" w:cs="Calibri"/>
                <w:kern w:val="0"/>
                <w:sz w:val="20"/>
                <w:szCs w:val="20"/>
                <w:lang w:bidi="ar"/>
              </w:rPr>
              <w:t> </w:t>
            </w:r>
            <w:r>
              <w:rPr>
                <w:rFonts w:hint="eastAsia" w:ascii="Calibri" w:hAnsi="Calibri" w:cs="Calibri"/>
                <w:kern w:val="0"/>
                <w:sz w:val="20"/>
                <w:szCs w:val="20"/>
                <w:lang w:bidi="ar"/>
              </w:rPr>
              <w:tab/>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3.要求提供公开出版物</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left"/>
            </w:pPr>
            <w:r>
              <w:rPr>
                <w:rFonts w:hint="eastAsia" w:ascii="宋体" w:hAnsi="宋体" w:cs="宋体"/>
                <w:kern w:val="0"/>
                <w:sz w:val="20"/>
                <w:szCs w:val="20"/>
                <w:lang w:bidi="ar"/>
              </w:rPr>
              <w:t>4.无正当理由大量反复申请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rPr>
                <w:rFonts w:ascii="Calibri" w:hAnsi="Calibri" w:cs="Calibri"/>
                <w:kern w:val="0"/>
                <w:sz w:val="20"/>
                <w:szCs w:val="20"/>
                <w:lang w:bidi="ar"/>
              </w:rPr>
            </w:pPr>
          </w:p>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rPr>
                <w:rFonts w:ascii="Calibri" w:hAnsi="Calibri" w:cs="Calibri"/>
                <w:kern w:val="0"/>
                <w:sz w:val="20"/>
                <w:szCs w:val="20"/>
                <w:lang w:bidi="ar"/>
              </w:rPr>
            </w:pPr>
          </w:p>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32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560" w:lineRule="exact"/>
              <w:rPr>
                <w:rFonts w:ascii="宋体"/>
                <w:sz w:val="24"/>
              </w:rPr>
            </w:pPr>
          </w:p>
        </w:tc>
        <w:tc>
          <w:tcPr>
            <w:tcW w:w="4160"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16</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91"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sz w:val="24"/>
              </w:rPr>
            </w:pPr>
            <w:r>
              <w:rPr>
                <w:rFonts w:hint="eastAsia" w:ascii="宋体"/>
                <w:sz w:val="24"/>
              </w:rPr>
              <w:t>1</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sz w:val="24"/>
              </w:rPr>
            </w:pPr>
            <w:r>
              <w:rPr>
                <w:rFonts w:hint="eastAsia" w:ascii="宋体"/>
                <w:sz w:val="24"/>
              </w:rPr>
              <w:t>0</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sz w:val="24"/>
              </w:rPr>
            </w:pPr>
            <w:r>
              <w:rPr>
                <w:rFonts w:hint="eastAsia" w:ascii="宋体"/>
                <w:sz w:val="24"/>
              </w:rPr>
              <w:t>0</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sz w:val="24"/>
              </w:rPr>
            </w:pPr>
            <w:r>
              <w:rPr>
                <w:rFonts w:hint="eastAsia" w:ascii="宋体"/>
                <w:sz w:val="24"/>
              </w:rPr>
              <w:t>0</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sz w:val="24"/>
              </w:rPr>
            </w:pPr>
            <w:r>
              <w:rPr>
                <w:rFonts w:hint="eastAsia" w:ascii="宋体"/>
                <w:sz w:val="24"/>
              </w:rPr>
              <w:t>0</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sz w:val="24"/>
              </w:rPr>
            </w:pPr>
            <w:r>
              <w:rPr>
                <w:rFonts w:hint="eastAsia" w:ascii="宋体"/>
                <w:sz w:val="24"/>
              </w:rPr>
              <w:t>0</w:t>
            </w:r>
          </w:p>
        </w:tc>
        <w:tc>
          <w:tcPr>
            <w:tcW w:w="0" w:type="auto"/>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sz w:val="24"/>
              </w:rPr>
            </w:pPr>
            <w:r>
              <w:rPr>
                <w:rFonts w:hint="eastAsia" w:ascii="宋体"/>
                <w:sz w:val="24"/>
              </w:rPr>
              <w:t>1</w:t>
            </w:r>
          </w:p>
        </w:tc>
      </w:tr>
    </w:tbl>
    <w:p>
      <w:pPr>
        <w:pStyle w:val="2"/>
        <w:spacing w:line="560" w:lineRule="exact"/>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rPr>
                <w:rFonts w:ascii="宋体"/>
                <w:sz w:val="24"/>
              </w:rPr>
            </w:pP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1</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1</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1</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3</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0</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bidi="ar"/>
              </w:rPr>
              <w:t>0</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0</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0</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1</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rFonts w:eastAsia="黑体"/>
              </w:rPr>
            </w:pPr>
            <w:r>
              <w:rPr>
                <w:rFonts w:hint="eastAsia" w:ascii="黑体" w:hAnsi="宋体" w:eastAsia="黑体" w:cs="黑体"/>
                <w:kern w:val="0"/>
                <w:sz w:val="20"/>
                <w:szCs w:val="20"/>
                <w:lang w:bidi="ar"/>
              </w:rPr>
              <w:t>1</w:t>
            </w:r>
          </w:p>
        </w:tc>
        <w:tc>
          <w:tcPr>
            <w:tcW w:w="64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560" w:lineRule="exact"/>
              <w:jc w:val="center"/>
              <w:rPr>
                <w:rFonts w:ascii="宋体"/>
                <w:sz w:val="24"/>
              </w:rPr>
            </w:pPr>
            <w:r>
              <w:rPr>
                <w:rFonts w:hint="eastAsia" w:ascii="宋体"/>
                <w:sz w:val="24"/>
              </w:rPr>
              <w:t>2</w:t>
            </w:r>
          </w:p>
        </w:tc>
      </w:tr>
    </w:tbl>
    <w:p>
      <w:pPr>
        <w:widowControl/>
        <w:spacing w:line="560" w:lineRule="exact"/>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存在的主要问题是办理信息依申请公开过程中，由于办理科室完成信息检索、拟写告知书初稿后，需报局领导审批，直至科室最终作出告知书之间会存在时间差，在此期间可能会形成新的与申请内容有关联的信息</w:t>
      </w:r>
      <w:bookmarkStart w:id="0" w:name="_GoBack"/>
      <w:bookmarkEnd w:id="0"/>
      <w:r>
        <w:rPr>
          <w:rFonts w:hint="eastAsia" w:ascii="仿宋_GB2312" w:hAnsi="仿宋_GB2312" w:eastAsia="仿宋_GB2312" w:cs="仿宋_GB2312"/>
          <w:sz w:val="32"/>
          <w:szCs w:val="32"/>
        </w:rPr>
        <w:t>，有存在信息检索不完整的问题。</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下一步，将在信息检索方面加以改进，在完成审批、正式对外发出告知书前，再次对相关信息进行最终检索，以确保提供的信息完整可靠，对检索过程和结果进行截屏或其它形式的有效存证，保证工作严谨性。</w:t>
      </w:r>
    </w:p>
    <w:p>
      <w:pPr>
        <w:widowControl/>
        <w:spacing w:line="560" w:lineRule="exact"/>
        <w:ind w:firstLine="675"/>
        <w:jc w:val="left"/>
        <w:rPr>
          <w:rFonts w:ascii="黑体" w:hAnsi="黑体" w:eastAsia="黑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5"/>
        <w:jc w:val="left"/>
        <w:rPr>
          <w:rFonts w:ascii="黑体" w:hAnsi="黑体" w:eastAsia="黑体" w:cs="黑体"/>
          <w:sz w:val="32"/>
          <w:szCs w:val="32"/>
        </w:rPr>
      </w:pPr>
      <w:r>
        <w:rPr>
          <w:rFonts w:hint="eastAsia" w:ascii="仿宋_GB2312" w:hAnsi="宋体" w:eastAsia="仿宋_GB2312" w:cs="宋体"/>
          <w:spacing w:val="8"/>
          <w:kern w:val="0"/>
          <w:sz w:val="32"/>
          <w:szCs w:val="32"/>
        </w:rPr>
        <w:t>发出收费通知的件数和总金额以及实际收取的总金额均为0。</w:t>
      </w:r>
      <w:r>
        <w:rPr>
          <w:rFonts w:hint="eastAsia" w:ascii="微软雅黑" w:hAnsi="微软雅黑" w:eastAsia="微软雅黑" w:cs="宋体"/>
          <w:kern w:val="0"/>
          <w:sz w:val="32"/>
          <w:szCs w:val="32"/>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B1505"/>
    <w:multiLevelType w:val="multilevel"/>
    <w:tmpl w:val="70AB1505"/>
    <w:lvl w:ilvl="0" w:tentative="0">
      <w:start w:val="3"/>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24403E"/>
    <w:rsid w:val="00341C23"/>
    <w:rsid w:val="00E1212C"/>
    <w:rsid w:val="00E27094"/>
    <w:rsid w:val="03335E64"/>
    <w:rsid w:val="0697754B"/>
    <w:rsid w:val="07A92DED"/>
    <w:rsid w:val="08496451"/>
    <w:rsid w:val="0B503F4F"/>
    <w:rsid w:val="0E8838C2"/>
    <w:rsid w:val="10CC1CD4"/>
    <w:rsid w:val="149C6B6C"/>
    <w:rsid w:val="149D5E43"/>
    <w:rsid w:val="16E11BEA"/>
    <w:rsid w:val="19533FCE"/>
    <w:rsid w:val="1BB54659"/>
    <w:rsid w:val="1D85059A"/>
    <w:rsid w:val="1DA349B5"/>
    <w:rsid w:val="1E911ED9"/>
    <w:rsid w:val="1E94313A"/>
    <w:rsid w:val="2077284E"/>
    <w:rsid w:val="21432A53"/>
    <w:rsid w:val="21BE6790"/>
    <w:rsid w:val="26075B01"/>
    <w:rsid w:val="2E733F2E"/>
    <w:rsid w:val="312F3B8A"/>
    <w:rsid w:val="31BF5DCA"/>
    <w:rsid w:val="35BE4876"/>
    <w:rsid w:val="37AC3BE4"/>
    <w:rsid w:val="37F372CD"/>
    <w:rsid w:val="3C3B5F1D"/>
    <w:rsid w:val="3E1053E4"/>
    <w:rsid w:val="40643B63"/>
    <w:rsid w:val="48C51FC6"/>
    <w:rsid w:val="494C0C88"/>
    <w:rsid w:val="4DA23662"/>
    <w:rsid w:val="507A3FDD"/>
    <w:rsid w:val="5756294F"/>
    <w:rsid w:val="58803E18"/>
    <w:rsid w:val="5EBA33DC"/>
    <w:rsid w:val="60977E50"/>
    <w:rsid w:val="61C2484C"/>
    <w:rsid w:val="61FC300A"/>
    <w:rsid w:val="6A4F6C4E"/>
    <w:rsid w:val="6D595AD2"/>
    <w:rsid w:val="6E6F2629"/>
    <w:rsid w:val="7202449C"/>
    <w:rsid w:val="72B874E6"/>
    <w:rsid w:val="74BD747F"/>
    <w:rsid w:val="767E63AD"/>
    <w:rsid w:val="799F5670"/>
    <w:rsid w:val="7A32595C"/>
    <w:rsid w:val="7C942E82"/>
    <w:rsid w:val="7D442D4D"/>
    <w:rsid w:val="7F5E7B79"/>
    <w:rsid w:val="7F9E49B3"/>
    <w:rsid w:val="7FB5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100" w:beforeAutospacing="1" w:after="100" w:afterAutospacing="1"/>
      <w:jc w:val="left"/>
    </w:pPr>
    <w:rPr>
      <w:kern w:val="0"/>
      <w:sz w:val="24"/>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447</Words>
  <Characters>2549</Characters>
  <Lines>21</Lines>
  <Paragraphs>5</Paragraphs>
  <TotalTime>7</TotalTime>
  <ScaleCrop>false</ScaleCrop>
  <LinksUpToDate>false</LinksUpToDate>
  <CharactersWithSpaces>2991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2026-01-07T09:05:00Z</dcterms:created>
  <dc:creator>lc</dc:creator>
  <cp:lastModifiedBy>Happiness</cp:lastModifiedBy>
  <cp:lastPrinted>2026-01-04T02:44:00Z</cp:lastPrinted>
  <dcterms:modified xsi:type="dcterms:W3CDTF">2026-01-16T09:03:46Z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6875E895816C4DC79A3DCE4CEC33A7CE</vt:lpwstr>
  </property>
</Properties>
</file>