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北京市丰台区财政局</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年政府信息公开工作年度报告</w:t>
      </w:r>
    </w:p>
    <w:p>
      <w:pPr>
        <w:spacing w:line="560" w:lineRule="exact"/>
        <w:jc w:val="center"/>
        <w:rPr>
          <w:sz w:val="44"/>
          <w:szCs w:val="44"/>
        </w:rPr>
      </w:pP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pPr>
        <w:widowControl/>
        <w:spacing w:line="560" w:lineRule="exact"/>
        <w:jc w:val="left"/>
        <w:rPr>
          <w:rFonts w:hint="eastAsia" w:ascii="仿宋_GB2312" w:hAnsi="宋体" w:eastAsia="仿宋_GB2312" w:cs="宋体"/>
          <w:spacing w:val="8"/>
          <w:kern w:val="0"/>
          <w:sz w:val="32"/>
          <w:szCs w:val="32"/>
          <w:lang w:bidi="ar"/>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lang w:bidi="ar"/>
        </w:rPr>
        <w:t>依据《中华人民共和国政府信息公开条例》(以下简称《政府信息公开条例》)第五十条规定，编制本报告。</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一、年度</w:t>
      </w:r>
      <w:r>
        <w:rPr>
          <w:rFonts w:hint="eastAsia" w:ascii="黑体" w:hAnsi="黑体" w:eastAsia="黑体" w:cs="黑体"/>
          <w:sz w:val="32"/>
          <w:szCs w:val="32"/>
          <w:lang w:eastAsia="zh-CN"/>
        </w:rPr>
        <w:t>信息</w:t>
      </w:r>
      <w:r>
        <w:rPr>
          <w:rFonts w:hint="eastAsia" w:ascii="黑体" w:hAnsi="黑体" w:eastAsia="黑体" w:cs="黑体"/>
          <w:sz w:val="32"/>
          <w:szCs w:val="32"/>
        </w:rPr>
        <w:t>公开工作</w:t>
      </w:r>
      <w:r>
        <w:rPr>
          <w:rFonts w:hint="eastAsia" w:ascii="黑体" w:hAnsi="黑体" w:eastAsia="黑体" w:cs="黑体"/>
          <w:sz w:val="32"/>
          <w:szCs w:val="32"/>
          <w:lang w:eastAsia="zh-CN"/>
        </w:rPr>
        <w:t>总体</w:t>
      </w:r>
      <w:r>
        <w:rPr>
          <w:rFonts w:hint="eastAsia" w:ascii="黑体" w:hAnsi="黑体" w:eastAsia="黑体" w:cs="黑体"/>
          <w:sz w:val="32"/>
          <w:szCs w:val="32"/>
        </w:rPr>
        <w:t>情况</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（一）严密组织主动公开各项工作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加强政务信息公开管理</w:t>
      </w:r>
      <w:r>
        <w:rPr>
          <w:rFonts w:hint="eastAsia" w:ascii="仿宋_GB2312" w:eastAsia="仿宋_GB2312"/>
          <w:sz w:val="32"/>
          <w:szCs w:val="32"/>
          <w:lang w:eastAsia="zh-CN"/>
        </w:rPr>
        <w:t>。</w:t>
      </w:r>
      <w:r>
        <w:rPr>
          <w:rFonts w:hint="eastAsia" w:ascii="仿宋_GB2312" w:eastAsia="仿宋_GB2312"/>
          <w:sz w:val="32"/>
          <w:szCs w:val="32"/>
        </w:rPr>
        <w:t>在局内形成“主要领导高度重视，</w:t>
      </w:r>
      <w:r>
        <w:rPr>
          <w:rFonts w:hint="eastAsia" w:ascii="仿宋_GB2312" w:hAnsi="仿宋_GB2312" w:eastAsia="仿宋_GB2312" w:cs="仿宋_GB2312"/>
          <w:sz w:val="32"/>
          <w:szCs w:val="32"/>
          <w:lang w:bidi="ar"/>
        </w:rPr>
        <w:t>办公室组织保障、各科室积极配合</w:t>
      </w:r>
      <w:r>
        <w:rPr>
          <w:rFonts w:hint="eastAsia" w:ascii="仿宋_GB2312" w:eastAsia="仿宋_GB2312"/>
          <w:sz w:val="32"/>
          <w:szCs w:val="32"/>
        </w:rPr>
        <w:t>”的良好工作氛围。严格信息起草、审核、筛选、审校、保密审查、领导审批等各环节流程管理</w:t>
      </w:r>
      <w:r>
        <w:rPr>
          <w:rFonts w:hint="eastAsia" w:ascii="仿宋_GB2312" w:eastAsia="仿宋_GB2312"/>
          <w:sz w:val="32"/>
          <w:szCs w:val="32"/>
          <w:lang w:val="en-US" w:eastAsia="zh-CN"/>
        </w:rPr>
        <w:t>,</w:t>
      </w:r>
      <w:r>
        <w:rPr>
          <w:rFonts w:hint="eastAsia" w:ascii="仿宋_GB2312" w:eastAsia="仿宋_GB2312"/>
          <w:sz w:val="32"/>
          <w:szCs w:val="32"/>
        </w:rPr>
        <w:t>填写《区政府门户网站信息发布审批表》。</w:t>
      </w:r>
      <w:r>
        <w:rPr>
          <w:rFonts w:hint="eastAsia" w:ascii="仿宋_GB2312" w:eastAsia="仿宋_GB2312"/>
          <w:sz w:val="32"/>
          <w:szCs w:val="32"/>
          <w:u w:val="none"/>
        </w:rPr>
        <w:t>2024年</w:t>
      </w:r>
      <w:r>
        <w:rPr>
          <w:rFonts w:hint="eastAsia" w:ascii="仿宋_GB2312" w:eastAsia="仿宋_GB2312"/>
          <w:sz w:val="32"/>
          <w:szCs w:val="32"/>
        </w:rPr>
        <w:t>我局通过</w:t>
      </w:r>
      <w:r>
        <w:rPr>
          <w:rFonts w:hint="eastAsia" w:ascii="仿宋_GB2312" w:eastAsia="仿宋_GB2312"/>
          <w:sz w:val="32"/>
          <w:szCs w:val="32"/>
          <w:lang w:eastAsia="zh-CN"/>
        </w:rPr>
        <w:t>区政府</w:t>
      </w:r>
      <w:r>
        <w:rPr>
          <w:rFonts w:hint="eastAsia" w:ascii="仿宋_GB2312" w:eastAsia="仿宋_GB2312"/>
          <w:sz w:val="32"/>
          <w:szCs w:val="32"/>
        </w:rPr>
        <w:t>门户网站主动向社会公开信息</w:t>
      </w:r>
      <w:r>
        <w:rPr>
          <w:rFonts w:hint="eastAsia" w:ascii="仿宋_GB2312" w:eastAsia="仿宋_GB2312"/>
          <w:sz w:val="32"/>
          <w:szCs w:val="32"/>
          <w:u w:val="none"/>
          <w:lang w:val="en-US" w:eastAsia="zh-CN"/>
        </w:rPr>
        <w:t>222</w:t>
      </w:r>
      <w:r>
        <w:rPr>
          <w:rFonts w:hint="eastAsia" w:ascii="仿宋_GB2312" w:eastAsia="仿宋_GB2312"/>
          <w:sz w:val="32"/>
          <w:szCs w:val="32"/>
        </w:rPr>
        <w:t>条。</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认真做好2024年政务公开全清单更新工作</w:t>
      </w:r>
      <w:r>
        <w:rPr>
          <w:rFonts w:hint="eastAsia" w:ascii="仿宋_GB2312" w:eastAsia="仿宋_GB2312"/>
          <w:sz w:val="32"/>
          <w:szCs w:val="32"/>
          <w:lang w:eastAsia="zh-CN"/>
        </w:rPr>
        <w:t>。</w:t>
      </w:r>
      <w:r>
        <w:rPr>
          <w:rFonts w:hint="eastAsia" w:ascii="仿宋_GB2312" w:eastAsia="仿宋_GB2312"/>
          <w:sz w:val="32"/>
          <w:szCs w:val="32"/>
        </w:rPr>
        <w:t>组织全局所有科室对照各自职责，对原有《丰台区财政局政府信息公开全清单》所涉事项职责进行核查，及时提出变更需求，汇总更新了《丰台区财政局政府信息全清单（2024）》，并按主动公开要求提取了《丰台区财政局政府信息主动公开清单（2024）》。</w:t>
      </w:r>
    </w:p>
    <w:p>
      <w:pPr>
        <w:pStyle w:val="7"/>
        <w:widowControl/>
        <w:autoSpaceDE w:val="0"/>
        <w:snapToGrid w:val="0"/>
        <w:spacing w:beforeAutospacing="0" w:afterAutospacing="0" w:line="560" w:lineRule="atLeast"/>
        <w:ind w:firstLine="640"/>
        <w:jc w:val="both"/>
        <w:rPr>
          <w:rFonts w:ascii="仿宋_GB2312" w:hAnsi="仿宋_GB2312" w:eastAsia="仿宋_GB2312" w:cs="仿宋_GB2312"/>
          <w:sz w:val="32"/>
          <w:szCs w:val="32"/>
        </w:rPr>
      </w:pPr>
      <w:r>
        <w:rPr>
          <w:rFonts w:hint="eastAsia" w:ascii="仿宋_GB2312" w:eastAsia="仿宋_GB2312"/>
          <w:sz w:val="32"/>
          <w:szCs w:val="32"/>
          <w:lang w:val="en-US" w:eastAsia="zh-CN"/>
        </w:rPr>
        <w:t>3.</w:t>
      </w:r>
      <w:r>
        <w:rPr>
          <w:rFonts w:hint="eastAsia" w:ascii="仿宋_GB2312" w:eastAsia="仿宋_GB2312" w:cstheme="minorBidi"/>
          <w:kern w:val="2"/>
          <w:sz w:val="32"/>
          <w:szCs w:val="32"/>
          <w:lang w:eastAsia="zh-CN"/>
        </w:rPr>
        <w:t>认真组织</w:t>
      </w:r>
      <w:r>
        <w:rPr>
          <w:rFonts w:hint="eastAsia" w:ascii="仿宋_GB2312" w:eastAsia="仿宋_GB2312" w:cstheme="minorBidi"/>
          <w:kern w:val="2"/>
          <w:sz w:val="32"/>
          <w:szCs w:val="32"/>
        </w:rPr>
        <w:t>财政预决算信息公开。</w:t>
      </w:r>
      <w:r>
        <w:rPr>
          <w:rFonts w:hint="eastAsia" w:ascii="仿宋_GB2312" w:eastAsia="仿宋_GB2312" w:cstheme="minorBidi"/>
          <w:kern w:val="2"/>
          <w:sz w:val="32"/>
          <w:szCs w:val="32"/>
          <w:lang w:eastAsia="zh-CN"/>
        </w:rPr>
        <w:t>包括：</w:t>
      </w:r>
      <w:r>
        <w:rPr>
          <w:rFonts w:hint="eastAsia" w:ascii="仿宋_GB2312" w:eastAsia="仿宋_GB2312"/>
          <w:b/>
          <w:bCs/>
          <w:sz w:val="32"/>
          <w:szCs w:val="32"/>
        </w:rPr>
        <w:t>政府预算、调整预算公开。</w:t>
      </w:r>
      <w:r>
        <w:rPr>
          <w:rFonts w:hint="eastAsia" w:ascii="仿宋_GB2312" w:eastAsia="仿宋_GB2312"/>
          <w:sz w:val="32"/>
          <w:szCs w:val="32"/>
          <w:lang w:eastAsia="zh-CN"/>
        </w:rPr>
        <w:t>分别按照区</w:t>
      </w:r>
      <w:r>
        <w:rPr>
          <w:rFonts w:hint="eastAsia" w:ascii="仿宋_GB2312" w:eastAsia="仿宋_GB2312"/>
          <w:sz w:val="32"/>
          <w:szCs w:val="32"/>
        </w:rPr>
        <w:t>十七届人代会</w:t>
      </w:r>
      <w:r>
        <w:rPr>
          <w:rFonts w:hint="eastAsia" w:ascii="仿宋_GB2312" w:eastAsia="仿宋_GB2312"/>
          <w:sz w:val="32"/>
          <w:szCs w:val="32"/>
          <w:lang w:eastAsia="zh-CN"/>
        </w:rPr>
        <w:t>、常员会的批准，</w:t>
      </w:r>
      <w:r>
        <w:rPr>
          <w:rFonts w:hint="eastAsia" w:ascii="仿宋_GB2312" w:eastAsia="仿宋_GB2312"/>
          <w:sz w:val="32"/>
          <w:szCs w:val="32"/>
        </w:rPr>
        <w:t>2024年</w:t>
      </w:r>
      <w:r>
        <w:rPr>
          <w:rFonts w:hint="eastAsia" w:ascii="仿宋_GB2312" w:hAnsi="仿宋_GB2312" w:eastAsia="仿宋_GB2312" w:cs="仿宋_GB2312"/>
          <w:sz w:val="32"/>
          <w:szCs w:val="32"/>
        </w:rPr>
        <w:t>1月25日在区政府网站上公开</w:t>
      </w:r>
      <w:r>
        <w:rPr>
          <w:rFonts w:hint="eastAsia" w:ascii="仿宋_GB2312" w:hAnsi="仿宋_GB2312" w:eastAsia="仿宋_GB2312" w:cs="仿宋_GB2312"/>
          <w:sz w:val="32"/>
          <w:szCs w:val="32"/>
          <w:lang w:val="en-US" w:eastAsia="zh-CN"/>
        </w:rPr>
        <w:t>2024年度政府</w:t>
      </w:r>
      <w:r>
        <w:rPr>
          <w:rFonts w:hint="eastAsia" w:ascii="仿宋_GB2312" w:hAnsi="仿宋_GB2312" w:eastAsia="仿宋_GB2312" w:cs="仿宋_GB2312"/>
          <w:sz w:val="32"/>
          <w:szCs w:val="32"/>
        </w:rPr>
        <w:t>预算报告、预算草案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2024年8月9日在区政府网站上公开第一次调整预算</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调整预算报告、调整预算表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2024年10月12日在区政府网站上公开第二次调整预算</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调整预算报告、调整预算表。</w:t>
      </w:r>
      <w:r>
        <w:rPr>
          <w:rFonts w:hint="eastAsia" w:ascii="仿宋_GB2312" w:hAnsi="仿宋_GB2312" w:eastAsia="仿宋_GB2312" w:cs="仿宋_GB2312"/>
          <w:b/>
          <w:bCs/>
          <w:sz w:val="32"/>
          <w:szCs w:val="32"/>
        </w:rPr>
        <w:t>政府决算公开。</w:t>
      </w:r>
      <w:r>
        <w:rPr>
          <w:rFonts w:hint="eastAsia" w:ascii="仿宋_GB2312" w:hAnsi="仿宋_GB2312" w:eastAsia="仿宋_GB2312" w:cs="仿宋_GB2312"/>
          <w:sz w:val="32"/>
          <w:szCs w:val="32"/>
          <w:lang w:eastAsia="zh-CN"/>
        </w:rPr>
        <w:t>按</w:t>
      </w:r>
      <w:r>
        <w:rPr>
          <w:rFonts w:hint="eastAsia" w:ascii="仿宋_GB2312" w:hAnsi="仿宋_GB2312" w:eastAsia="仿宋_GB2312" w:cs="仿宋_GB2312"/>
          <w:sz w:val="32"/>
          <w:szCs w:val="32"/>
        </w:rPr>
        <w:t>区人大常委会批准，2024年8月9日在区政府网站上公开</w:t>
      </w:r>
      <w:r>
        <w:rPr>
          <w:rFonts w:hint="eastAsia" w:ascii="仿宋_GB2312" w:hAnsi="仿宋_GB2312" w:eastAsia="仿宋_GB2312" w:cs="仿宋_GB2312"/>
          <w:sz w:val="32"/>
          <w:szCs w:val="32"/>
          <w:lang w:val="en-US" w:eastAsia="zh-CN"/>
        </w:rPr>
        <w:t>2023年度政府</w:t>
      </w:r>
      <w:r>
        <w:rPr>
          <w:rFonts w:hint="eastAsia" w:ascii="仿宋_GB2312" w:hAnsi="仿宋_GB2312" w:eastAsia="仿宋_GB2312" w:cs="仿宋_GB2312"/>
          <w:sz w:val="32"/>
          <w:szCs w:val="32"/>
        </w:rPr>
        <w:t>决算报告、决算草案、三公经费安排说明、转移支付安排说明、绩效管理情况说明</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部门预算公开。</w:t>
      </w:r>
      <w:r>
        <w:rPr>
          <w:rFonts w:hint="eastAsia" w:ascii="仿宋_GB2312" w:hAnsi="仿宋_GB2312" w:eastAsia="仿宋_GB2312" w:cs="仿宋_GB2312"/>
          <w:sz w:val="32"/>
          <w:szCs w:val="32"/>
        </w:rPr>
        <w:t>2024年1月19日完成部门预算批复，</w:t>
      </w:r>
      <w:r>
        <w:rPr>
          <w:rFonts w:hint="eastAsia" w:ascii="仿宋_GB2312" w:hAnsi="仿宋_GB2312" w:eastAsia="仿宋_GB2312" w:cs="仿宋_GB2312"/>
          <w:sz w:val="32"/>
          <w:szCs w:val="32"/>
          <w:lang w:eastAsia="zh-CN"/>
        </w:rPr>
        <w:t>组织全</w:t>
      </w:r>
      <w:r>
        <w:rPr>
          <w:rFonts w:hint="eastAsia" w:ascii="仿宋_GB2312" w:hAnsi="仿宋_GB2312" w:eastAsia="仿宋_GB2312" w:cs="仿宋_GB2312"/>
          <w:sz w:val="32"/>
          <w:szCs w:val="32"/>
        </w:rPr>
        <w:t>区295家预算公开部门（单位）</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rPr>
        <w:t>1月31日在区政府网站及单位门户网站统一公开</w:t>
      </w:r>
      <w:r>
        <w:rPr>
          <w:rFonts w:hint="eastAsia" w:ascii="仿宋_GB2312" w:hAnsi="仿宋_GB2312" w:eastAsia="仿宋_GB2312" w:cs="仿宋_GB2312"/>
          <w:sz w:val="32"/>
          <w:szCs w:val="32"/>
          <w:lang w:eastAsia="zh-CN"/>
        </w:rPr>
        <w:t>部门年度预算情况，</w:t>
      </w:r>
      <w:r>
        <w:rPr>
          <w:rFonts w:hint="eastAsia" w:ascii="仿宋_GB2312" w:hAnsi="仿宋_GB2312" w:eastAsia="仿宋_GB2312" w:cs="仿宋_GB2312"/>
          <w:sz w:val="32"/>
          <w:szCs w:val="32"/>
        </w:rPr>
        <w:t>实现除法定涉密信息及涉密部门外，使用财政资金的区级部门及其下属二级单位均向社会进行公开。</w:t>
      </w:r>
      <w:r>
        <w:rPr>
          <w:rFonts w:hint="eastAsia" w:ascii="仿宋_GB2312" w:hAnsi="仿宋_GB2312" w:eastAsia="仿宋_GB2312" w:cs="仿宋_GB2312"/>
          <w:b/>
          <w:bCs/>
          <w:sz w:val="32"/>
          <w:szCs w:val="32"/>
        </w:rPr>
        <w:t>部门决算公开。</w:t>
      </w:r>
      <w:r>
        <w:rPr>
          <w:rFonts w:hint="eastAsia" w:ascii="仿宋_GB2312" w:hAnsi="仿宋_GB2312" w:eastAsia="仿宋_GB2312" w:cs="仿宋_GB2312"/>
          <w:b w:val="0"/>
          <w:bCs w:val="0"/>
          <w:sz w:val="32"/>
          <w:szCs w:val="32"/>
          <w:lang w:eastAsia="zh-CN"/>
        </w:rPr>
        <w:t>组织全区</w:t>
      </w:r>
      <w:r>
        <w:rPr>
          <w:rFonts w:hint="eastAsia" w:ascii="仿宋_GB2312" w:hAnsi="仿宋_GB2312" w:eastAsia="仿宋_GB2312" w:cs="仿宋_GB2312"/>
          <w:b w:val="0"/>
          <w:bCs w:val="0"/>
          <w:sz w:val="32"/>
          <w:szCs w:val="32"/>
          <w:lang w:val="en-US" w:eastAsia="zh-CN"/>
        </w:rPr>
        <w:t>312家</w:t>
      </w:r>
      <w:r>
        <w:rPr>
          <w:rFonts w:hint="eastAsia" w:ascii="仿宋_GB2312" w:eastAsia="仿宋_GB2312"/>
          <w:sz w:val="32"/>
          <w:szCs w:val="32"/>
        </w:rPr>
        <w:t>除法定涉密信息外</w:t>
      </w:r>
      <w:r>
        <w:rPr>
          <w:rFonts w:hint="eastAsia" w:ascii="仿宋_GB2312" w:eastAsia="仿宋_GB2312"/>
          <w:sz w:val="32"/>
          <w:szCs w:val="32"/>
          <w:lang w:eastAsia="zh-CN"/>
        </w:rPr>
        <w:t>、</w:t>
      </w:r>
      <w:r>
        <w:rPr>
          <w:rFonts w:hint="eastAsia" w:ascii="仿宋_GB2312" w:eastAsia="仿宋_GB2312"/>
          <w:sz w:val="32"/>
          <w:szCs w:val="32"/>
        </w:rPr>
        <w:t>使用财政资金的部门及其下属二级单位</w:t>
      </w:r>
      <w:r>
        <w:rPr>
          <w:rFonts w:hint="eastAsia" w:ascii="仿宋_GB2312" w:eastAsia="仿宋_GB2312"/>
          <w:sz w:val="32"/>
          <w:szCs w:val="32"/>
          <w:lang w:eastAsia="zh-CN"/>
        </w:rPr>
        <w:t>，于</w:t>
      </w:r>
      <w:r>
        <w:rPr>
          <w:rFonts w:hint="eastAsia" w:ascii="仿宋_GB2312" w:eastAsia="仿宋_GB2312"/>
          <w:sz w:val="32"/>
          <w:szCs w:val="32"/>
          <w:lang w:val="en-US" w:eastAsia="zh-CN"/>
        </w:rPr>
        <w:t>2024年</w:t>
      </w:r>
      <w:r>
        <w:rPr>
          <w:rFonts w:hint="eastAsia" w:ascii="仿宋_GB2312" w:eastAsia="仿宋_GB2312"/>
          <w:sz w:val="32"/>
          <w:szCs w:val="32"/>
        </w:rPr>
        <w:t>8</w:t>
      </w:r>
      <w:r>
        <w:rPr>
          <w:rFonts w:hint="eastAsia" w:ascii="仿宋_GB2312" w:hAnsi="Calibri" w:eastAsia="仿宋_GB2312" w:cs="Times New Roman"/>
          <w:sz w:val="32"/>
          <w:szCs w:val="32"/>
        </w:rPr>
        <w:t>月26日，在区政府</w:t>
      </w:r>
      <w:r>
        <w:rPr>
          <w:rFonts w:hint="eastAsia" w:ascii="仿宋_GB2312" w:hAnsi="仿宋_GB2312" w:eastAsia="仿宋_GB2312" w:cs="仿宋_GB2312"/>
          <w:sz w:val="32"/>
          <w:szCs w:val="32"/>
        </w:rPr>
        <w:t>门户</w:t>
      </w:r>
      <w:r>
        <w:rPr>
          <w:rFonts w:hint="eastAsia" w:ascii="仿宋_GB2312" w:hAnsi="Calibri" w:eastAsia="仿宋_GB2312" w:cs="Times New Roman"/>
          <w:sz w:val="32"/>
          <w:szCs w:val="32"/>
        </w:rPr>
        <w:t>网站及单位门户网站公开</w:t>
      </w:r>
      <w:r>
        <w:rPr>
          <w:rFonts w:hint="eastAsia" w:ascii="仿宋_GB2312" w:eastAsia="仿宋_GB2312"/>
          <w:sz w:val="32"/>
          <w:szCs w:val="32"/>
        </w:rPr>
        <w:t>2023年部门（单位）决算</w:t>
      </w:r>
      <w:r>
        <w:rPr>
          <w:rFonts w:hint="eastAsia" w:ascii="仿宋_GB2312" w:eastAsia="仿宋_GB2312"/>
          <w:sz w:val="32"/>
          <w:szCs w:val="32"/>
          <w:lang w:eastAsia="zh-CN"/>
        </w:rPr>
        <w:t>情况，</w:t>
      </w:r>
      <w:r>
        <w:rPr>
          <w:rFonts w:hint="eastAsia" w:ascii="仿宋_GB2312" w:eastAsia="仿宋_GB2312"/>
          <w:sz w:val="32"/>
          <w:szCs w:val="32"/>
        </w:rPr>
        <w:t>公开部门决算报表、部门决算说明、其他重要事项的情况说明以及部门绩效评价情况等</w:t>
      </w:r>
      <w:r>
        <w:rPr>
          <w:rFonts w:hint="eastAsia" w:ascii="仿宋_GB2312" w:eastAsia="仿宋_GB2312"/>
          <w:sz w:val="32"/>
          <w:szCs w:val="32"/>
          <w:lang w:eastAsia="zh-CN"/>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4.及时公开</w:t>
      </w:r>
      <w:r>
        <w:rPr>
          <w:rFonts w:hint="eastAsia" w:ascii="仿宋_GB2312" w:hAnsi="仿宋_GB2312" w:eastAsia="仿宋_GB2312" w:cs="仿宋_GB2312"/>
          <w:sz w:val="32"/>
          <w:szCs w:val="32"/>
        </w:rPr>
        <w:t>财政资金直达基层使用</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包括教育、医疗、基本公共卫生、保障性住房、特殊对象救助补助、灾后重建及提升防灾减灾能力等民生领域精准投放，重点民生支出等资金使用情况。</w:t>
      </w:r>
    </w:p>
    <w:p>
      <w:pPr>
        <w:spacing w:line="560" w:lineRule="exact"/>
        <w:ind w:firstLine="640" w:firstLineChars="200"/>
        <w:rPr>
          <w:rFonts w:ascii="仿宋_GB2312" w:hAnsi="Calibri" w:eastAsia="仿宋_GB2312" w:cs="Times New Roman"/>
          <w:sz w:val="32"/>
          <w:szCs w:val="32"/>
        </w:rPr>
      </w:pPr>
      <w:r>
        <w:rPr>
          <w:rFonts w:hint="eastAsia" w:ascii="仿宋_GB2312" w:hAnsi="仿宋_GB2312" w:eastAsia="仿宋_GB2312" w:cs="仿宋_GB2312"/>
          <w:sz w:val="32"/>
          <w:szCs w:val="32"/>
          <w:lang w:val="en-US" w:eastAsia="zh-CN"/>
        </w:rPr>
        <w:t>5.持续</w:t>
      </w:r>
      <w:r>
        <w:rPr>
          <w:rFonts w:hint="eastAsia" w:ascii="仿宋_GB2312" w:hAnsi="仿宋_GB2312" w:eastAsia="仿宋_GB2312" w:cs="仿宋_GB2312"/>
          <w:sz w:val="32"/>
          <w:szCs w:val="32"/>
        </w:rPr>
        <w:t>推进执</w:t>
      </w:r>
      <w:r>
        <w:rPr>
          <w:rFonts w:hint="eastAsia" w:ascii="仿宋_GB2312" w:hAnsi="仿宋_GB2312" w:eastAsia="仿宋_GB2312" w:cs="仿宋_GB2312"/>
          <w:sz w:val="32"/>
          <w:szCs w:val="32"/>
          <w:lang w:eastAsia="zh-CN"/>
        </w:rPr>
        <w:t>行</w:t>
      </w:r>
      <w:r>
        <w:rPr>
          <w:rFonts w:hint="eastAsia" w:ascii="仿宋_GB2312" w:hAnsi="仿宋_GB2312" w:eastAsia="仿宋_GB2312" w:cs="仿宋_GB2312"/>
          <w:sz w:val="32"/>
          <w:szCs w:val="32"/>
        </w:rPr>
        <w:t>信息公开。</w:t>
      </w:r>
      <w:r>
        <w:rPr>
          <w:rFonts w:hint="eastAsia" w:ascii="仿宋_GB2312" w:hAnsi="仿宋_GB2312" w:eastAsia="仿宋_GB2312" w:cs="仿宋_GB2312"/>
          <w:sz w:val="32"/>
          <w:szCs w:val="32"/>
          <w:lang w:eastAsia="zh-CN"/>
        </w:rPr>
        <w:t>按期</w:t>
      </w:r>
      <w:r>
        <w:rPr>
          <w:rFonts w:hint="eastAsia" w:ascii="仿宋_GB2312" w:hAnsi="仿宋_GB2312" w:eastAsia="仿宋_GB2312" w:cs="仿宋_GB2312"/>
          <w:sz w:val="32"/>
          <w:szCs w:val="32"/>
        </w:rPr>
        <w:t>公开我局年度财会监督工作计划、季度执法检查计划和检查结果等信息。</w:t>
      </w:r>
      <w:r>
        <w:rPr>
          <w:rFonts w:hint="eastAsia" w:ascii="仿宋_GB2312" w:eastAsia="仿宋_GB2312"/>
          <w:sz w:val="32"/>
          <w:szCs w:val="32"/>
        </w:rPr>
        <w:t>响应代理记账申请，加快审批力度，及时</w:t>
      </w:r>
      <w:r>
        <w:rPr>
          <w:rFonts w:hint="eastAsia" w:ascii="仿宋_GB2312" w:hAnsi="Calibri" w:eastAsia="仿宋_GB2312" w:cs="Times New Roman"/>
          <w:sz w:val="32"/>
          <w:szCs w:val="32"/>
        </w:rPr>
        <w:t>通过“政务公开——财政信息”栏目</w:t>
      </w:r>
      <w:r>
        <w:rPr>
          <w:rFonts w:hint="eastAsia" w:ascii="仿宋_GB2312" w:eastAsia="仿宋_GB2312"/>
          <w:sz w:val="32"/>
          <w:szCs w:val="32"/>
        </w:rPr>
        <w:t>发布代理记账审批结果。</w:t>
      </w:r>
      <w:r>
        <w:rPr>
          <w:rFonts w:hint="eastAsia" w:ascii="仿宋_GB2312" w:eastAsia="仿宋_GB2312"/>
          <w:sz w:val="32"/>
          <w:szCs w:val="32"/>
          <w:u w:val="none"/>
        </w:rPr>
        <w:t>202</w:t>
      </w:r>
      <w:r>
        <w:rPr>
          <w:rFonts w:hint="eastAsia" w:ascii="仿宋_GB2312" w:eastAsia="仿宋_GB2312"/>
          <w:sz w:val="32"/>
          <w:szCs w:val="32"/>
          <w:u w:val="none"/>
          <w:lang w:val="en-US" w:eastAsia="zh-CN"/>
        </w:rPr>
        <w:t>4</w:t>
      </w:r>
      <w:r>
        <w:rPr>
          <w:rFonts w:hint="eastAsia" w:ascii="仿宋_GB2312" w:eastAsia="仿宋_GB2312"/>
          <w:sz w:val="32"/>
          <w:szCs w:val="32"/>
          <w:u w:val="none"/>
        </w:rPr>
        <w:t>年，审批代理记账事项并公开审批结果</w:t>
      </w:r>
      <w:r>
        <w:rPr>
          <w:rFonts w:hint="eastAsia" w:ascii="仿宋_GB2312" w:eastAsia="仿宋_GB2312"/>
          <w:sz w:val="32"/>
          <w:szCs w:val="32"/>
          <w:u w:val="none"/>
          <w:lang w:val="en-US" w:eastAsia="zh-CN"/>
        </w:rPr>
        <w:t>73</w:t>
      </w:r>
      <w:r>
        <w:rPr>
          <w:rFonts w:hint="eastAsia" w:ascii="仿宋_GB2312" w:eastAsia="仿宋_GB2312"/>
          <w:sz w:val="32"/>
          <w:szCs w:val="32"/>
          <w:u w:val="none"/>
        </w:rPr>
        <w:t>条。</w:t>
      </w:r>
      <w:r>
        <w:rPr>
          <w:rFonts w:hint="eastAsia" w:ascii="仿宋_GB2312" w:eastAsia="仿宋_GB2312"/>
          <w:sz w:val="32"/>
          <w:szCs w:val="32"/>
        </w:rPr>
        <w:t>全时关注</w:t>
      </w:r>
      <w:r>
        <w:rPr>
          <w:rFonts w:hint="eastAsia" w:ascii="仿宋_GB2312" w:hAnsi="仿宋_GB2312" w:eastAsia="仿宋_GB2312" w:cs="仿宋_GB2312"/>
          <w:color w:val="000000"/>
          <w:kern w:val="0"/>
          <w:sz w:val="32"/>
          <w:szCs w:val="32"/>
          <w:lang w:bidi="ar"/>
        </w:rPr>
        <w:t>市级</w:t>
      </w:r>
      <w:r>
        <w:rPr>
          <w:rFonts w:hint="eastAsia" w:ascii="仿宋_GB2312" w:hAnsi="Calibri" w:eastAsia="仿宋_GB2312" w:cs="Times New Roman"/>
          <w:sz w:val="32"/>
          <w:szCs w:val="32"/>
        </w:rPr>
        <w:t>行政事业性收费信息变化，</w:t>
      </w:r>
      <w:r>
        <w:rPr>
          <w:rFonts w:hint="eastAsia" w:ascii="仿宋_GB2312" w:hAnsi="Calibri" w:eastAsia="仿宋_GB2312" w:cs="Times New Roman"/>
          <w:sz w:val="32"/>
          <w:szCs w:val="32"/>
          <w:lang w:eastAsia="zh-CN"/>
        </w:rPr>
        <w:t>及时</w:t>
      </w:r>
      <w:r>
        <w:rPr>
          <w:rFonts w:hint="eastAsia" w:ascii="仿宋_GB2312" w:hAnsi="Calibri" w:eastAsia="仿宋_GB2312" w:cs="Times New Roman"/>
          <w:sz w:val="32"/>
          <w:szCs w:val="32"/>
        </w:rPr>
        <w:t>更新《北京市行政事业性收费目录清单》、《北京市涉企行政事业性收费目录清单》、《北京市政府性基金目录清单》。</w:t>
      </w:r>
    </w:p>
    <w:p>
      <w:pPr>
        <w:spacing w:line="560" w:lineRule="exact"/>
        <w:ind w:firstLine="640" w:firstLineChars="200"/>
        <w:rPr>
          <w:rFonts w:ascii="仿宋_GB2312" w:hAnsi="宋体" w:eastAsia="仿宋_GB2312" w:cs="宋体"/>
          <w:kern w:val="0"/>
          <w:sz w:val="32"/>
          <w:szCs w:val="32"/>
        </w:rPr>
      </w:pPr>
      <w:r>
        <w:rPr>
          <w:rFonts w:hint="eastAsia" w:ascii="楷体_GB2312" w:hAnsi="楷体_GB2312" w:eastAsia="楷体_GB2312" w:cs="楷体_GB2312"/>
          <w:sz w:val="32"/>
          <w:szCs w:val="32"/>
        </w:rPr>
        <w:t>（二）依法做好信息依申请公开工作</w:t>
      </w:r>
      <w:r>
        <w:rPr>
          <w:rFonts w:hint="eastAsia" w:ascii="楷体_GB2312" w:hAnsi="楷体_GB2312" w:eastAsia="楷体_GB2312" w:cs="楷体_GB2312"/>
          <w:sz w:val="32"/>
          <w:szCs w:val="32"/>
          <w:lang w:val="en-US" w:eastAsia="zh-CN"/>
        </w:rPr>
        <w:t>。</w:t>
      </w:r>
      <w:r>
        <w:rPr>
          <w:rFonts w:hint="eastAsia" w:ascii="仿宋_GB2312" w:hAnsi="Calibri" w:eastAsia="仿宋_GB2312" w:cs="Times New Roman"/>
          <w:sz w:val="32"/>
          <w:szCs w:val="32"/>
        </w:rPr>
        <w:t>加强对</w:t>
      </w:r>
      <w:r>
        <w:rPr>
          <w:rFonts w:hint="eastAsia" w:ascii="仿宋_GB2312" w:hAnsi="Calibri" w:eastAsia="仿宋_GB2312" w:cs="Times New Roman"/>
          <w:sz w:val="32"/>
          <w:szCs w:val="32"/>
          <w:lang w:eastAsia="zh-CN"/>
        </w:rPr>
        <w:t>新</w:t>
      </w:r>
      <w:r>
        <w:rPr>
          <w:rFonts w:hint="eastAsia" w:ascii="仿宋_GB2312" w:hAnsi="Calibri" w:eastAsia="仿宋_GB2312" w:cs="Times New Roman"/>
          <w:sz w:val="32"/>
          <w:szCs w:val="32"/>
        </w:rPr>
        <w:t>法规的学习应用，</w:t>
      </w:r>
      <w:r>
        <w:rPr>
          <w:rFonts w:hint="eastAsia" w:ascii="仿宋_GB2312" w:hAnsi="Calibri" w:eastAsia="仿宋_GB2312" w:cs="Times New Roman"/>
          <w:sz w:val="32"/>
          <w:szCs w:val="32"/>
          <w:lang w:eastAsia="zh-CN"/>
        </w:rPr>
        <w:t>及时更新</w:t>
      </w:r>
      <w:r>
        <w:rPr>
          <w:rFonts w:hint="eastAsia" w:ascii="仿宋_GB2312" w:hAnsi="Calibri" w:eastAsia="仿宋_GB2312" w:cs="Times New Roman"/>
          <w:sz w:val="32"/>
          <w:szCs w:val="32"/>
        </w:rPr>
        <w:t>《政府信息公开指南》，保证指南中要素齐全。</w:t>
      </w:r>
      <w:r>
        <w:rPr>
          <w:rFonts w:hint="eastAsia" w:ascii="仿宋_GB2312" w:hAnsi="Calibri" w:eastAsia="仿宋_GB2312" w:cs="Times New Roman"/>
          <w:sz w:val="32"/>
          <w:szCs w:val="32"/>
          <w:lang w:eastAsia="zh-CN"/>
        </w:rPr>
        <w:t>加强对</w:t>
      </w:r>
      <w:r>
        <w:rPr>
          <w:rFonts w:hint="eastAsia" w:ascii="仿宋_GB2312" w:hAnsi="Calibri" w:eastAsia="仿宋_GB2312" w:cs="Times New Roman"/>
          <w:sz w:val="32"/>
          <w:szCs w:val="32"/>
        </w:rPr>
        <w:t>局政务邮箱</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维护电话</w:t>
      </w:r>
      <w:r>
        <w:rPr>
          <w:rFonts w:hint="eastAsia" w:ascii="仿宋_GB2312" w:hAnsi="宋体" w:eastAsia="仿宋_GB2312" w:cs="宋体"/>
          <w:kern w:val="0"/>
          <w:sz w:val="32"/>
          <w:szCs w:val="32"/>
        </w:rPr>
        <w:t>、传真等系统</w:t>
      </w:r>
      <w:r>
        <w:rPr>
          <w:rFonts w:hint="eastAsia" w:ascii="仿宋_GB2312" w:hAnsi="宋体" w:eastAsia="仿宋_GB2312" w:cs="宋体"/>
          <w:kern w:val="0"/>
          <w:sz w:val="32"/>
          <w:szCs w:val="32"/>
          <w:lang w:eastAsia="zh-CN"/>
        </w:rPr>
        <w:t>维护</w:t>
      </w:r>
      <w:r>
        <w:rPr>
          <w:rFonts w:hint="eastAsia" w:ascii="仿宋_GB2312" w:hAnsi="宋体" w:eastAsia="仿宋_GB2312" w:cs="宋体"/>
          <w:kern w:val="0"/>
          <w:sz w:val="32"/>
          <w:szCs w:val="32"/>
        </w:rPr>
        <w:t>，做好当面申请引导，满足线上、线下的多重申请需求。</w:t>
      </w:r>
      <w:r>
        <w:rPr>
          <w:rFonts w:hint="eastAsia" w:ascii="仿宋_GB2312" w:hAnsi="Calibri" w:eastAsia="仿宋_GB2312" w:cs="Times New Roman"/>
          <w:sz w:val="32"/>
          <w:szCs w:val="32"/>
          <w:lang w:eastAsia="zh-CN"/>
        </w:rPr>
        <w:t>认真办理依申请件，按时按规保质</w:t>
      </w:r>
      <w:r>
        <w:rPr>
          <w:rFonts w:hint="eastAsia" w:ascii="仿宋_GB2312" w:hAnsi="Calibri" w:eastAsia="仿宋_GB2312" w:cs="Times New Roman"/>
          <w:sz w:val="32"/>
          <w:szCs w:val="32"/>
        </w:rPr>
        <w:t>答复</w:t>
      </w:r>
      <w:r>
        <w:rPr>
          <w:rFonts w:hint="eastAsia" w:ascii="仿宋_GB2312" w:hAnsi="Calibri" w:eastAsia="仿宋_GB2312" w:cs="Times New Roman"/>
          <w:sz w:val="32"/>
          <w:szCs w:val="32"/>
          <w:lang w:eastAsia="zh-CN"/>
        </w:rPr>
        <w:t>申请人。</w:t>
      </w:r>
      <w:r>
        <w:rPr>
          <w:rFonts w:hint="eastAsia" w:ascii="仿宋_GB2312" w:hAnsi="宋体" w:eastAsia="仿宋_GB2312" w:cs="宋体"/>
          <w:kern w:val="0"/>
          <w:sz w:val="32"/>
          <w:szCs w:val="32"/>
        </w:rPr>
        <w:t>2024年，我局共办理政府信息公开</w:t>
      </w:r>
      <w:r>
        <w:rPr>
          <w:rFonts w:hint="eastAsia" w:ascii="仿宋_GB2312" w:hAnsi="宋体" w:eastAsia="仿宋_GB2312" w:cs="宋体"/>
          <w:kern w:val="0"/>
          <w:sz w:val="32"/>
          <w:szCs w:val="32"/>
          <w:u w:val="none"/>
        </w:rPr>
        <w:t>申请</w:t>
      </w:r>
      <w:r>
        <w:rPr>
          <w:rFonts w:hint="eastAsia" w:ascii="仿宋_GB2312" w:hAnsi="宋体" w:eastAsia="仿宋_GB2312" w:cs="宋体"/>
          <w:kern w:val="0"/>
          <w:sz w:val="32"/>
          <w:szCs w:val="32"/>
          <w:u w:val="none"/>
          <w:lang w:val="en-US" w:eastAsia="zh-CN"/>
        </w:rPr>
        <w:t>7</w:t>
      </w:r>
      <w:r>
        <w:rPr>
          <w:rFonts w:hint="eastAsia" w:ascii="仿宋_GB2312" w:hAnsi="宋体" w:eastAsia="仿宋_GB2312" w:cs="宋体"/>
          <w:kern w:val="0"/>
          <w:sz w:val="32"/>
          <w:szCs w:val="32"/>
          <w:u w:val="none"/>
        </w:rPr>
        <w:t>件。</w:t>
      </w:r>
    </w:p>
    <w:p>
      <w:pPr>
        <w:spacing w:line="560" w:lineRule="exact"/>
        <w:ind w:firstLine="640" w:firstLineChars="200"/>
        <w:rPr>
          <w:rFonts w:ascii="仿宋_GB2312" w:hAnsi="仿宋_GB2312" w:eastAsia="仿宋_GB2312"/>
          <w:sz w:val="32"/>
        </w:rPr>
      </w:pPr>
      <w:r>
        <w:rPr>
          <w:rFonts w:hint="eastAsia" w:ascii="楷体_GB2312" w:hAnsi="楷体_GB2312" w:eastAsia="楷体_GB2312" w:cs="楷体_GB2312"/>
          <w:sz w:val="32"/>
          <w:szCs w:val="32"/>
        </w:rPr>
        <w:t>（三）按规定做好政策发布工作。</w:t>
      </w:r>
      <w:r>
        <w:rPr>
          <w:rFonts w:hint="eastAsia" w:ascii="仿宋_GB2312" w:hAnsi="仿宋_GB2312" w:eastAsia="仿宋_GB2312"/>
          <w:sz w:val="32"/>
        </w:rPr>
        <w:t>按照政策解读与发布同步的要求发布《丰台区财政局关于进一步落实丰台区代理记账机构行政许可改革措施的通知》，</w:t>
      </w:r>
      <w:r>
        <w:rPr>
          <w:rFonts w:hint="eastAsia" w:ascii="仿宋_GB2312" w:hAnsi="仿宋_GB2312" w:eastAsia="仿宋_GB2312"/>
          <w:sz w:val="32"/>
          <w:lang w:eastAsia="zh-CN"/>
        </w:rPr>
        <w:t>并</w:t>
      </w:r>
      <w:r>
        <w:rPr>
          <w:rFonts w:hint="eastAsia" w:ascii="仿宋_GB2312" w:hAnsi="仿宋_GB2312" w:eastAsia="仿宋_GB2312"/>
          <w:sz w:val="32"/>
        </w:rPr>
        <w:t>同时发布“关于《丰台区财政局关于进一步落实丰台区代理记账机构行政许可改革措施的通知》的解读”。</w:t>
      </w:r>
    </w:p>
    <w:p>
      <w:pPr>
        <w:widowControl/>
        <w:spacing w:line="560" w:lineRule="exact"/>
        <w:ind w:left="0" w:leftChars="0" w:firstLine="608" w:firstLineChars="190"/>
        <w:jc w:val="left"/>
        <w:rPr>
          <w:rFonts w:hint="eastAsia" w:ascii="黑体" w:hAnsi="宋体" w:eastAsia="黑体" w:cs="黑体"/>
          <w:sz w:val="32"/>
          <w:szCs w:val="32"/>
          <w:lang w:bidi="ar"/>
        </w:rPr>
      </w:pPr>
      <w:r>
        <w:rPr>
          <w:rFonts w:hint="eastAsia" w:ascii="黑体" w:hAnsi="黑体" w:eastAsia="黑体" w:cs="黑体"/>
          <w:kern w:val="0"/>
          <w:sz w:val="32"/>
          <w:szCs w:val="32"/>
          <w:lang w:eastAsia="zh-CN"/>
        </w:rPr>
        <w:t>二、</w:t>
      </w:r>
      <w:r>
        <w:rPr>
          <w:rFonts w:hint="eastAsia" w:ascii="黑体" w:hAnsi="宋体" w:eastAsia="黑体" w:cs="黑体"/>
          <w:sz w:val="32"/>
          <w:szCs w:val="32"/>
          <w:lang w:bidi="ar"/>
        </w:rPr>
        <w:t>主动公开政府信息情况</w:t>
      </w:r>
    </w:p>
    <w:p>
      <w:pPr>
        <w:pStyle w:val="2"/>
      </w:pPr>
    </w:p>
    <w:tbl>
      <w:tblPr>
        <w:tblStyle w:val="8"/>
        <w:tblW w:w="9416" w:type="dxa"/>
        <w:jc w:val="center"/>
        <w:tblLayout w:type="autofit"/>
        <w:tblCellMar>
          <w:top w:w="0" w:type="dxa"/>
          <w:left w:w="0" w:type="dxa"/>
          <w:bottom w:w="0" w:type="dxa"/>
          <w:right w:w="0" w:type="dxa"/>
        </w:tblCellMar>
      </w:tblPr>
      <w:tblGrid>
        <w:gridCol w:w="2250"/>
        <w:gridCol w:w="2296"/>
        <w:gridCol w:w="2435"/>
        <w:gridCol w:w="2435"/>
      </w:tblGrid>
      <w:tr>
        <w:tblPrEx>
          <w:tblCellMar>
            <w:top w:w="0" w:type="dxa"/>
            <w:left w:w="0" w:type="dxa"/>
            <w:bottom w:w="0" w:type="dxa"/>
            <w:right w:w="0" w:type="dxa"/>
          </w:tblCellMar>
        </w:tblPrEx>
        <w:trPr>
          <w:trHeight w:val="340" w:hRule="atLeast"/>
          <w:jc w:val="center"/>
        </w:trPr>
        <w:tc>
          <w:tcPr>
            <w:tcW w:w="9416"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250"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296"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现行有效件数</w:t>
            </w:r>
          </w:p>
        </w:tc>
      </w:tr>
      <w:tr>
        <w:tblPrEx>
          <w:tblCellMar>
            <w:top w:w="0" w:type="dxa"/>
            <w:left w:w="0" w:type="dxa"/>
            <w:bottom w:w="0" w:type="dxa"/>
            <w:right w:w="0" w:type="dxa"/>
          </w:tblCellMar>
        </w:tblPrEx>
        <w:trPr>
          <w:trHeight w:val="340" w:hRule="atLeast"/>
          <w:jc w:val="center"/>
        </w:trPr>
        <w:tc>
          <w:tcPr>
            <w:tcW w:w="2250"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296"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2250"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296"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ascii="宋体" w:hAnsi="宋体" w:cs="宋体"/>
                <w:color w:val="000000"/>
                <w:kern w:val="0"/>
                <w:sz w:val="20"/>
                <w:szCs w:val="20"/>
                <w:lang w:val="en-US" w:eastAsia="zh-CN" w:bidi="ar"/>
              </w:rPr>
              <w:t>1</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eastAsia="宋体"/>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eastAsia="宋体"/>
                <w:lang w:val="en-US" w:eastAsia="zh-CN"/>
              </w:rPr>
              <w:t>2</w:t>
            </w:r>
          </w:p>
        </w:tc>
      </w:tr>
      <w:tr>
        <w:tblPrEx>
          <w:tblCellMar>
            <w:top w:w="0" w:type="dxa"/>
            <w:left w:w="0" w:type="dxa"/>
            <w:bottom w:w="0" w:type="dxa"/>
            <w:right w:w="0" w:type="dxa"/>
          </w:tblCellMar>
        </w:tblPrEx>
        <w:trPr>
          <w:trHeight w:val="340" w:hRule="atLeast"/>
          <w:jc w:val="center"/>
        </w:trPr>
        <w:tc>
          <w:tcPr>
            <w:tcW w:w="9416"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250"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166"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250"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166"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eastAsia="宋体"/>
                <w:lang w:val="en-US" w:eastAsia="zh-CN"/>
              </w:rPr>
              <w:t>73</w:t>
            </w:r>
          </w:p>
        </w:tc>
      </w:tr>
      <w:tr>
        <w:tblPrEx>
          <w:tblCellMar>
            <w:top w:w="0" w:type="dxa"/>
            <w:left w:w="0" w:type="dxa"/>
            <w:bottom w:w="0" w:type="dxa"/>
            <w:right w:w="0" w:type="dxa"/>
          </w:tblCellMar>
        </w:tblPrEx>
        <w:trPr>
          <w:trHeight w:val="340" w:hRule="atLeast"/>
          <w:jc w:val="center"/>
        </w:trPr>
        <w:tc>
          <w:tcPr>
            <w:tcW w:w="9416"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250"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166"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250"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166"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ascii="宋体" w:hAnsi="宋体" w:cs="宋体"/>
                <w:color w:val="000000"/>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2250"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166"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ascii="宋体" w:hAnsi="宋体" w:cs="宋体"/>
                <w:color w:val="000000"/>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9416"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250"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166"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250"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166"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default" w:ascii="宋体" w:hAnsi="Times New Roman" w:eastAsia="宋体" w:cs="宋体"/>
                <w:sz w:val="24"/>
                <w:lang w:val="en-US" w:eastAsia="zh-CN"/>
              </w:rPr>
            </w:pPr>
            <w:r>
              <w:rPr>
                <w:rFonts w:hint="eastAsia" w:ascii="宋体" w:hAnsi="Times New Roman" w:eastAsia="宋体" w:cs="宋体"/>
                <w:sz w:val="24"/>
                <w:lang w:val="en-US" w:eastAsia="zh-CN"/>
              </w:rPr>
              <w:t>179</w:t>
            </w:r>
          </w:p>
        </w:tc>
      </w:tr>
    </w:tbl>
    <w:p>
      <w:pPr>
        <w:numPr>
          <w:ilvl w:val="0"/>
          <w:numId w:val="0"/>
        </w:numPr>
        <w:spacing w:line="560" w:lineRule="exact"/>
        <w:ind w:left="630" w:leftChars="0"/>
        <w:rPr>
          <w:rFonts w:hint="eastAsia" w:ascii="黑体" w:hAnsi="宋体" w:eastAsia="黑体" w:cs="黑体"/>
          <w:sz w:val="32"/>
          <w:szCs w:val="32"/>
        </w:rPr>
      </w:pPr>
      <w:r>
        <w:rPr>
          <w:rFonts w:hint="eastAsia" w:ascii="黑体" w:hAnsi="宋体" w:eastAsia="黑体" w:cs="黑体"/>
          <w:sz w:val="32"/>
          <w:szCs w:val="32"/>
          <w:lang w:eastAsia="zh-CN" w:bidi="ar"/>
        </w:rPr>
        <w:t>三、</w:t>
      </w:r>
      <w:r>
        <w:rPr>
          <w:rFonts w:hint="eastAsia" w:ascii="黑体" w:hAnsi="宋体" w:eastAsia="黑体" w:cs="黑体"/>
          <w:sz w:val="32"/>
          <w:szCs w:val="32"/>
          <w:lang w:bidi="ar"/>
        </w:rPr>
        <w:t>收到和处理政府信息公开申请情况</w:t>
      </w:r>
    </w:p>
    <w:p>
      <w:pPr>
        <w:ind w:left="629"/>
        <w:rPr>
          <w:rFonts w:hint="eastAsia" w:ascii="黑体" w:hAnsi="宋体" w:eastAsia="黑体" w:cs="黑体"/>
          <w:sz w:val="24"/>
        </w:rPr>
      </w:pPr>
    </w:p>
    <w:tbl>
      <w:tblPr>
        <w:tblStyle w:val="8"/>
        <w:tblW w:w="960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1"/>
        <w:gridCol w:w="975"/>
        <w:gridCol w:w="3052"/>
        <w:gridCol w:w="688"/>
        <w:gridCol w:w="688"/>
        <w:gridCol w:w="688"/>
        <w:gridCol w:w="688"/>
        <w:gridCol w:w="688"/>
        <w:gridCol w:w="689"/>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88"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widowControl/>
              <w:jc w:val="left"/>
            </w:pPr>
            <w:r>
              <w:rPr>
                <w:rFonts w:ascii="楷体" w:hAnsi="楷体" w:eastAsia="楷体" w:cs="楷体"/>
                <w:kern w:val="0"/>
                <w:sz w:val="20"/>
                <w:szCs w:val="20"/>
                <w:lang w:bidi="ar"/>
              </w:rPr>
              <w:t>（本列数据的勾稽关系为：第一项加第二项之和，等于第三项加第四项之和）</w:t>
            </w:r>
          </w:p>
        </w:tc>
        <w:tc>
          <w:tcPr>
            <w:tcW w:w="4818" w:type="dxa"/>
            <w:gridSpan w:val="7"/>
            <w:tcBorders>
              <w:top w:val="single" w:color="auto" w:sz="8" w:space="0"/>
              <w:left w:val="single" w:color="auto" w:sz="0" w:space="0"/>
              <w:bottom w:val="wav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88"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441"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single" w:color="auto" w:sz="0" w:space="0"/>
              <w:bottom w:val="outset"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88"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rPr>
                <w:rFonts w:hint="eastAsia" w:ascii="宋体"/>
                <w:sz w:val="24"/>
              </w:rPr>
            </w:pP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689"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689" w:type="dxa"/>
            <w:vMerge w:val="continue"/>
            <w:tcBorders>
              <w:top w:val="single" w:color="auto" w:sz="8" w:space="0"/>
              <w:left w:val="single" w:color="auto" w:sz="0" w:space="0"/>
              <w:bottom w:val="outset" w:color="auto" w:sz="8" w:space="0"/>
              <w:right w:val="single" w:color="auto" w:sz="8" w:space="0"/>
            </w:tcBorders>
            <w:shd w:val="clear" w:color="auto" w:fill="9BC2E6"/>
            <w:noWrap w:val="0"/>
            <w:tcMar>
              <w:left w:w="57" w:type="dxa"/>
              <w:right w:w="57" w:type="dxa"/>
            </w:tcMar>
            <w:vAlign w:val="center"/>
          </w:tcPr>
          <w:p>
            <w:pPr>
              <w:rPr>
                <w:rFonts w:hint="eastAsia"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88"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lang w:val="en-US" w:eastAsia="zh-CN"/>
              </w:rPr>
              <w:t>4</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eastAsia="宋体"/>
                <w:lang w:val="en-US" w:eastAsia="zh-CN"/>
              </w:rPr>
            </w:pPr>
            <w:r>
              <w:rPr>
                <w:rFonts w:hint="eastAsia"/>
                <w:lang w:val="en-US" w:eastAsia="zh-CN"/>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88"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1" w:type="dxa"/>
            <w:vMerge w:val="restart"/>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027"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pPr>
            <w:r>
              <w:rPr>
                <w:rFonts w:hint="eastAsia"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1"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rPr>
            </w:pPr>
          </w:p>
        </w:tc>
        <w:tc>
          <w:tcPr>
            <w:tcW w:w="4027"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1"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rPr>
            </w:pPr>
          </w:p>
        </w:tc>
        <w:tc>
          <w:tcPr>
            <w:tcW w:w="975" w:type="dxa"/>
            <w:vMerge w:val="restart"/>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052"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9" w:type="dxa"/>
            <w:tcBorders>
              <w:top w:val="single" w:color="auto" w:sz="8"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1"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rPr>
            </w:pPr>
          </w:p>
        </w:tc>
        <w:tc>
          <w:tcPr>
            <w:tcW w:w="975"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rPr>
            </w:pPr>
          </w:p>
        </w:tc>
        <w:tc>
          <w:tcPr>
            <w:tcW w:w="3052"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1"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rPr>
            </w:pPr>
          </w:p>
        </w:tc>
        <w:tc>
          <w:tcPr>
            <w:tcW w:w="975"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rPr>
            </w:pPr>
          </w:p>
        </w:tc>
        <w:tc>
          <w:tcPr>
            <w:tcW w:w="3052"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9" w:hRule="atLeast"/>
          <w:jc w:val="center"/>
        </w:trPr>
        <w:tc>
          <w:tcPr>
            <w:tcW w:w="761"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rPr>
            </w:pPr>
          </w:p>
        </w:tc>
        <w:tc>
          <w:tcPr>
            <w:tcW w:w="975"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rPr>
            </w:pPr>
          </w:p>
        </w:tc>
        <w:tc>
          <w:tcPr>
            <w:tcW w:w="3052"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1"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rPr>
            </w:pPr>
          </w:p>
        </w:tc>
        <w:tc>
          <w:tcPr>
            <w:tcW w:w="975"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rPr>
            </w:pPr>
          </w:p>
        </w:tc>
        <w:tc>
          <w:tcPr>
            <w:tcW w:w="3052"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1</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1"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rPr>
            </w:pPr>
          </w:p>
        </w:tc>
        <w:tc>
          <w:tcPr>
            <w:tcW w:w="975"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rPr>
            </w:pPr>
          </w:p>
        </w:tc>
        <w:tc>
          <w:tcPr>
            <w:tcW w:w="3052"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7" w:hRule="atLeast"/>
          <w:jc w:val="center"/>
        </w:trPr>
        <w:tc>
          <w:tcPr>
            <w:tcW w:w="761"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rPr>
            </w:pPr>
          </w:p>
        </w:tc>
        <w:tc>
          <w:tcPr>
            <w:tcW w:w="975"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rPr>
            </w:pPr>
          </w:p>
        </w:tc>
        <w:tc>
          <w:tcPr>
            <w:tcW w:w="3052"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1"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rPr>
            </w:pPr>
          </w:p>
        </w:tc>
        <w:tc>
          <w:tcPr>
            <w:tcW w:w="975"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rPr>
            </w:pPr>
          </w:p>
        </w:tc>
        <w:tc>
          <w:tcPr>
            <w:tcW w:w="3052"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cs="Calibri"/>
                <w:kern w:val="0"/>
                <w:sz w:val="20"/>
                <w:szCs w:val="20"/>
                <w:lang w:val="en-US" w:eastAsia="zh-CN" w:bidi="ar"/>
              </w:rPr>
              <w:t>0</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pP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1"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rPr>
            </w:pPr>
          </w:p>
        </w:tc>
        <w:tc>
          <w:tcPr>
            <w:tcW w:w="975" w:type="dxa"/>
            <w:vMerge w:val="restart"/>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052"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eastAsia="宋体"/>
                <w:lang w:val="en-US" w:eastAsia="zh-CN"/>
              </w:rPr>
            </w:pPr>
            <w:r>
              <w:rPr>
                <w:rFonts w:hint="eastAsia"/>
                <w:lang w:val="en-US" w:eastAsia="zh-CN"/>
              </w:rPr>
              <w:t>3</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default" w:eastAsia="宋体"/>
                <w:lang w:val="en-US" w:eastAsia="zh-CN"/>
              </w:rPr>
            </w:pPr>
            <w:r>
              <w:rPr>
                <w:rFonts w:hint="eastAsia"/>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default" w:eastAsia="宋体"/>
                <w:lang w:val="en-US" w:eastAsia="zh-CN"/>
              </w:rPr>
            </w:pPr>
            <w:r>
              <w:rPr>
                <w:rFonts w:hint="eastAsia"/>
                <w:lang w:val="en-US" w:eastAsia="zh-CN"/>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1"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rPr>
            </w:pPr>
          </w:p>
        </w:tc>
        <w:tc>
          <w:tcPr>
            <w:tcW w:w="975"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rPr>
            </w:pPr>
          </w:p>
        </w:tc>
        <w:tc>
          <w:tcPr>
            <w:tcW w:w="3052"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1"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rPr>
            </w:pPr>
          </w:p>
        </w:tc>
        <w:tc>
          <w:tcPr>
            <w:tcW w:w="975"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rPr>
            </w:pPr>
          </w:p>
        </w:tc>
        <w:tc>
          <w:tcPr>
            <w:tcW w:w="3052"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1"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rPr>
            </w:pPr>
          </w:p>
        </w:tc>
        <w:tc>
          <w:tcPr>
            <w:tcW w:w="975" w:type="dxa"/>
            <w:vMerge w:val="restart"/>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052"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1"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rPr>
            </w:pPr>
          </w:p>
        </w:tc>
        <w:tc>
          <w:tcPr>
            <w:tcW w:w="975"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rPr>
            </w:pPr>
          </w:p>
        </w:tc>
        <w:tc>
          <w:tcPr>
            <w:tcW w:w="3052"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1"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rPr>
            </w:pPr>
          </w:p>
        </w:tc>
        <w:tc>
          <w:tcPr>
            <w:tcW w:w="975"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rPr>
            </w:pPr>
          </w:p>
        </w:tc>
        <w:tc>
          <w:tcPr>
            <w:tcW w:w="3052"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1"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rPr>
            </w:pPr>
          </w:p>
        </w:tc>
        <w:tc>
          <w:tcPr>
            <w:tcW w:w="975"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rPr>
            </w:pPr>
          </w:p>
        </w:tc>
        <w:tc>
          <w:tcPr>
            <w:tcW w:w="3052"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1"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rPr>
            </w:pPr>
          </w:p>
        </w:tc>
        <w:tc>
          <w:tcPr>
            <w:tcW w:w="975"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rPr>
            </w:pPr>
          </w:p>
        </w:tc>
        <w:tc>
          <w:tcPr>
            <w:tcW w:w="3052" w:type="dxa"/>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9"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9"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1"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rPr>
            </w:pPr>
          </w:p>
        </w:tc>
        <w:tc>
          <w:tcPr>
            <w:tcW w:w="975" w:type="dxa"/>
            <w:vMerge w:val="restart"/>
            <w:tcBorders>
              <w:top w:val="outset" w:color="auto" w:sz="8"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052"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1"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rPr>
            </w:pPr>
          </w:p>
        </w:tc>
        <w:tc>
          <w:tcPr>
            <w:tcW w:w="975" w:type="dxa"/>
            <w:vMerge w:val="continue"/>
            <w:tcBorders>
              <w:top w:val="outset" w:color="auto" w:sz="8"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rPr>
            </w:pPr>
          </w:p>
        </w:tc>
        <w:tc>
          <w:tcPr>
            <w:tcW w:w="3052"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1"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rPr>
            </w:pPr>
          </w:p>
        </w:tc>
        <w:tc>
          <w:tcPr>
            <w:tcW w:w="975" w:type="dxa"/>
            <w:vMerge w:val="continue"/>
            <w:tcBorders>
              <w:top w:val="outset" w:color="auto" w:sz="8"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rPr>
            </w:pPr>
          </w:p>
        </w:tc>
        <w:tc>
          <w:tcPr>
            <w:tcW w:w="3052"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widowControl/>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1"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rPr>
            </w:pPr>
          </w:p>
        </w:tc>
        <w:tc>
          <w:tcPr>
            <w:tcW w:w="4027"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lang w:val="en-US" w:eastAsia="zh-CN"/>
              </w:rPr>
              <w:t>4</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default" w:eastAsia="宋体"/>
                <w:lang w:val="en-US" w:eastAsia="zh-CN"/>
              </w:rPr>
            </w:pPr>
            <w:r>
              <w:rPr>
                <w:rFonts w:hint="eastAsia"/>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9"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widowControl/>
              <w:jc w:val="center"/>
              <w:rPr>
                <w:rFonts w:hint="eastAsia" w:eastAsia="宋体"/>
                <w:lang w:val="en-US" w:eastAsia="zh-CN"/>
              </w:rPr>
            </w:pPr>
            <w:r>
              <w:rPr>
                <w:rFonts w:hint="eastAsia"/>
                <w:lang w:val="en-US" w:eastAsia="zh-CN"/>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default" w:eastAsia="宋体"/>
                <w:lang w:val="en-US" w:eastAsia="zh-CN"/>
              </w:rPr>
            </w:pPr>
            <w:r>
              <w:rPr>
                <w:rFonts w:hint="eastAsia"/>
                <w:lang w:val="en-US" w:eastAsia="zh-CN"/>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88"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688" w:type="dxa"/>
            <w:tcBorders>
              <w:top w:val="outset" w:color="auto" w:sz="6" w:space="0"/>
              <w:left w:val="single" w:color="auto" w:sz="0" w:space="0"/>
              <w:bottom w:val="outset" w:color="auto" w:sz="6" w:space="0"/>
              <w:right w:val="outset" w:color="auto" w:sz="6" w:space="0"/>
            </w:tcBorders>
            <w:noWrap w:val="0"/>
            <w:vAlign w:val="center"/>
          </w:tcPr>
          <w:p>
            <w:pPr>
              <w:jc w:val="center"/>
              <w:rPr>
                <w:rFonts w:hint="eastAsia" w:ascii="宋体" w:eastAsia="宋体"/>
                <w:sz w:val="24"/>
                <w:lang w:val="en-US" w:eastAsia="zh-CN"/>
              </w:rPr>
            </w:pPr>
            <w:r>
              <w:rPr>
                <w:rFonts w:hint="eastAsia" w:ascii="宋体"/>
                <w:sz w:val="24"/>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jc w:val="center"/>
              <w:rPr>
                <w:rFonts w:hint="eastAsia" w:ascii="宋体" w:eastAsia="宋体"/>
                <w:sz w:val="24"/>
                <w:lang w:val="en-US" w:eastAsia="zh-CN"/>
              </w:rPr>
            </w:pPr>
            <w:r>
              <w:rPr>
                <w:rFonts w:hint="eastAsia" w:ascii="宋体"/>
                <w:sz w:val="24"/>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jc w:val="center"/>
              <w:rPr>
                <w:rFonts w:hint="eastAsia" w:ascii="宋体" w:eastAsia="宋体"/>
                <w:sz w:val="24"/>
                <w:lang w:val="en-US" w:eastAsia="zh-CN"/>
              </w:rPr>
            </w:pPr>
            <w:r>
              <w:rPr>
                <w:rFonts w:hint="eastAsia" w:ascii="宋体"/>
                <w:sz w:val="24"/>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jc w:val="center"/>
              <w:rPr>
                <w:rFonts w:hint="eastAsia" w:ascii="宋体" w:eastAsia="宋体"/>
                <w:sz w:val="24"/>
                <w:lang w:val="en-US" w:eastAsia="zh-CN"/>
              </w:rPr>
            </w:pPr>
            <w:r>
              <w:rPr>
                <w:rFonts w:hint="eastAsia" w:ascii="宋体"/>
                <w:sz w:val="24"/>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jc w:val="center"/>
              <w:rPr>
                <w:rFonts w:hint="eastAsia" w:ascii="宋体" w:eastAsia="宋体"/>
                <w:sz w:val="24"/>
                <w:lang w:val="en-US" w:eastAsia="zh-CN"/>
              </w:rPr>
            </w:pPr>
            <w:r>
              <w:rPr>
                <w:rFonts w:hint="eastAsia" w:ascii="宋体"/>
                <w:sz w:val="24"/>
                <w:lang w:val="en-US" w:eastAsia="zh-CN"/>
              </w:rPr>
              <w:t>0</w:t>
            </w:r>
          </w:p>
        </w:tc>
        <w:tc>
          <w:tcPr>
            <w:tcW w:w="689" w:type="dxa"/>
            <w:tcBorders>
              <w:top w:val="outset" w:color="auto" w:sz="6" w:space="0"/>
              <w:left w:val="single" w:color="auto" w:sz="0" w:space="0"/>
              <w:bottom w:val="outset" w:color="auto" w:sz="6" w:space="0"/>
              <w:right w:val="outset" w:color="auto" w:sz="6" w:space="0"/>
            </w:tcBorders>
            <w:noWrap w:val="0"/>
            <w:vAlign w:val="center"/>
          </w:tcPr>
          <w:p>
            <w:pPr>
              <w:jc w:val="center"/>
              <w:rPr>
                <w:rFonts w:hint="eastAsia" w:ascii="宋体" w:eastAsia="宋体"/>
                <w:sz w:val="24"/>
                <w:lang w:val="en-US" w:eastAsia="zh-CN"/>
              </w:rPr>
            </w:pPr>
            <w:r>
              <w:rPr>
                <w:rFonts w:hint="eastAsia" w:ascii="宋体"/>
                <w:sz w:val="24"/>
                <w:lang w:val="en-US" w:eastAsia="zh-CN"/>
              </w:rPr>
              <w:t>0</w:t>
            </w:r>
          </w:p>
        </w:tc>
        <w:tc>
          <w:tcPr>
            <w:tcW w:w="689" w:type="dxa"/>
            <w:tcBorders>
              <w:top w:val="outset" w:color="auto" w:sz="6" w:space="0"/>
              <w:left w:val="single" w:color="auto" w:sz="0" w:space="0"/>
              <w:bottom w:val="outset" w:color="auto" w:sz="6" w:space="0"/>
              <w:right w:val="outset" w:color="auto" w:sz="6" w:space="0"/>
            </w:tcBorders>
            <w:noWrap w:val="0"/>
            <w:vAlign w:val="center"/>
          </w:tcPr>
          <w:p>
            <w:pPr>
              <w:jc w:val="center"/>
              <w:rPr>
                <w:rFonts w:hint="eastAsia" w:ascii="宋体" w:eastAsia="宋体"/>
                <w:sz w:val="24"/>
                <w:lang w:val="en-US" w:eastAsia="zh-CN"/>
              </w:rPr>
            </w:pPr>
            <w:r>
              <w:rPr>
                <w:rFonts w:hint="eastAsia" w:ascii="宋体"/>
                <w:sz w:val="24"/>
                <w:lang w:val="en-US" w:eastAsia="zh-CN"/>
              </w:rPr>
              <w:t>0</w:t>
            </w:r>
          </w:p>
        </w:tc>
      </w:tr>
    </w:tbl>
    <w:p>
      <w:pPr>
        <w:pStyle w:val="2"/>
        <w:widowControl/>
        <w:ind w:left="420" w:leftChars="200"/>
      </w:pPr>
    </w:p>
    <w:p>
      <w:pPr>
        <w:pStyle w:val="2"/>
        <w:widowControl/>
        <w:ind w:left="420" w:leftChars="200"/>
      </w:pP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p>
      <w:pPr>
        <w:widowControl/>
        <w:jc w:val="center"/>
      </w:pPr>
    </w:p>
    <w:tbl>
      <w:tblPr>
        <w:tblStyle w:val="8"/>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hAnsi="Times New Roman" w:eastAsia="宋体" w:cs="宋体"/>
                <w:sz w:val="24"/>
                <w:lang w:val="en-US" w:eastAsia="zh-CN"/>
              </w:rPr>
            </w:pPr>
            <w:r>
              <w:rPr>
                <w:rFonts w:hint="eastAsia" w:ascii="宋体" w:cs="宋体"/>
                <w:sz w:val="24"/>
                <w:lang w:val="en-US" w:eastAsia="zh-CN"/>
              </w:rPr>
              <w:t>0</w:t>
            </w:r>
          </w:p>
        </w:tc>
      </w:tr>
    </w:tbl>
    <w:p>
      <w:pPr>
        <w:spacing w:line="560" w:lineRule="exact"/>
        <w:ind w:firstLine="640" w:firstLineChars="200"/>
        <w:rPr>
          <w:rFonts w:hint="eastAsia" w:ascii="黑体" w:hAnsi="宋体" w:eastAsia="黑体" w:cs="黑体"/>
          <w:sz w:val="32"/>
          <w:szCs w:val="32"/>
          <w:lang w:bidi="ar"/>
        </w:rPr>
      </w:pPr>
      <w:r>
        <w:rPr>
          <w:rFonts w:hint="eastAsia" w:ascii="黑体" w:hAnsi="宋体" w:eastAsia="黑体" w:cs="黑体"/>
          <w:sz w:val="32"/>
          <w:szCs w:val="32"/>
          <w:lang w:bidi="ar"/>
        </w:rPr>
        <w:t>五</w:t>
      </w:r>
      <w:r>
        <w:rPr>
          <w:rFonts w:hint="eastAsia" w:ascii="黑体" w:hAnsi="宋体" w:eastAsia="黑体" w:cs="黑体"/>
          <w:sz w:val="32"/>
          <w:szCs w:val="32"/>
          <w:lang w:eastAsia="zh-CN" w:bidi="ar"/>
        </w:rPr>
        <w:t>、</w:t>
      </w:r>
      <w:r>
        <w:rPr>
          <w:rFonts w:hint="eastAsia" w:ascii="黑体" w:hAnsi="宋体" w:eastAsia="黑体" w:cs="黑体"/>
          <w:sz w:val="32"/>
          <w:szCs w:val="32"/>
          <w:lang w:bidi="ar"/>
        </w:rPr>
        <w:t>存在问题及下一步工作计划</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存在不足：一是在提升</w:t>
      </w:r>
      <w:r>
        <w:rPr>
          <w:rFonts w:hint="eastAsia" w:ascii="仿宋_GB2312" w:hAnsi="仿宋_GB2312" w:eastAsia="仿宋_GB2312" w:cs="仿宋_GB2312"/>
          <w:sz w:val="32"/>
          <w:szCs w:val="32"/>
        </w:rPr>
        <w:t>优化完善公开内容形式，提高规范性可读性，便于公众理解监督方面需要进一步加强。二是</w:t>
      </w:r>
      <w:r>
        <w:rPr>
          <w:rFonts w:hint="eastAsia" w:ascii="仿宋_GB2312" w:eastAsia="仿宋_GB2312"/>
          <w:sz w:val="32"/>
          <w:szCs w:val="32"/>
        </w:rPr>
        <w:t>主动宣传财政政策的意识还需加强。</w:t>
      </w:r>
    </w:p>
    <w:p>
      <w:pPr>
        <w:pStyle w:val="2"/>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改进方向：一是细化信息公开的内容，继续细化部门预算公开内容和形式，完善项目绩效等信息公开，方便社会公众监督</w:t>
      </w:r>
      <w:r>
        <w:rPr>
          <w:rFonts w:hint="eastAsia" w:ascii="仿宋_GB2312" w:eastAsia="仿宋_GB2312"/>
          <w:sz w:val="32"/>
          <w:szCs w:val="32"/>
          <w:lang w:eastAsia="zh-CN"/>
        </w:rPr>
        <w:t>。</w:t>
      </w:r>
      <w:r>
        <w:rPr>
          <w:rFonts w:hint="eastAsia" w:ascii="仿宋_GB2312" w:eastAsia="仿宋_GB2312"/>
          <w:sz w:val="32"/>
          <w:szCs w:val="32"/>
        </w:rPr>
        <w:t>二是</w:t>
      </w:r>
      <w:r>
        <w:rPr>
          <w:rFonts w:hint="eastAsia" w:ascii="仿宋_GB2312" w:eastAsia="仿宋_GB2312"/>
          <w:sz w:val="32"/>
          <w:szCs w:val="32"/>
          <w:lang w:eastAsia="zh-CN"/>
        </w:rPr>
        <w:t>加强信息工作培训，提高信息撰写水平，提升财政政策宣传效果。</w:t>
      </w:r>
      <w:bookmarkStart w:id="0" w:name="_GoBack"/>
      <w:bookmarkEnd w:id="0"/>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pStyle w:val="2"/>
        <w:ind w:firstLine="672"/>
        <w:rPr>
          <w:rFonts w:hint="default"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eastAsia="zh-CN"/>
        </w:rPr>
        <w:t>发出收费通知的件数和总金额以及实际收取的总金额均为</w:t>
      </w:r>
      <w:r>
        <w:rPr>
          <w:rFonts w:hint="eastAsia" w:ascii="仿宋_GB2312" w:hAnsi="宋体" w:eastAsia="仿宋_GB2312" w:cs="宋体"/>
          <w:spacing w:val="8"/>
          <w:kern w:val="0"/>
          <w:sz w:val="32"/>
          <w:szCs w:val="32"/>
          <w:lang w:val="en-US" w:eastAsia="zh-CN"/>
        </w:rPr>
        <w:t>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8A7121"/>
    <w:rsid w:val="0024654C"/>
    <w:rsid w:val="002B42AD"/>
    <w:rsid w:val="002C2C60"/>
    <w:rsid w:val="0037731C"/>
    <w:rsid w:val="003C50F2"/>
    <w:rsid w:val="00425D2C"/>
    <w:rsid w:val="005F4B8F"/>
    <w:rsid w:val="005F5209"/>
    <w:rsid w:val="00667FF0"/>
    <w:rsid w:val="00975D85"/>
    <w:rsid w:val="00AC5731"/>
    <w:rsid w:val="00C268F4"/>
    <w:rsid w:val="00D37775"/>
    <w:rsid w:val="00DE608C"/>
    <w:rsid w:val="044C0034"/>
    <w:rsid w:val="04DF650F"/>
    <w:rsid w:val="04F7520E"/>
    <w:rsid w:val="05B21835"/>
    <w:rsid w:val="061B0D12"/>
    <w:rsid w:val="0658122D"/>
    <w:rsid w:val="06F04F5C"/>
    <w:rsid w:val="071B42AC"/>
    <w:rsid w:val="0B65065F"/>
    <w:rsid w:val="0B65145D"/>
    <w:rsid w:val="0D6709BA"/>
    <w:rsid w:val="0E0A3E09"/>
    <w:rsid w:val="0F0B5F5A"/>
    <w:rsid w:val="0F17290F"/>
    <w:rsid w:val="0F206A58"/>
    <w:rsid w:val="100176AC"/>
    <w:rsid w:val="1006309B"/>
    <w:rsid w:val="10C16BFD"/>
    <w:rsid w:val="14FC5E1C"/>
    <w:rsid w:val="159A09C8"/>
    <w:rsid w:val="165F3A52"/>
    <w:rsid w:val="199E2229"/>
    <w:rsid w:val="1A2559BE"/>
    <w:rsid w:val="1A5C3D29"/>
    <w:rsid w:val="1A8A7B0C"/>
    <w:rsid w:val="1D2E486B"/>
    <w:rsid w:val="1D3D2B13"/>
    <w:rsid w:val="1D5E0220"/>
    <w:rsid w:val="1E2A2EEA"/>
    <w:rsid w:val="1EB03DDB"/>
    <w:rsid w:val="2104635D"/>
    <w:rsid w:val="22341A1C"/>
    <w:rsid w:val="2291306C"/>
    <w:rsid w:val="22B35F78"/>
    <w:rsid w:val="22FB436B"/>
    <w:rsid w:val="241206FE"/>
    <w:rsid w:val="24DC05A4"/>
    <w:rsid w:val="259D1461"/>
    <w:rsid w:val="26A036FB"/>
    <w:rsid w:val="2777681D"/>
    <w:rsid w:val="27E04888"/>
    <w:rsid w:val="28664A40"/>
    <w:rsid w:val="290B1CFF"/>
    <w:rsid w:val="29297F00"/>
    <w:rsid w:val="29C324B9"/>
    <w:rsid w:val="2A0214A0"/>
    <w:rsid w:val="2C1B2A29"/>
    <w:rsid w:val="2CBB3EF0"/>
    <w:rsid w:val="2E846307"/>
    <w:rsid w:val="2FE07A29"/>
    <w:rsid w:val="318F7DB6"/>
    <w:rsid w:val="31AF1B2A"/>
    <w:rsid w:val="31DA6E7B"/>
    <w:rsid w:val="31F16986"/>
    <w:rsid w:val="323306D5"/>
    <w:rsid w:val="3398556F"/>
    <w:rsid w:val="33F00ECA"/>
    <w:rsid w:val="37EA2F71"/>
    <w:rsid w:val="382046D9"/>
    <w:rsid w:val="387977FA"/>
    <w:rsid w:val="39012D0A"/>
    <w:rsid w:val="398A7121"/>
    <w:rsid w:val="3A9C0651"/>
    <w:rsid w:val="3A9F55C7"/>
    <w:rsid w:val="3AB26E04"/>
    <w:rsid w:val="3B1B14F4"/>
    <w:rsid w:val="3D8E5C68"/>
    <w:rsid w:val="3E1F5FFC"/>
    <w:rsid w:val="3F0417A9"/>
    <w:rsid w:val="3F0817E2"/>
    <w:rsid w:val="412C1D40"/>
    <w:rsid w:val="45F153E1"/>
    <w:rsid w:val="46587D68"/>
    <w:rsid w:val="46B31291"/>
    <w:rsid w:val="46DA1AB3"/>
    <w:rsid w:val="487C3976"/>
    <w:rsid w:val="49A616C0"/>
    <w:rsid w:val="4A313CB4"/>
    <w:rsid w:val="4A5205E7"/>
    <w:rsid w:val="4A64789A"/>
    <w:rsid w:val="4A6C7FB9"/>
    <w:rsid w:val="4AB63D28"/>
    <w:rsid w:val="4B26392F"/>
    <w:rsid w:val="4BDB56C1"/>
    <w:rsid w:val="4D6A3D9D"/>
    <w:rsid w:val="4E71223C"/>
    <w:rsid w:val="50B429BB"/>
    <w:rsid w:val="54F91FD6"/>
    <w:rsid w:val="55696E95"/>
    <w:rsid w:val="5629411E"/>
    <w:rsid w:val="57331F34"/>
    <w:rsid w:val="58070479"/>
    <w:rsid w:val="5C010440"/>
    <w:rsid w:val="5E121528"/>
    <w:rsid w:val="5EBC0F31"/>
    <w:rsid w:val="5F1C1F41"/>
    <w:rsid w:val="5F347F91"/>
    <w:rsid w:val="5F615BC4"/>
    <w:rsid w:val="5F767787"/>
    <w:rsid w:val="61056C5F"/>
    <w:rsid w:val="612D295A"/>
    <w:rsid w:val="61DF3A4E"/>
    <w:rsid w:val="62FE3AE5"/>
    <w:rsid w:val="631B529A"/>
    <w:rsid w:val="63482428"/>
    <w:rsid w:val="63601139"/>
    <w:rsid w:val="64160441"/>
    <w:rsid w:val="65764BCD"/>
    <w:rsid w:val="67C53275"/>
    <w:rsid w:val="68973448"/>
    <w:rsid w:val="68D75858"/>
    <w:rsid w:val="68EB4C97"/>
    <w:rsid w:val="699F0B4B"/>
    <w:rsid w:val="69E65BBB"/>
    <w:rsid w:val="6CFD148D"/>
    <w:rsid w:val="6D8F21CB"/>
    <w:rsid w:val="6E375CA2"/>
    <w:rsid w:val="6FC717EF"/>
    <w:rsid w:val="703449CC"/>
    <w:rsid w:val="7117562D"/>
    <w:rsid w:val="712B4C7F"/>
    <w:rsid w:val="72197E5F"/>
    <w:rsid w:val="722A2F97"/>
    <w:rsid w:val="727C67D8"/>
    <w:rsid w:val="746C7CF2"/>
    <w:rsid w:val="74DE78A7"/>
    <w:rsid w:val="7719532E"/>
    <w:rsid w:val="77C408BE"/>
    <w:rsid w:val="784D7B94"/>
    <w:rsid w:val="798E3F14"/>
    <w:rsid w:val="79C31361"/>
    <w:rsid w:val="7A173B73"/>
    <w:rsid w:val="7B61400A"/>
    <w:rsid w:val="7B7566BA"/>
    <w:rsid w:val="7DE547D1"/>
    <w:rsid w:val="7F700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4">
    <w:name w:val="Balloon Text"/>
    <w:basedOn w:val="1"/>
    <w:link w:val="15"/>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FollowedHyperlink"/>
    <w:basedOn w:val="9"/>
    <w:qFormat/>
    <w:uiPriority w:val="0"/>
    <w:rPr>
      <w:color w:val="28A9FF"/>
      <w:u w:val="single"/>
    </w:rPr>
  </w:style>
  <w:style w:type="character" w:styleId="12">
    <w:name w:val="Hyperlink"/>
    <w:basedOn w:val="9"/>
    <w:qFormat/>
    <w:uiPriority w:val="0"/>
    <w:rPr>
      <w:color w:val="0000FF"/>
      <w:u w:val="single"/>
    </w:rPr>
  </w:style>
  <w:style w:type="paragraph" w:customStyle="1" w:styleId="13">
    <w:name w:val="_Style 10"/>
    <w:basedOn w:val="1"/>
    <w:next w:val="1"/>
    <w:qFormat/>
    <w:uiPriority w:val="0"/>
    <w:pPr>
      <w:pBdr>
        <w:bottom w:val="single" w:color="auto" w:sz="6" w:space="1"/>
      </w:pBdr>
      <w:jc w:val="center"/>
    </w:pPr>
    <w:rPr>
      <w:rFonts w:ascii="Arial" w:eastAsia="宋体"/>
      <w:vanish/>
      <w:sz w:val="16"/>
    </w:rPr>
  </w:style>
  <w:style w:type="paragraph" w:customStyle="1" w:styleId="14">
    <w:name w:val="_Style 11"/>
    <w:basedOn w:val="1"/>
    <w:next w:val="1"/>
    <w:qFormat/>
    <w:uiPriority w:val="0"/>
    <w:pPr>
      <w:pBdr>
        <w:top w:val="single" w:color="auto" w:sz="6" w:space="1"/>
      </w:pBdr>
      <w:jc w:val="center"/>
    </w:pPr>
    <w:rPr>
      <w:rFonts w:ascii="Arial" w:eastAsia="宋体"/>
      <w:vanish/>
      <w:sz w:val="16"/>
    </w:rPr>
  </w:style>
  <w:style w:type="character" w:customStyle="1" w:styleId="15">
    <w:name w:val="批注框文本 Char"/>
    <w:basedOn w:val="9"/>
    <w:link w:val="4"/>
    <w:qFormat/>
    <w:uiPriority w:val="0"/>
    <w:rPr>
      <w:rFonts w:asciiTheme="minorHAnsi" w:hAnsiTheme="minorHAnsi" w:eastAsiaTheme="minorEastAsia" w:cstheme="minorBidi"/>
      <w:kern w:val="2"/>
      <w:sz w:val="18"/>
      <w:szCs w:val="18"/>
    </w:rPr>
  </w:style>
  <w:style w:type="character" w:customStyle="1" w:styleId="16">
    <w:name w:val="页眉 Char"/>
    <w:basedOn w:val="9"/>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692</Words>
  <Characters>3946</Characters>
  <Lines>32</Lines>
  <Paragraphs>9</Paragraphs>
  <TotalTime>3</TotalTime>
  <ScaleCrop>false</ScaleCrop>
  <LinksUpToDate>false</LinksUpToDate>
  <CharactersWithSpaces>4629</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2022-11-11T07:43:00Z</dcterms:created>
  <dc:creator>陶虹</dc:creator>
  <cp:lastModifiedBy>XYSD</cp:lastModifiedBy>
  <dcterms:modified xsi:type="dcterms:W3CDTF">2025-01-08T03:30:36Z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