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北京市丰台区司法局</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年政府信息公开</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工作年度报告</w:t>
      </w:r>
    </w:p>
    <w:p>
      <w:pPr>
        <w:keepNext w:val="0"/>
        <w:keepLines w:val="0"/>
        <w:pageBreakBefore w:val="0"/>
        <w:kinsoku/>
        <w:wordWrap/>
        <w:overflowPunct/>
        <w:topLinePunct w:val="0"/>
        <w:autoSpaceDE/>
        <w:autoSpaceDN/>
        <w:bidi w:val="0"/>
        <w:adjustRightInd/>
        <w:snapToGrid/>
        <w:spacing w:line="560" w:lineRule="exact"/>
        <w:jc w:val="center"/>
        <w:rPr>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pPr>
      <w:r>
        <w:rPr>
          <w:rFonts w:ascii="黑体" w:hAnsi="黑体" w:eastAsia="黑体" w:cs="宋体"/>
          <w:spacing w:val="8"/>
          <w:kern w:val="0"/>
          <w:sz w:val="32"/>
          <w:szCs w:val="32"/>
        </w:rPr>
        <w:t>总体情况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本报告中所列数据的统计期限自</w:t>
      </w:r>
      <w:r>
        <w:rPr>
          <w:rFonts w:hint="eastAsia" w:ascii="仿宋_GB2312" w:hAnsi="宋体" w:eastAsia="仿宋_GB2312" w:cs="宋体"/>
          <w:spacing w:val="8"/>
          <w:kern w:val="0"/>
          <w:sz w:val="32"/>
          <w:szCs w:val="32"/>
          <w:lang w:eastAsia="zh-CN"/>
        </w:rPr>
        <w:t>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年1月1日起，至</w:t>
      </w:r>
      <w:r>
        <w:rPr>
          <w:rFonts w:hint="eastAsia" w:ascii="仿宋_GB2312" w:hAnsi="宋体" w:eastAsia="仿宋_GB2312" w:cs="宋体"/>
          <w:spacing w:val="8"/>
          <w:kern w:val="0"/>
          <w:sz w:val="32"/>
          <w:szCs w:val="32"/>
          <w:lang w:eastAsia="zh-CN"/>
        </w:rPr>
        <w:t>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年12月31日止。现将我局</w:t>
      </w:r>
      <w:r>
        <w:rPr>
          <w:rFonts w:hint="eastAsia" w:ascii="仿宋_GB2312" w:hAnsi="宋体" w:eastAsia="仿宋_GB2312" w:cs="宋体"/>
          <w:spacing w:val="8"/>
          <w:kern w:val="0"/>
          <w:sz w:val="32"/>
          <w:szCs w:val="32"/>
          <w:lang w:eastAsia="zh-CN"/>
        </w:rPr>
        <w:t>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年度政府信息公开工作报告如下：</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主动公开情况</w:t>
      </w:r>
      <w:r>
        <w:rPr>
          <w:rFonts w:hint="eastAsia" w:ascii="楷体_GB2312" w:hAnsi="楷体_GB2312" w:eastAsia="楷体_GB2312" w:cs="楷体_GB2312"/>
          <w:color w:val="000000"/>
          <w:sz w:val="32"/>
          <w:szCs w:val="32"/>
          <w:lang w:eastAsia="zh-CN"/>
        </w:rPr>
        <w:t>与</w:t>
      </w:r>
      <w:r>
        <w:rPr>
          <w:rFonts w:hint="eastAsia" w:ascii="楷体_GB2312" w:hAnsi="楷体_GB2312" w:eastAsia="楷体_GB2312" w:cs="楷体_GB2312"/>
          <w:color w:val="000000"/>
          <w:sz w:val="32"/>
          <w:szCs w:val="32"/>
        </w:rPr>
        <w:t>依申请</w:t>
      </w:r>
      <w:r>
        <w:rPr>
          <w:rFonts w:hint="eastAsia" w:ascii="楷体_GB2312" w:hAnsi="楷体_GB2312" w:eastAsia="楷体_GB2312" w:cs="楷体_GB2312"/>
          <w:color w:val="000000"/>
          <w:sz w:val="32"/>
          <w:szCs w:val="32"/>
          <w:highlight w:val="none"/>
        </w:rPr>
        <w:t>公开办理情况</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highlight w:val="none"/>
          <w:lang w:val="en-US" w:eastAsia="zh-CN" w:bidi="ar-SA"/>
        </w:rPr>
        <w:t>2025年在北京市丰台区人民政府网站司法局栏目下变更基本信息1条；发布政府公告7件；发布行政复议决定书及相关公告52件；公开行政规范性文件备案信息9条；公布执法检查信息8条；发布普法工作动态77条；发布区政府法治政府建设年度情况报告1篇，司法局法治政府建设年度情况报告1篇；按时公开2024年度部门决算与2025年部门预算</w:t>
      </w:r>
      <w:r>
        <w:rPr>
          <w:rFonts w:hint="eastAsia" w:ascii="仿宋_GB2312" w:hAnsi="仿宋_GB2312" w:eastAsia="仿宋_GB2312" w:cs="仿宋_GB2312"/>
          <w:color w:val="000000"/>
          <w:kern w:val="2"/>
          <w:sz w:val="32"/>
          <w:szCs w:val="32"/>
          <w:lang w:val="en-US" w:eastAsia="zh-CN" w:bidi="ar-SA"/>
        </w:rPr>
        <w:t>。全年共收到政府信息依申请公开15件，均已在2025年度内及时答复并按时办结。结转2024年政府信息依申请公开4件，均已在2025年度内及时答复并按时办结。</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政府信息管理情况。</w:t>
      </w:r>
      <w:r>
        <w:rPr>
          <w:rFonts w:hint="eastAsia" w:ascii="仿宋_GB2312" w:hAnsi="仿宋_GB2312" w:eastAsia="仿宋_GB2312" w:cs="仿宋_GB2312"/>
          <w:i w:val="0"/>
          <w:iCs w:val="0"/>
          <w:caps w:val="0"/>
          <w:color w:val="000000"/>
          <w:spacing w:val="0"/>
          <w:kern w:val="2"/>
          <w:sz w:val="32"/>
          <w:szCs w:val="32"/>
          <w:lang w:val="en-US" w:eastAsia="zh-CN" w:bidi="ar-SA"/>
        </w:rPr>
        <w:t>办公室牵头履行核心职责，统筹开展信息公开的梳理汇总、审核发布及申请受理等全流程工作。各科室主动作为，聚焦业务亮点与工作动态深挖信息线索，及时归集报送相关材料，为全局信息公开工作筑牢基础支撑。严格压实工作责任，明确专人专职负责信息公开审核，确保发布内容严谨规范。同时，</w:t>
      </w:r>
      <w:r>
        <w:rPr>
          <w:rFonts w:hint="eastAsia" w:ascii="仿宋_GB2312" w:hAnsi="仿宋_GB2312" w:eastAsia="仿宋_GB2312" w:cs="仿宋_GB2312"/>
          <w:sz w:val="32"/>
          <w:szCs w:val="32"/>
          <w:lang w:val="en-US" w:eastAsia="zh-CN"/>
        </w:rPr>
        <w:t>严格遵循政府信息公开各项程序要求，以规范流程确保公开信息的准确性和高效性。健全多方协同监督审查机制，组建由分管领导牵头，办公室负责人、保密工作人员共同参与的审查专班，严格履行信息发布前的层层审核手续，从源头把控信息质量。</w:t>
      </w:r>
    </w:p>
    <w:p>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政府信息公开平台建设情况。</w:t>
      </w:r>
      <w:r>
        <w:rPr>
          <w:rFonts w:hint="eastAsia" w:ascii="仿宋_GB2312" w:hAnsi="仿宋_GB2312" w:eastAsia="仿宋_GB2312" w:cs="仿宋_GB2312"/>
          <w:color w:val="000000"/>
          <w:sz w:val="32"/>
          <w:szCs w:val="32"/>
        </w:rPr>
        <w:t>积极配合区级政府信息公开工作牵头部门关于信息公开平台的建设工作，加强本部门平台使用管理。2025年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北京丰台司法”微博发布原创作品及转发信息300余条，阅读量达十万余次；丰台普法微信公众平台合计发送254期、556条内容，内容总阅读共计13万人、阅读次数16万，总分享量为7934人次，平台粉丝64223人。推送AI制作的短视频“丰台普法，因你而可爱“，单篇阅读量达到上万次。推出“丰司反诈”专栏，累计发布55篇，推出“丰台区第二批法治政府建设十大典型案例”“丰司反诈”等系列文章。在区政府官网开设“丰台普法”专栏，刊登普法动态、普法资料等资讯75条。</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政府信息公开监督保障及教育培训情况。</w:t>
      </w:r>
      <w:r>
        <w:rPr>
          <w:rFonts w:hint="eastAsia" w:ascii="仿宋_GB2312" w:hAnsi="仿宋_GB2312" w:eastAsia="仿宋_GB2312" w:cs="仿宋_GB2312"/>
          <w:sz w:val="32"/>
          <w:szCs w:val="32"/>
          <w:lang w:val="en-US" w:eastAsia="zh-CN"/>
        </w:rPr>
        <w:t>强化日常监督管理，</w:t>
      </w:r>
      <w:r>
        <w:rPr>
          <w:rFonts w:hint="eastAsia" w:ascii="仿宋_GB2312" w:hAnsi="仿宋_GB2312" w:eastAsia="仿宋_GB2312" w:cs="仿宋_GB2312"/>
          <w:i w:val="0"/>
          <w:iCs w:val="0"/>
          <w:caps w:val="0"/>
          <w:color w:val="000000"/>
          <w:spacing w:val="0"/>
          <w:kern w:val="2"/>
          <w:sz w:val="32"/>
          <w:szCs w:val="32"/>
          <w:lang w:val="en-US" w:eastAsia="zh-CN" w:bidi="ar-SA"/>
        </w:rPr>
        <w:t>健全信息发布保密审查机制，对标保密要求严把审核关口；持续优化信息公开目录，科学划定公开范围，既提升政务信息透明度、保障公众知情权，又严防敏感数据外泄，实现信息公开与安全保密的有机统一。</w:t>
      </w:r>
      <w:r>
        <w:rPr>
          <w:rFonts w:hint="eastAsia" w:ascii="仿宋_GB2312" w:hAnsi="仿宋_GB2312" w:eastAsia="仿宋_GB2312" w:cs="仿宋_GB2312"/>
          <w:sz w:val="32"/>
          <w:szCs w:val="32"/>
          <w:lang w:val="en-US" w:eastAsia="zh-CN"/>
        </w:rPr>
        <w:t>指定专人专职负责信息公开常态化监督，定期开展公开内容专项核查，及时纠偏纠错，保障公开信息的时效性与精准性。同时，制定系统化业务培训计划，组织信息工作相关人员参加政府信息公开专题培训，深入学习政策法规与实操规范，切实提升从业人员业务能力与专业素养，为高质量推进政府信息公开工作夯实人才基础。</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rPr>
          <w:rFonts w:hint="eastAsia"/>
        </w:rPr>
      </w:pPr>
      <w:r>
        <w:rPr>
          <w:rFonts w:hint="eastAsia" w:ascii="黑体" w:hAnsi="黑体" w:eastAsia="黑体" w:cs="黑体"/>
          <w:sz w:val="32"/>
          <w:szCs w:val="32"/>
        </w:rPr>
        <w:t>主动公开政府信息情况</w:t>
      </w: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43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43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43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243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pPr>
              <w:widowControl/>
              <w:spacing w:line="560" w:lineRule="exact"/>
              <w:jc w:val="center"/>
              <w:rPr>
                <w:rFonts w:hint="default" w:eastAsia="宋体"/>
                <w:lang w:val="en-US" w:eastAsia="zh-CN"/>
              </w:rPr>
            </w:pPr>
            <w:r>
              <w:rPr>
                <w:rFonts w:hint="eastAsia"/>
                <w:lang w:val="en-US" w:eastAsia="zh-CN"/>
              </w:rPr>
              <w:t>1529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pPr>
            <w:r>
              <w:rPr>
                <w:rFonts w:hint="default"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740" w:type="dxa"/>
            <w:gridSpan w:val="4"/>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35" w:type="dxa"/>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pPr>
              <w:spacing w:line="560" w:lineRule="exact"/>
              <w:jc w:val="center"/>
              <w:rPr>
                <w:rFonts w:hint="eastAsia" w:ascii="宋体"/>
                <w:sz w:val="24"/>
              </w:rPr>
            </w:pPr>
            <w:r>
              <w:rPr>
                <w:rFonts w:hint="default" w:ascii="宋体" w:hAnsi="宋体" w:eastAsia="宋体" w:cs="宋体"/>
                <w:i w:val="0"/>
                <w:iCs w:val="0"/>
                <w:color w:val="000000"/>
                <w:kern w:val="0"/>
                <w:sz w:val="20"/>
                <w:szCs w:val="20"/>
                <w:u w:val="none"/>
                <w:lang w:val="en-US" w:eastAsia="zh-CN" w:bidi="ar"/>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黑体" w:hAnsi="黑体" w:eastAsia="黑体" w:cs="黑体"/>
          <w:sz w:val="32"/>
          <w:szCs w:val="32"/>
        </w:rPr>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15</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4</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eastAsia" w:ascii="Calibri" w:hAnsi="Calibri" w:eastAsia="等线" w:cs="Calibri"/>
                <w:i w:val="0"/>
                <w:iCs w:val="0"/>
                <w:color w:val="000000"/>
                <w:kern w:val="0"/>
                <w:sz w:val="20"/>
                <w:szCs w:val="20"/>
                <w:u w:val="none"/>
                <w:lang w:val="en-US" w:eastAsia="zh-CN" w:bidi="ar"/>
              </w:rPr>
              <w:t>6</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eastAsia"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eastAsia" w:ascii="Calibri" w:hAnsi="Calibri" w:eastAsia="等线" w:cs="Calibri"/>
                <w:i w:val="0"/>
                <w:iCs w:val="0"/>
                <w:color w:val="000000"/>
                <w:kern w:val="0"/>
                <w:sz w:val="20"/>
                <w:szCs w:val="20"/>
                <w:u w:val="none"/>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restart"/>
            <w:tcBorders>
              <w:top w:val="outset" w:color="auto" w:sz="8" w:space="0"/>
              <w:left w:val="nil"/>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both"/>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left w:val="nil"/>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943" w:type="dxa"/>
            <w:vMerge w:val="continue"/>
            <w:tcBorders>
              <w:left w:val="nil"/>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3219"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1</w:t>
            </w:r>
            <w:r>
              <w:rPr>
                <w:rFonts w:hint="eastAsia" w:ascii="Calibri" w:hAnsi="Calibri" w:eastAsia="等线" w:cs="Calibri"/>
                <w:i w:val="0"/>
                <w:iCs w:val="0"/>
                <w:color w:val="000000"/>
                <w:kern w:val="0"/>
                <w:sz w:val="20"/>
                <w:szCs w:val="20"/>
                <w:u w:val="none"/>
                <w:lang w:val="en-US" w:eastAsia="zh-CN" w:bidi="ar"/>
              </w:rPr>
              <w:t>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1</w:t>
            </w:r>
            <w:r>
              <w:rPr>
                <w:rFonts w:hint="eastAsia" w:ascii="Calibri" w:hAnsi="Calibri" w:eastAsia="等线" w:cs="Calibri"/>
                <w:i w:val="0"/>
                <w:iCs w:val="0"/>
                <w:color w:val="000000"/>
                <w:kern w:val="0"/>
                <w:sz w:val="20"/>
                <w:szCs w:val="20"/>
                <w:u w:val="none"/>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Calibri" w:hAnsi="Calibri" w:eastAsia="等线" w:cs="Calibri"/>
                <w:i w:val="0"/>
                <w:iCs w:val="0"/>
                <w:color w:val="000000"/>
                <w:kern w:val="0"/>
                <w:sz w:val="20"/>
                <w:szCs w:val="20"/>
                <w:u w:val="none"/>
                <w:lang w:val="en-US" w:eastAsia="zh-CN" w:bidi="ar"/>
              </w:rPr>
              <w:t>0</w:t>
            </w:r>
          </w:p>
        </w:tc>
      </w:tr>
    </w:tbl>
    <w:p>
      <w:pPr>
        <w:keepNext w:val="0"/>
        <w:keepLines w:val="0"/>
        <w:pageBreakBefore w:val="0"/>
        <w:widowControl/>
        <w:numPr>
          <w:ilvl w:val="0"/>
          <w:numId w:val="1"/>
        </w:numPr>
        <w:kinsoku/>
        <w:wordWrap/>
        <w:overflowPunct/>
        <w:topLinePunct w:val="0"/>
        <w:autoSpaceDE/>
        <w:autoSpaceDN/>
        <w:bidi w:val="0"/>
        <w:adjustRightInd/>
        <w:snapToGrid/>
        <w:spacing w:line="7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bl>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存在的主要问题及改进情况</w:t>
      </w:r>
    </w:p>
    <w:p>
      <w:pPr>
        <w:widowControl/>
        <w:spacing w:line="560" w:lineRule="exact"/>
        <w:ind w:firstLine="675"/>
        <w:jc w:val="left"/>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val="en-US" w:eastAsia="zh-CN"/>
        </w:rPr>
        <w:t>2026年</w:t>
      </w:r>
      <w:r>
        <w:rPr>
          <w:rFonts w:hint="eastAsia" w:ascii="仿宋_GB2312" w:hAnsi="仿宋_GB2312" w:eastAsia="仿宋_GB2312" w:cs="仿宋_GB2312"/>
          <w:color w:val="000000"/>
          <w:kern w:val="2"/>
          <w:sz w:val="32"/>
          <w:szCs w:val="32"/>
        </w:rPr>
        <w:t>我</w:t>
      </w:r>
      <w:r>
        <w:rPr>
          <w:rFonts w:hint="eastAsia" w:ascii="仿宋_GB2312" w:hAnsi="仿宋_GB2312" w:eastAsia="仿宋_GB2312" w:cs="仿宋_GB2312"/>
          <w:color w:val="000000"/>
          <w:kern w:val="2"/>
          <w:sz w:val="32"/>
          <w:szCs w:val="32"/>
          <w:lang w:eastAsia="zh-CN"/>
        </w:rPr>
        <w:t>局将不断优化</w:t>
      </w:r>
      <w:r>
        <w:rPr>
          <w:rFonts w:hint="eastAsia" w:ascii="仿宋_GB2312" w:hAnsi="仿宋_GB2312" w:eastAsia="仿宋_GB2312" w:cs="仿宋_GB2312"/>
          <w:color w:val="000000"/>
          <w:kern w:val="2"/>
          <w:sz w:val="32"/>
          <w:szCs w:val="32"/>
        </w:rPr>
        <w:t>政府信息公开工作</w:t>
      </w:r>
      <w:r>
        <w:rPr>
          <w:rFonts w:hint="eastAsia" w:ascii="仿宋_GB2312" w:hAnsi="仿宋_GB2312" w:eastAsia="仿宋_GB2312" w:cs="仿宋_GB2312"/>
          <w:color w:val="000000"/>
          <w:kern w:val="2"/>
          <w:sz w:val="32"/>
          <w:szCs w:val="32"/>
          <w:lang w:eastAsia="zh-CN"/>
        </w:rPr>
        <w:t>，一是进一步完善信息公开工作全流程规范，有效提高信息公开工作质量和水平。二是继续加大信息公开工作培训力度，提高工作人员服务能力，确保工作质效。</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rPr>
          <w:rFonts w:ascii="宋体" w:hAnsi="宋体" w:cs="宋体"/>
          <w:spacing w:val="8"/>
          <w:kern w:val="0"/>
          <w:sz w:val="32"/>
          <w:szCs w:val="32"/>
        </w:rPr>
      </w:pPr>
      <w:r>
        <w:rPr>
          <w:rFonts w:ascii="黑体" w:hAnsi="黑体" w:eastAsia="黑体" w:cs="宋体"/>
          <w:spacing w:val="8"/>
          <w:kern w:val="0"/>
          <w:sz w:val="32"/>
          <w:szCs w:val="32"/>
        </w:rPr>
        <w:t>其他需要报告的事项</w:t>
      </w:r>
    </w:p>
    <w:p>
      <w:pPr>
        <w:pStyle w:val="2"/>
        <w:ind w:firstLine="640" w:firstLineChars="200"/>
        <w:rPr>
          <w:rFonts w:hint="eastAsia" w:ascii="黑体" w:hAnsi="黑体" w:eastAsia="黑体" w:cs="黑体"/>
          <w:color w:val="000000"/>
          <w:sz w:val="32"/>
          <w:szCs w:val="32"/>
          <w:highlight w:val="none"/>
          <w:lang w:val="en-US" w:eastAsia="zh-CN"/>
        </w:rPr>
      </w:pPr>
      <w:r>
        <w:rPr>
          <w:rFonts w:hint="eastAsia" w:ascii="仿宋_GB2312" w:hAnsi="仿宋_GB2312" w:eastAsia="仿宋_GB2312" w:cs="仿宋_GB2312"/>
          <w:color w:val="000000"/>
          <w:sz w:val="32"/>
          <w:szCs w:val="32"/>
          <w:lang w:eastAsia="zh-CN"/>
        </w:rPr>
        <w:t>根</w:t>
      </w:r>
      <w:r>
        <w:rPr>
          <w:rFonts w:hint="eastAsia" w:ascii="仿宋_GB2312" w:hAnsi="仿宋_GB2312" w:eastAsia="仿宋_GB2312" w:cs="仿宋_GB2312"/>
          <w:color w:val="000000"/>
          <w:sz w:val="32"/>
          <w:szCs w:val="32"/>
        </w:rPr>
        <w:t>据《政府信息公开信息处理费管理办法》</w:t>
      </w:r>
      <w:r>
        <w:rPr>
          <w:rFonts w:hint="eastAsia" w:ascii="仿宋_GB2312" w:hAnsi="仿宋_GB2312" w:eastAsia="仿宋_GB2312" w:cs="仿宋_GB2312"/>
          <w:color w:val="000000"/>
          <w:sz w:val="32"/>
          <w:szCs w:val="32"/>
          <w:lang w:eastAsia="zh-CN"/>
        </w:rPr>
        <w:t>的要求，</w:t>
      </w:r>
      <w:r>
        <w:rPr>
          <w:rFonts w:hint="eastAsia" w:ascii="仿宋_GB2312" w:hAnsi="仿宋_GB2312" w:eastAsia="仿宋_GB2312" w:cs="仿宋_GB2312"/>
          <w:color w:val="000000"/>
          <w:sz w:val="32"/>
          <w:szCs w:val="32"/>
          <w:lang w:val="en-US" w:eastAsia="zh-CN"/>
        </w:rPr>
        <w:t>2025年我局共发出政务信息依申请公开</w:t>
      </w:r>
      <w:r>
        <w:rPr>
          <w:rFonts w:hint="eastAsia" w:ascii="仿宋_GB2312" w:hAnsi="仿宋_GB2312" w:eastAsia="仿宋_GB2312" w:cs="仿宋_GB2312"/>
          <w:color w:val="000000"/>
          <w:sz w:val="32"/>
          <w:szCs w:val="32"/>
          <w:lang w:val="en"/>
        </w:rPr>
        <w:t>收费通知</w:t>
      </w:r>
      <w:r>
        <w:rPr>
          <w:rFonts w:hint="eastAsia" w:ascii="仿宋_GB2312" w:hAnsi="仿宋_GB2312" w:eastAsia="仿宋_GB2312" w:cs="仿宋_GB2312"/>
          <w:color w:val="000000"/>
          <w:sz w:val="32"/>
          <w:szCs w:val="32"/>
          <w:lang w:val="en-US" w:eastAsia="zh-CN"/>
        </w:rPr>
        <w:t>0件。</w:t>
      </w:r>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47937"/>
    <w:multiLevelType w:val="singleLevel"/>
    <w:tmpl w:val="D9447937"/>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E4CB196B"/>
    <w:multiLevelType w:val="singleLevel"/>
    <w:tmpl w:val="E4CB196B"/>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ODJmZjYyMDIzOTM5ODMyZDIwYWI3MTk2YmFmZDAifQ=="/>
  </w:docVars>
  <w:rsids>
    <w:rsidRoot w:val="61FC300A"/>
    <w:rsid w:val="1EBF9C65"/>
    <w:rsid w:val="33E37B4A"/>
    <w:rsid w:val="5CF759AC"/>
    <w:rsid w:val="5FAF819D"/>
    <w:rsid w:val="5FFF0E60"/>
    <w:rsid w:val="61FC300A"/>
    <w:rsid w:val="6D75C9DC"/>
    <w:rsid w:val="6FD6B38C"/>
    <w:rsid w:val="6FFE218A"/>
    <w:rsid w:val="719C67BD"/>
    <w:rsid w:val="76BF0918"/>
    <w:rsid w:val="778448ED"/>
    <w:rsid w:val="779F26F7"/>
    <w:rsid w:val="7DB737F2"/>
    <w:rsid w:val="7E3DB06F"/>
    <w:rsid w:val="7FB7311B"/>
    <w:rsid w:val="7FDDC6F9"/>
    <w:rsid w:val="BDFFC3C3"/>
    <w:rsid w:val="CECF7617"/>
    <w:rsid w:val="DAF51CCC"/>
    <w:rsid w:val="DD37F657"/>
    <w:rsid w:val="E9B796A4"/>
    <w:rsid w:val="FD6BB26C"/>
    <w:rsid w:val="FED2DC89"/>
    <w:rsid w:val="FF3F1E22"/>
    <w:rsid w:val="FFF89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2025-01-10T09:38:00Z</dcterms:created>
  <dc:creator>lc</dc:creator>
  <cp:lastModifiedBy>uos</cp:lastModifiedBy>
  <cp:lastPrinted>2026-01-06T23:10:00Z</cp:lastPrinted>
  <dcterms:modified xsi:type="dcterms:W3CDTF">2026-01-16T15:21:15Z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6AA7A37B3A15B0CF33F9496934A2973C</vt:lpwstr>
  </property>
</Properties>
</file>