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467D3">
      <w:pPr>
        <w:keepNext w:val="0"/>
        <w:keepLines w:val="0"/>
        <w:pageBreakBefore w:val="0"/>
        <w:kinsoku/>
        <w:wordWrap/>
        <w:overflowPunct/>
        <w:topLinePunct w:val="0"/>
        <w:autoSpaceDE/>
        <w:autoSpaceDN/>
        <w:bidi w:val="0"/>
        <w:adjustRightInd/>
        <w:snapToGrid/>
        <w:spacing w:line="560" w:lineRule="exact"/>
        <w:jc w:val="both"/>
        <w:rPr>
          <w:rFonts w:hint="eastAsia" w:ascii="方正小标宋简体" w:hAnsi="方正小标宋简体" w:eastAsia="方正小标宋简体" w:cs="方正小标宋简体"/>
          <w:sz w:val="44"/>
          <w:szCs w:val="44"/>
          <w:highlight w:val="none"/>
        </w:rPr>
      </w:pPr>
    </w:p>
    <w:p w14:paraId="3AFDCFFD">
      <w:pPr>
        <w:pStyle w:val="2"/>
        <w:rPr>
          <w:rFonts w:hint="eastAsia"/>
        </w:rPr>
      </w:pPr>
    </w:p>
    <w:p w14:paraId="491915DF">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sz w:val="44"/>
          <w:szCs w:val="44"/>
          <w:highlight w:val="none"/>
          <w:lang w:val="en-US" w:eastAsia="zh-CN"/>
        </w:rPr>
        <w:t>北京市丰台区司法局</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w:t>
      </w:r>
    </w:p>
    <w:p w14:paraId="6EA1CACC">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工作年度报告</w:t>
      </w:r>
      <w:bookmarkEnd w:id="0"/>
    </w:p>
    <w:p w14:paraId="0D92E097">
      <w:pPr>
        <w:keepNext w:val="0"/>
        <w:keepLines w:val="0"/>
        <w:pageBreakBefore w:val="0"/>
        <w:kinsoku/>
        <w:wordWrap/>
        <w:overflowPunct/>
        <w:topLinePunct w:val="0"/>
        <w:autoSpaceDE/>
        <w:autoSpaceDN/>
        <w:bidi w:val="0"/>
        <w:adjustRightInd/>
        <w:snapToGrid/>
        <w:spacing w:line="560" w:lineRule="exact"/>
        <w:jc w:val="center"/>
        <w:rPr>
          <w:sz w:val="44"/>
          <w:szCs w:val="44"/>
        </w:rPr>
      </w:pPr>
    </w:p>
    <w:p w14:paraId="5C2BAC41">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48D304B0">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pPr>
      <w:r>
        <w:rPr>
          <w:rFonts w:ascii="黑体" w:hAnsi="黑体" w:eastAsia="黑体" w:cs="宋体"/>
          <w:spacing w:val="8"/>
          <w:kern w:val="0"/>
          <w:sz w:val="32"/>
          <w:szCs w:val="32"/>
        </w:rPr>
        <w:t>总体情况</w:t>
      </w:r>
    </w:p>
    <w:p w14:paraId="70590D1D">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本报告中所列数据的统计期限自</w:t>
      </w:r>
      <w:r>
        <w:rPr>
          <w:rFonts w:hint="eastAsia" w:ascii="仿宋_GB2312" w:hAnsi="宋体" w:eastAsia="仿宋_GB2312" w:cs="宋体"/>
          <w:spacing w:val="8"/>
          <w:kern w:val="0"/>
          <w:sz w:val="32"/>
          <w:szCs w:val="32"/>
          <w:lang w:eastAsia="zh-CN"/>
        </w:rPr>
        <w:t>2024</w:t>
      </w:r>
      <w:r>
        <w:rPr>
          <w:rFonts w:hint="eastAsia" w:ascii="仿宋_GB2312" w:hAnsi="宋体" w:eastAsia="仿宋_GB2312" w:cs="宋体"/>
          <w:spacing w:val="8"/>
          <w:kern w:val="0"/>
          <w:sz w:val="32"/>
          <w:szCs w:val="32"/>
        </w:rPr>
        <w:t>年1月1日起，至</w:t>
      </w:r>
      <w:r>
        <w:rPr>
          <w:rFonts w:hint="eastAsia" w:ascii="仿宋_GB2312" w:hAnsi="宋体" w:eastAsia="仿宋_GB2312" w:cs="宋体"/>
          <w:spacing w:val="8"/>
          <w:kern w:val="0"/>
          <w:sz w:val="32"/>
          <w:szCs w:val="32"/>
          <w:lang w:eastAsia="zh-CN"/>
        </w:rPr>
        <w:t>2024</w:t>
      </w:r>
      <w:r>
        <w:rPr>
          <w:rFonts w:hint="eastAsia" w:ascii="仿宋_GB2312" w:hAnsi="宋体" w:eastAsia="仿宋_GB2312" w:cs="宋体"/>
          <w:spacing w:val="8"/>
          <w:kern w:val="0"/>
          <w:sz w:val="32"/>
          <w:szCs w:val="32"/>
        </w:rPr>
        <w:t>年12月31日止。现将我局</w:t>
      </w:r>
      <w:r>
        <w:rPr>
          <w:rFonts w:hint="eastAsia" w:ascii="仿宋_GB2312" w:hAnsi="宋体" w:eastAsia="仿宋_GB2312" w:cs="宋体"/>
          <w:spacing w:val="8"/>
          <w:kern w:val="0"/>
          <w:sz w:val="32"/>
          <w:szCs w:val="32"/>
          <w:lang w:eastAsia="zh-CN"/>
        </w:rPr>
        <w:t>2024</w:t>
      </w:r>
      <w:r>
        <w:rPr>
          <w:rFonts w:hint="eastAsia" w:ascii="仿宋_GB2312" w:hAnsi="宋体" w:eastAsia="仿宋_GB2312" w:cs="宋体"/>
          <w:spacing w:val="8"/>
          <w:kern w:val="0"/>
          <w:sz w:val="32"/>
          <w:szCs w:val="32"/>
        </w:rPr>
        <w:t>年度政府信息公开工作报告如下：</w:t>
      </w:r>
    </w:p>
    <w:p w14:paraId="7A6D41A0">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主动公开情况</w:t>
      </w:r>
      <w:r>
        <w:rPr>
          <w:rFonts w:hint="eastAsia" w:ascii="楷体_GB2312" w:hAnsi="楷体_GB2312" w:eastAsia="楷体_GB2312" w:cs="楷体_GB2312"/>
          <w:color w:val="000000"/>
          <w:sz w:val="32"/>
          <w:szCs w:val="32"/>
          <w:lang w:eastAsia="zh-CN"/>
        </w:rPr>
        <w:t>与</w:t>
      </w:r>
      <w:r>
        <w:rPr>
          <w:rFonts w:hint="eastAsia" w:ascii="楷体_GB2312" w:hAnsi="楷体_GB2312" w:eastAsia="楷体_GB2312" w:cs="楷体_GB2312"/>
          <w:color w:val="000000"/>
          <w:sz w:val="32"/>
          <w:szCs w:val="32"/>
        </w:rPr>
        <w:t>依申请</w:t>
      </w:r>
      <w:r>
        <w:rPr>
          <w:rFonts w:hint="eastAsia" w:ascii="楷体_GB2312" w:hAnsi="楷体_GB2312" w:eastAsia="楷体_GB2312" w:cs="楷体_GB2312"/>
          <w:color w:val="000000"/>
          <w:sz w:val="32"/>
          <w:szCs w:val="32"/>
          <w:highlight w:val="none"/>
        </w:rPr>
        <w:t>公开办理情况</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2024年在北京市丰台区人民政府网站司法局栏目下变更基本信息3条；发布政府公告17件；发布行政复议公告17件；公开行政规范性文件备案信息10条；公布执法检查信息16条；发布优化营商环境工作信息9条；发布法治政府建设年度情况报告1篇。全年共收到政府信息依申请公开10件，其中4件结转至2025年，其余均做到及时答复、按时办结。</w:t>
      </w:r>
    </w:p>
    <w:p w14:paraId="6602B682">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政府信息管理情况。</w:t>
      </w:r>
      <w:r>
        <w:rPr>
          <w:rFonts w:hint="eastAsia" w:ascii="仿宋_GB2312" w:hAnsi="仿宋_GB2312" w:eastAsia="仿宋_GB2312" w:cs="仿宋_GB2312"/>
          <w:color w:val="000000"/>
          <w:kern w:val="2"/>
          <w:sz w:val="32"/>
          <w:szCs w:val="32"/>
          <w:lang w:val="en-US" w:eastAsia="zh-CN" w:bidi="ar-SA"/>
        </w:rPr>
        <w:t>2024年，我局继续遵循统一管理、分工负责的原则，有效推进政府信息管理工作。</w:t>
      </w:r>
      <w:r>
        <w:rPr>
          <w:rFonts w:hint="eastAsia" w:ascii="仿宋_GB2312" w:hAnsi="仿宋_GB2312" w:eastAsia="仿宋_GB2312" w:cs="仿宋_GB2312"/>
          <w:color w:val="000000"/>
          <w:sz w:val="32"/>
          <w:szCs w:val="32"/>
          <w:lang w:eastAsia="zh-CN"/>
        </w:rPr>
        <w:t>办</w:t>
      </w:r>
      <w:r>
        <w:rPr>
          <w:rFonts w:hint="eastAsia" w:ascii="仿宋_GB2312" w:hAnsi="仿宋_GB2312" w:eastAsia="仿宋_GB2312" w:cs="仿宋_GB2312"/>
          <w:color w:val="000000"/>
          <w:kern w:val="2"/>
          <w:sz w:val="32"/>
          <w:szCs w:val="32"/>
          <w:lang w:val="en-US" w:eastAsia="zh-CN" w:bidi="ar-SA"/>
        </w:rPr>
        <w:t>公室作为主要负责部门，承担信息公开的清理、汇总、审核、公布和受理申请等任务。各科室积极承担起信息收集工作，</w:t>
      </w:r>
      <w:r>
        <w:rPr>
          <w:rFonts w:hint="eastAsia" w:ascii="仿宋_GB2312" w:hAnsi="仿宋_GB2312" w:eastAsia="仿宋_GB2312" w:cs="仿宋_GB2312"/>
          <w:i w:val="0"/>
          <w:iCs w:val="0"/>
          <w:caps w:val="0"/>
          <w:color w:val="000000"/>
          <w:spacing w:val="0"/>
          <w:kern w:val="2"/>
          <w:sz w:val="32"/>
          <w:szCs w:val="32"/>
          <w:lang w:val="en-US" w:eastAsia="zh-CN" w:bidi="ar-SA"/>
        </w:rPr>
        <w:t>深入挖掘本单位的工作亮点与动态，及时汇总各类信息，为信息收集奠定了坚实基础。</w:t>
      </w:r>
      <w:r>
        <w:rPr>
          <w:rFonts w:hint="eastAsia" w:ascii="仿宋_GB2312" w:hAnsi="仿宋_GB2312" w:eastAsia="仿宋_GB2312" w:cs="仿宋_GB2312"/>
          <w:color w:val="000000"/>
          <w:kern w:val="2"/>
          <w:sz w:val="32"/>
          <w:szCs w:val="32"/>
          <w:lang w:val="en-US" w:eastAsia="zh-CN" w:bidi="ar-SA"/>
        </w:rPr>
        <w:t>加强责任制落实，指定专人</w:t>
      </w:r>
      <w:r>
        <w:rPr>
          <w:rFonts w:hint="eastAsia" w:ascii="仿宋_GB2312" w:hAnsi="仿宋_GB2312" w:eastAsia="仿宋_GB2312" w:cs="仿宋_GB2312"/>
          <w:i w:val="0"/>
          <w:iCs w:val="0"/>
          <w:caps w:val="0"/>
          <w:color w:val="000000"/>
          <w:spacing w:val="0"/>
          <w:kern w:val="2"/>
          <w:sz w:val="32"/>
          <w:szCs w:val="32"/>
          <w:lang w:val="en-US" w:eastAsia="zh-CN" w:bidi="ar-SA"/>
        </w:rPr>
        <w:t>负责信息的审核工作，确保信息发布的严谨性与规范性。严格按照保密审查要求，建立了完善的信息发布保密审查机制。同时，我局积极优化信息公开目录，合理界定信息公开的范围，在提高政府信息透明度，保障公众获取非机密性政府信息的同时，有效避免了敏感数据的不当泄露，实现了信息公开与信息安全的有机统一。</w:t>
      </w:r>
    </w:p>
    <w:p w14:paraId="6EECC46C">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政府信息公开平台建设情况。</w:t>
      </w:r>
      <w:r>
        <w:rPr>
          <w:rFonts w:hint="eastAsia" w:ascii="仿宋_GB2312" w:hAnsi="仿宋_GB2312" w:eastAsia="仿宋_GB2312" w:cs="仿宋_GB2312"/>
          <w:sz w:val="32"/>
          <w:szCs w:val="32"/>
        </w:rPr>
        <w:t>积极配合区级政府信息公开工作牵头部门关于信息公开平台的建设工作，加强本部门平台使用管理。</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年，“北京丰台司法”微博发布原创作品及转发信息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00余条，阅读量达万余次；</w:t>
      </w:r>
      <w:r>
        <w:rPr>
          <w:rFonts w:hint="eastAsia" w:ascii="仿宋_GB2312" w:hAnsi="仿宋_GB2312" w:eastAsia="仿宋_GB2312" w:cs="仿宋_GB2312"/>
          <w:sz w:val="32"/>
          <w:szCs w:val="32"/>
          <w:lang w:val="en-US" w:eastAsia="zh-CN"/>
        </w:rPr>
        <w:t>丰台普法微信公众平台合计发送333期、1181条内容，内容总阅读共计19万人、阅读次数26万，总分享量为8225人次，平台粉丝62852人。推送北京市首部AI普法宣传片制作流程及理念，单篇阅读量达到1200余次。推出“丰台区法治政府建设”系列典型案例、“连心普法驿站”十大典型案例等系列案例。</w:t>
      </w:r>
    </w:p>
    <w:p w14:paraId="198969F3">
      <w:pPr>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政府信息公开监督保障及教育培训情况。</w:t>
      </w:r>
      <w:r>
        <w:rPr>
          <w:rFonts w:hint="eastAsia" w:ascii="仿宋_GB2312" w:hAnsi="仿宋_GB2312" w:eastAsia="仿宋_GB2312" w:cs="仿宋_GB2312"/>
          <w:sz w:val="32"/>
          <w:szCs w:val="32"/>
          <w:lang w:val="en-US" w:eastAsia="zh-CN"/>
        </w:rPr>
        <w:t>严格遵循公开程序，确保信息公开的有效性和准确性。建立健全监督机制，由分管领导和办公室负责人、保密工作人员共同参与的审查机制和程序，严格审查，确保信息质量。指定专人负责日常监督，定期开展信息检查，确保公开内容及时、准确。制定培训计划，组织信息工作人员参加政府信息公开专题培训，深入学习政策法规及操作规范，有效提升业务水平，为政府信息公开工作奠定基础。</w:t>
      </w:r>
    </w:p>
    <w:p w14:paraId="1F990EA0">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rPr>
          <w:rFonts w:hint="eastAsia"/>
        </w:rPr>
      </w:pPr>
      <w:r>
        <w:rPr>
          <w:rFonts w:hint="eastAsia" w:ascii="黑体" w:hAnsi="黑体" w:eastAsia="黑体" w:cs="黑体"/>
          <w:sz w:val="32"/>
          <w:szCs w:val="32"/>
        </w:rPr>
        <w:t>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080"/>
        <w:gridCol w:w="2259"/>
        <w:gridCol w:w="2378"/>
        <w:gridCol w:w="2023"/>
      </w:tblGrid>
      <w:tr w14:paraId="55AE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4A5209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第二十条第（一）项</w:t>
            </w:r>
          </w:p>
        </w:tc>
      </w:tr>
      <w:tr w14:paraId="5EF0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478E5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信息内容</w:t>
            </w:r>
          </w:p>
        </w:tc>
        <w:tc>
          <w:tcPr>
            <w:tcW w:w="2259"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751FC3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本年</w:t>
            </w:r>
            <w:r>
              <w:rPr>
                <w:rStyle w:val="8"/>
                <w:lang w:val="en-US" w:eastAsia="zh-CN" w:bidi="ar"/>
              </w:rPr>
              <w:t>制发件数</w:t>
            </w:r>
          </w:p>
        </w:tc>
        <w:tc>
          <w:tcPr>
            <w:tcW w:w="2378"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76DDBF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本年废止件数</w:t>
            </w:r>
          </w:p>
        </w:tc>
        <w:tc>
          <w:tcPr>
            <w:tcW w:w="2023"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3427FE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现行有效件</w:t>
            </w:r>
            <w:r>
              <w:rPr>
                <w:rStyle w:val="8"/>
                <w:lang w:val="en-US" w:eastAsia="zh-CN" w:bidi="ar"/>
              </w:rPr>
              <w:t>数</w:t>
            </w:r>
          </w:p>
        </w:tc>
      </w:tr>
      <w:tr w14:paraId="5803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3EF342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宋体" w:hAnsi="宋体" w:eastAsia="宋体" w:cs="宋体"/>
                <w:i w:val="0"/>
                <w:iCs w:val="0"/>
                <w:color w:val="000000"/>
                <w:kern w:val="0"/>
                <w:sz w:val="20"/>
                <w:szCs w:val="20"/>
                <w:u w:val="none"/>
                <w:lang w:val="en-US" w:eastAsia="zh-CN" w:bidi="ar"/>
              </w:rPr>
              <w:t>规章</w:t>
            </w:r>
          </w:p>
        </w:tc>
        <w:tc>
          <w:tcPr>
            <w:tcW w:w="2259" w:type="dxa"/>
            <w:tcBorders>
              <w:top w:val="nil"/>
              <w:left w:val="nil"/>
              <w:bottom w:val="single" w:color="auto" w:sz="8" w:space="0"/>
              <w:right w:val="single" w:color="auto" w:sz="8" w:space="0"/>
            </w:tcBorders>
            <w:noWrap w:val="0"/>
            <w:tcMar>
              <w:left w:w="57" w:type="dxa"/>
              <w:right w:w="57" w:type="dxa"/>
            </w:tcMar>
            <w:vAlign w:val="center"/>
          </w:tcPr>
          <w:p w14:paraId="7AA2AA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2378" w:type="dxa"/>
            <w:tcBorders>
              <w:top w:val="nil"/>
              <w:left w:val="nil"/>
              <w:bottom w:val="single" w:color="auto" w:sz="8" w:space="0"/>
              <w:right w:val="single" w:color="auto" w:sz="8" w:space="0"/>
            </w:tcBorders>
            <w:noWrap w:val="0"/>
            <w:tcMar>
              <w:left w:w="57" w:type="dxa"/>
              <w:right w:w="57" w:type="dxa"/>
            </w:tcMar>
            <w:vAlign w:val="center"/>
          </w:tcPr>
          <w:p w14:paraId="68C8E9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2023" w:type="dxa"/>
            <w:tcBorders>
              <w:top w:val="nil"/>
              <w:left w:val="nil"/>
              <w:bottom w:val="single" w:color="auto" w:sz="8" w:space="0"/>
              <w:right w:val="single" w:color="auto" w:sz="8" w:space="0"/>
            </w:tcBorders>
            <w:noWrap w:val="0"/>
            <w:tcMar>
              <w:left w:w="57" w:type="dxa"/>
              <w:right w:w="57" w:type="dxa"/>
            </w:tcMar>
            <w:vAlign w:val="center"/>
          </w:tcPr>
          <w:p w14:paraId="0E97DEBB">
            <w:pPr>
              <w:keepNext w:val="0"/>
              <w:keepLines w:val="0"/>
              <w:pageBreakBefore w:val="0"/>
              <w:kinsoku/>
              <w:wordWrap/>
              <w:overflowPunct/>
              <w:topLinePunct w:val="0"/>
              <w:autoSpaceDE/>
              <w:autoSpaceDN/>
              <w:bidi w:val="0"/>
              <w:adjustRightInd/>
              <w:snapToGrid/>
              <w:spacing w:line="560" w:lineRule="exact"/>
              <w:jc w:val="center"/>
            </w:pPr>
          </w:p>
        </w:tc>
      </w:tr>
      <w:tr w14:paraId="742E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D75A75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宋体" w:hAnsi="宋体" w:eastAsia="宋体" w:cs="宋体"/>
                <w:i w:val="0"/>
                <w:iCs w:val="0"/>
                <w:color w:val="000000"/>
                <w:kern w:val="0"/>
                <w:sz w:val="20"/>
                <w:szCs w:val="20"/>
                <w:u w:val="none"/>
                <w:lang w:val="en-US" w:eastAsia="zh-CN" w:bidi="ar"/>
              </w:rPr>
              <w:t>行政规范性文件</w:t>
            </w:r>
          </w:p>
        </w:tc>
        <w:tc>
          <w:tcPr>
            <w:tcW w:w="2259" w:type="dxa"/>
            <w:tcBorders>
              <w:top w:val="nil"/>
              <w:left w:val="nil"/>
              <w:bottom w:val="single" w:color="auto" w:sz="8" w:space="0"/>
              <w:right w:val="single" w:color="auto" w:sz="8" w:space="0"/>
            </w:tcBorders>
            <w:noWrap w:val="0"/>
            <w:tcMar>
              <w:left w:w="57" w:type="dxa"/>
              <w:right w:w="57" w:type="dxa"/>
            </w:tcMar>
            <w:vAlign w:val="center"/>
          </w:tcPr>
          <w:p w14:paraId="1280E4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2378" w:type="dxa"/>
            <w:tcBorders>
              <w:top w:val="nil"/>
              <w:left w:val="nil"/>
              <w:bottom w:val="single" w:color="auto" w:sz="8" w:space="0"/>
              <w:right w:val="single" w:color="auto" w:sz="8" w:space="0"/>
            </w:tcBorders>
            <w:noWrap w:val="0"/>
            <w:tcMar>
              <w:left w:w="57" w:type="dxa"/>
              <w:right w:w="57" w:type="dxa"/>
            </w:tcMar>
            <w:vAlign w:val="center"/>
          </w:tcPr>
          <w:p w14:paraId="085BA7C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2023" w:type="dxa"/>
            <w:tcBorders>
              <w:top w:val="nil"/>
              <w:left w:val="nil"/>
              <w:bottom w:val="single" w:color="auto" w:sz="8" w:space="0"/>
              <w:right w:val="single" w:color="auto" w:sz="8" w:space="0"/>
            </w:tcBorders>
            <w:noWrap w:val="0"/>
            <w:tcMar>
              <w:left w:w="57" w:type="dxa"/>
              <w:right w:w="57" w:type="dxa"/>
            </w:tcMar>
            <w:vAlign w:val="center"/>
          </w:tcPr>
          <w:p w14:paraId="34E5FBFF">
            <w:pPr>
              <w:keepNext w:val="0"/>
              <w:keepLines w:val="0"/>
              <w:pageBreakBefore w:val="0"/>
              <w:kinsoku/>
              <w:wordWrap/>
              <w:overflowPunct/>
              <w:topLinePunct w:val="0"/>
              <w:autoSpaceDE/>
              <w:autoSpaceDN/>
              <w:bidi w:val="0"/>
              <w:adjustRightInd/>
              <w:snapToGrid/>
              <w:spacing w:line="560" w:lineRule="exact"/>
              <w:jc w:val="center"/>
            </w:pPr>
          </w:p>
        </w:tc>
      </w:tr>
      <w:tr w14:paraId="52DC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4993B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第二十条第（五）项</w:t>
            </w:r>
          </w:p>
        </w:tc>
      </w:tr>
      <w:tr w14:paraId="152B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3363B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信息内容</w:t>
            </w:r>
          </w:p>
        </w:tc>
        <w:tc>
          <w:tcPr>
            <w:tcW w:w="6660"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42D138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本年处理决定数量</w:t>
            </w:r>
          </w:p>
        </w:tc>
      </w:tr>
      <w:tr w14:paraId="6A87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D422CA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宋体" w:hAnsi="宋体" w:eastAsia="宋体" w:cs="宋体"/>
                <w:i w:val="0"/>
                <w:iCs w:val="0"/>
                <w:color w:val="000000"/>
                <w:kern w:val="0"/>
                <w:sz w:val="20"/>
                <w:szCs w:val="20"/>
                <w:u w:val="none"/>
                <w:lang w:val="en-US" w:eastAsia="zh-CN" w:bidi="ar"/>
              </w:rPr>
              <w:t>行政许可</w:t>
            </w:r>
          </w:p>
        </w:tc>
        <w:tc>
          <w:tcPr>
            <w:tcW w:w="6660" w:type="dxa"/>
            <w:gridSpan w:val="3"/>
            <w:tcBorders>
              <w:top w:val="nil"/>
              <w:left w:val="nil"/>
              <w:bottom w:val="single" w:color="auto" w:sz="8" w:space="0"/>
              <w:right w:val="single" w:color="auto" w:sz="8" w:space="0"/>
            </w:tcBorders>
            <w:noWrap w:val="0"/>
            <w:tcMar>
              <w:left w:w="57" w:type="dxa"/>
              <w:right w:w="57" w:type="dxa"/>
            </w:tcMar>
            <w:vAlign w:val="center"/>
          </w:tcPr>
          <w:p w14:paraId="1AE16F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default" w:ascii="宋体" w:hAnsi="宋体" w:eastAsia="宋体" w:cs="宋体"/>
                <w:i w:val="0"/>
                <w:iCs w:val="0"/>
                <w:color w:val="000000"/>
                <w:kern w:val="0"/>
                <w:sz w:val="20"/>
                <w:szCs w:val="20"/>
                <w:u w:val="none"/>
                <w:lang w:val="en-US" w:eastAsia="zh-CN" w:bidi="ar"/>
              </w:rPr>
              <w:t>0</w:t>
            </w:r>
          </w:p>
        </w:tc>
      </w:tr>
      <w:tr w14:paraId="2B0D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4BCBD8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第二十条第（六）项</w:t>
            </w:r>
          </w:p>
        </w:tc>
      </w:tr>
      <w:tr w14:paraId="6A6B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FC060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信息内容</w:t>
            </w:r>
          </w:p>
        </w:tc>
        <w:tc>
          <w:tcPr>
            <w:tcW w:w="6660"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7A52A7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本年处理决定数量</w:t>
            </w:r>
          </w:p>
        </w:tc>
      </w:tr>
      <w:tr w14:paraId="0B7C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574E0F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宋体" w:hAnsi="宋体" w:eastAsia="宋体" w:cs="宋体"/>
                <w:i w:val="0"/>
                <w:iCs w:val="0"/>
                <w:color w:val="000000"/>
                <w:kern w:val="0"/>
                <w:sz w:val="20"/>
                <w:szCs w:val="20"/>
                <w:u w:val="none"/>
                <w:lang w:val="en-US" w:eastAsia="zh-CN" w:bidi="ar"/>
              </w:rPr>
              <w:t>行政处罚</w:t>
            </w:r>
          </w:p>
        </w:tc>
        <w:tc>
          <w:tcPr>
            <w:tcW w:w="6660" w:type="dxa"/>
            <w:gridSpan w:val="3"/>
            <w:tcBorders>
              <w:top w:val="nil"/>
              <w:left w:val="nil"/>
              <w:bottom w:val="single" w:color="auto" w:sz="8" w:space="0"/>
              <w:right w:val="single" w:color="auto" w:sz="8" w:space="0"/>
            </w:tcBorders>
            <w:noWrap w:val="0"/>
            <w:tcMar>
              <w:left w:w="57" w:type="dxa"/>
              <w:right w:w="57" w:type="dxa"/>
            </w:tcMar>
            <w:vAlign w:val="center"/>
          </w:tcPr>
          <w:p w14:paraId="725A42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w:t>
            </w:r>
          </w:p>
        </w:tc>
      </w:tr>
      <w:tr w14:paraId="2F13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56BA16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宋体" w:hAnsi="宋体" w:eastAsia="宋体" w:cs="宋体"/>
                <w:i w:val="0"/>
                <w:iCs w:val="0"/>
                <w:color w:val="000000"/>
                <w:kern w:val="0"/>
                <w:sz w:val="20"/>
                <w:szCs w:val="20"/>
                <w:u w:val="none"/>
                <w:lang w:val="en-US" w:eastAsia="zh-CN" w:bidi="ar"/>
              </w:rPr>
              <w:t>行政强制</w:t>
            </w:r>
          </w:p>
        </w:tc>
        <w:tc>
          <w:tcPr>
            <w:tcW w:w="6660" w:type="dxa"/>
            <w:gridSpan w:val="3"/>
            <w:tcBorders>
              <w:top w:val="nil"/>
              <w:left w:val="nil"/>
              <w:bottom w:val="single" w:color="auto" w:sz="8" w:space="0"/>
              <w:right w:val="single" w:color="auto" w:sz="8" w:space="0"/>
            </w:tcBorders>
            <w:noWrap w:val="0"/>
            <w:tcMar>
              <w:left w:w="57" w:type="dxa"/>
              <w:right w:w="57" w:type="dxa"/>
            </w:tcMar>
            <w:vAlign w:val="center"/>
          </w:tcPr>
          <w:p w14:paraId="4FD117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w:t>
            </w:r>
          </w:p>
        </w:tc>
      </w:tr>
      <w:tr w14:paraId="2404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77D02A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第二十条第（八）项</w:t>
            </w:r>
          </w:p>
        </w:tc>
      </w:tr>
      <w:tr w14:paraId="1633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31611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信息内容</w:t>
            </w:r>
          </w:p>
        </w:tc>
        <w:tc>
          <w:tcPr>
            <w:tcW w:w="6660"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5B5D00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本年收费金额（单位：万元）</w:t>
            </w:r>
          </w:p>
        </w:tc>
      </w:tr>
      <w:tr w14:paraId="3594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1C7DAF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pPr>
            <w:r>
              <w:rPr>
                <w:rFonts w:hint="eastAsia" w:ascii="宋体" w:hAnsi="宋体" w:eastAsia="宋体" w:cs="宋体"/>
                <w:i w:val="0"/>
                <w:iCs w:val="0"/>
                <w:color w:val="000000"/>
                <w:kern w:val="0"/>
                <w:sz w:val="20"/>
                <w:szCs w:val="20"/>
                <w:u w:val="none"/>
                <w:lang w:val="en-US" w:eastAsia="zh-CN" w:bidi="ar"/>
              </w:rPr>
              <w:t>行政事业性收费</w:t>
            </w:r>
          </w:p>
        </w:tc>
        <w:tc>
          <w:tcPr>
            <w:tcW w:w="6660" w:type="dxa"/>
            <w:gridSpan w:val="3"/>
            <w:tcBorders>
              <w:top w:val="nil"/>
              <w:left w:val="nil"/>
              <w:bottom w:val="single" w:color="auto" w:sz="8" w:space="0"/>
              <w:right w:val="single" w:color="000000" w:sz="8" w:space="0"/>
            </w:tcBorders>
            <w:noWrap w:val="0"/>
            <w:tcMar>
              <w:left w:w="57" w:type="dxa"/>
              <w:right w:w="57" w:type="dxa"/>
            </w:tcMar>
            <w:vAlign w:val="center"/>
          </w:tcPr>
          <w:p w14:paraId="64090E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sz w:val="24"/>
                <w:szCs w:val="24"/>
              </w:rPr>
            </w:pPr>
            <w:r>
              <w:rPr>
                <w:rFonts w:hint="default" w:ascii="宋体" w:hAnsi="宋体" w:eastAsia="宋体" w:cs="宋体"/>
                <w:i w:val="0"/>
                <w:iCs w:val="0"/>
                <w:color w:val="000000"/>
                <w:kern w:val="0"/>
                <w:sz w:val="20"/>
                <w:szCs w:val="20"/>
                <w:u w:val="none"/>
                <w:lang w:val="en-US" w:eastAsia="zh-CN" w:bidi="ar"/>
              </w:rPr>
              <w:t>0</w:t>
            </w:r>
          </w:p>
        </w:tc>
      </w:tr>
    </w:tbl>
    <w:p w14:paraId="6020F6E4">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4578E8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3506B6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756D4B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申请人情况</w:t>
            </w:r>
          </w:p>
        </w:tc>
      </w:tr>
      <w:tr w14:paraId="11CB9A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501D8FE1">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714"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14:paraId="15DDEF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3FA353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475A6B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总计</w:t>
            </w:r>
          </w:p>
        </w:tc>
      </w:tr>
      <w:tr w14:paraId="50BE13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14:paraId="4D4DEE5E">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714"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14:paraId="5BE894F5">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714"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024499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商业</w:t>
            </w:r>
          </w:p>
          <w:p w14:paraId="38BB0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14:paraId="31C95B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科研</w:t>
            </w:r>
          </w:p>
          <w:p w14:paraId="32ADB7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25AF64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3F2A6F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14:paraId="207602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14:paraId="44AD00A2">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r>
      <w:tr w14:paraId="65D523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00A85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63842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389FE7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A9411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AEE00A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9E037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B3C5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1B49D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r>
      <w:tr w14:paraId="2D7D93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1F7CD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10AE1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4B7F2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69FB4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E21ED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A2465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B38E9A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9BB40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74E59B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B834C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42CB6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FA872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1B180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159EF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4146B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342F6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2D176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14:paraId="5047AC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3756E4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36915A8">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721C14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2E529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E9F7C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C48D8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4BE0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8A066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00EF0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A501F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5578CF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F53D43A">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72F6C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F7C06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61FDF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9E47D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7EF8B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07D0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653E8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B2F16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14:paraId="50B527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2DD45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6458622">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1E57D11">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0B0E7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61111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2F7CF9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C6F52C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4477A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74B52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D4EF7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53F65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1AFBE8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CA17B4F">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17CA71E">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C7094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208F3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5F784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2821F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61C34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A2AB7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56426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126B3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4CE3C1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2D256C1">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3782B94">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5DC39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154EF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7A9C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29BB5C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770CF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594F2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C9D0E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17D4B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585C1F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1B643BC">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45F716B">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3D455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440C4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088F4C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092EC8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57955E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60A98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3A9B9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AAAD4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58E4F9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08474738">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D845643">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77B8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1E51D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D3EE4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27DF5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84414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A7965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903FE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E11CB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03BA6A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6FDBF339">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5EAB57FD">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6E898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A51B0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B6568D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21028D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4C3B5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ACD22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A6796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8B1A6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5D4958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2D68757E">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1279AA4">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5CBF6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4982A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349FD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40389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F63F6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005775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F7F80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E05C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09E309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00B2133">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46997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D11C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EED6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AEB29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2C4AA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2EBD6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F0C5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EEED5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51F7025">
            <w:pPr>
              <w:keepNext w:val="0"/>
              <w:keepLines w:val="0"/>
              <w:pageBreakBefore w:val="0"/>
              <w:widowControl/>
              <w:suppressLineNumbers w:val="0"/>
              <w:tabs>
                <w:tab w:val="center" w:pos="347"/>
                <w:tab w:val="left" w:pos="472"/>
              </w:tabs>
              <w:kinsoku/>
              <w:wordWrap/>
              <w:overflowPunct/>
              <w:topLinePunct w:val="0"/>
              <w:autoSpaceDE/>
              <w:autoSpaceDN/>
              <w:bidi w:val="0"/>
              <w:adjustRightInd/>
              <w:snapToGrid/>
              <w:spacing w:line="56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ab/>
            </w:r>
            <w:r>
              <w:rPr>
                <w:rFonts w:hint="eastAsia" w:asciiTheme="minorEastAsia" w:hAnsiTheme="minorEastAsia" w:eastAsiaTheme="minorEastAsia" w:cstheme="minorEastAsia"/>
                <w:i w:val="0"/>
                <w:iCs w:val="0"/>
                <w:color w:val="000000"/>
                <w:kern w:val="0"/>
                <w:sz w:val="20"/>
                <w:szCs w:val="20"/>
                <w:u w:val="none"/>
                <w:lang w:val="en-US" w:eastAsia="zh-CN" w:bidi="ar"/>
              </w:rPr>
              <w:t>2</w:t>
            </w:r>
            <w:r>
              <w:rPr>
                <w:rFonts w:hint="eastAsia" w:asciiTheme="minorEastAsia" w:hAnsiTheme="minorEastAsia" w:eastAsiaTheme="minorEastAsia" w:cstheme="minorEastAsia"/>
                <w:i w:val="0"/>
                <w:iCs w:val="0"/>
                <w:color w:val="000000"/>
                <w:kern w:val="0"/>
                <w:sz w:val="20"/>
                <w:szCs w:val="20"/>
                <w:u w:val="none"/>
                <w:lang w:val="en-US" w:eastAsia="zh-CN" w:bidi="ar"/>
              </w:rPr>
              <w:tab/>
            </w:r>
          </w:p>
        </w:tc>
      </w:tr>
      <w:tr w14:paraId="48C078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4D1D794">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7885B8A">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5C645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F0BC7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62B30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7CFCF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E8641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971A4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84915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AD4EF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0139AD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CE233A0">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1EF18AB6">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072B40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3A7B2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1C0E6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C28C9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1B0C9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6047BB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ECD82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110B3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2D22D2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40516673">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14:paraId="67760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E05BA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3240C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B8CDA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D20E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028588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0C2E2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D5F68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75917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5D811B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6F0E9F7F">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725F2385">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494818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13FCD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ECC9D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5DBD2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14F05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FC91A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46B3B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90B73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67AE95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3A5FB4B7">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EFBADF5">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1D73F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6DDE6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D57F6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01FE5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7E6FF6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B491C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57FEC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43246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0613A6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F7351CD">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2A7E92AA">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14:paraId="7B58DC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67420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6F6752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267D7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D5E26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8CFC8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CB29C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47C67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78D8DF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C51FB3D">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14:paraId="07350E0E">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14:paraId="331976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1F3D05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70E2AA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245D0C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421EC8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11E28B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49B377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14:paraId="54F008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7E9163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E737257">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02A30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8D2EF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002EBD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AF598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F401B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C43AE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92936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D50DA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58D82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05920E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76C78127">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376DE7AC">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AE70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197EE0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A6957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99F70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11A0C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602CB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60DC1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D66EBD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162333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5EF6EF61">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14:paraId="34256468">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14:paraId="765D50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ABA1A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F9232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15DB6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218A0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48965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084F19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93CC2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1338B7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14:paraId="1FD65828">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E7E0D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991EB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430AF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5E60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371A6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39B4D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15634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44F94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r>
      <w:tr w14:paraId="03BA13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C7DE4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14:paraId="6FB371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688" w:type="dxa"/>
            <w:tcBorders>
              <w:top w:val="outset" w:color="auto" w:sz="6" w:space="0"/>
              <w:left w:val="nil"/>
              <w:bottom w:val="outset" w:color="auto" w:sz="6" w:space="0"/>
              <w:right w:val="outset" w:color="auto" w:sz="6" w:space="0"/>
            </w:tcBorders>
            <w:noWrap w:val="0"/>
            <w:vAlign w:val="center"/>
          </w:tcPr>
          <w:p w14:paraId="4D2CD69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0A552F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07C88C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77AE54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14:paraId="41342B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89" w:type="dxa"/>
            <w:tcBorders>
              <w:top w:val="outset" w:color="auto" w:sz="6" w:space="0"/>
              <w:left w:val="nil"/>
              <w:bottom w:val="outset" w:color="auto" w:sz="6" w:space="0"/>
              <w:right w:val="outset" w:color="auto" w:sz="6" w:space="0"/>
            </w:tcBorders>
            <w:noWrap w:val="0"/>
            <w:vAlign w:val="center"/>
          </w:tcPr>
          <w:p w14:paraId="738607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r>
    </w:tbl>
    <w:p w14:paraId="2B6CE47E">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727D5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4B2C04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3B2693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行政诉讼</w:t>
            </w:r>
          </w:p>
        </w:tc>
      </w:tr>
      <w:tr w14:paraId="578E14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6943E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903F8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4DF89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0739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A2D15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001AF5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59A97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复议后起诉</w:t>
            </w:r>
          </w:p>
        </w:tc>
      </w:tr>
      <w:tr w14:paraId="6BD895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6B967DA">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08E536C">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F2F6B6">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C49A204">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D5CD28">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833A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7A7A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D1CA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ABB5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4A91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B38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FEC8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C474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19CE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878E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color w:val="000000"/>
                <w:kern w:val="0"/>
                <w:sz w:val="20"/>
                <w:szCs w:val="20"/>
                <w:lang w:val="en-US" w:eastAsia="zh-CN" w:bidi="ar"/>
              </w:rPr>
              <w:t>总计</w:t>
            </w:r>
          </w:p>
        </w:tc>
      </w:tr>
      <w:tr w14:paraId="30C045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7376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3B3D1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3E73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51BE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9A0B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A606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9BF08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7CCC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E3F6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DF0E6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EADA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D6DD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C27AB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1A35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50013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bl>
    <w:p w14:paraId="4CB96359">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存在的主要问题及改进情况</w:t>
      </w:r>
    </w:p>
    <w:p w14:paraId="6DE0D65F">
      <w:pPr>
        <w:widowControl/>
        <w:spacing w:line="560" w:lineRule="exact"/>
        <w:ind w:firstLine="675"/>
        <w:jc w:val="left"/>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val="en-US" w:eastAsia="zh-CN"/>
        </w:rPr>
        <w:t>2025年</w:t>
      </w:r>
      <w:r>
        <w:rPr>
          <w:rFonts w:hint="eastAsia" w:ascii="仿宋_GB2312" w:hAnsi="仿宋_GB2312" w:eastAsia="仿宋_GB2312" w:cs="仿宋_GB2312"/>
          <w:color w:val="000000"/>
          <w:kern w:val="2"/>
          <w:sz w:val="32"/>
          <w:szCs w:val="32"/>
        </w:rPr>
        <w:t>我</w:t>
      </w:r>
      <w:r>
        <w:rPr>
          <w:rFonts w:hint="eastAsia" w:ascii="仿宋_GB2312" w:hAnsi="仿宋_GB2312" w:eastAsia="仿宋_GB2312" w:cs="仿宋_GB2312"/>
          <w:color w:val="000000"/>
          <w:kern w:val="2"/>
          <w:sz w:val="32"/>
          <w:szCs w:val="32"/>
          <w:lang w:eastAsia="zh-CN"/>
        </w:rPr>
        <w:t>局</w:t>
      </w:r>
      <w:r>
        <w:rPr>
          <w:rFonts w:hint="eastAsia" w:ascii="仿宋_GB2312" w:hAnsi="仿宋_GB2312" w:eastAsia="仿宋_GB2312" w:cs="仿宋_GB2312"/>
          <w:color w:val="000000"/>
          <w:kern w:val="2"/>
          <w:sz w:val="32"/>
          <w:szCs w:val="32"/>
        </w:rPr>
        <w:t>在政府信息公开工作中</w:t>
      </w:r>
      <w:r>
        <w:rPr>
          <w:rFonts w:hint="eastAsia" w:ascii="仿宋_GB2312" w:hAnsi="仿宋_GB2312" w:eastAsia="仿宋_GB2312" w:cs="仿宋_GB2312"/>
          <w:color w:val="000000"/>
          <w:kern w:val="2"/>
          <w:sz w:val="32"/>
          <w:szCs w:val="32"/>
          <w:lang w:eastAsia="zh-CN"/>
        </w:rPr>
        <w:t>将不断改进</w:t>
      </w:r>
      <w:r>
        <w:rPr>
          <w:rFonts w:hint="eastAsia" w:ascii="仿宋_GB2312" w:hAnsi="仿宋_GB2312" w:eastAsia="仿宋_GB2312" w:cs="仿宋_GB2312"/>
          <w:color w:val="000000"/>
          <w:kern w:val="2"/>
          <w:sz w:val="32"/>
          <w:szCs w:val="32"/>
        </w:rPr>
        <w:t>：一是</w:t>
      </w:r>
      <w:r>
        <w:rPr>
          <w:rFonts w:hint="eastAsia" w:ascii="仿宋_GB2312" w:hAnsi="仿宋_GB2312" w:eastAsia="仿宋_GB2312" w:cs="仿宋_GB2312"/>
          <w:color w:val="000000"/>
          <w:kern w:val="2"/>
          <w:sz w:val="32"/>
          <w:szCs w:val="32"/>
          <w:lang w:eastAsia="zh-CN"/>
        </w:rPr>
        <w:t>完善行政复议公开工作的工作流程和规范。二是继续加强信息发布的广度与深度，提高信息发布数量。</w:t>
      </w:r>
    </w:p>
    <w:p w14:paraId="00E969DE">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rPr>
          <w:rFonts w:ascii="宋体" w:hAnsi="宋体" w:cs="宋体"/>
          <w:spacing w:val="8"/>
          <w:kern w:val="0"/>
          <w:sz w:val="32"/>
          <w:szCs w:val="32"/>
        </w:rPr>
      </w:pPr>
      <w:r>
        <w:rPr>
          <w:rFonts w:ascii="黑体" w:hAnsi="黑体" w:eastAsia="黑体" w:cs="宋体"/>
          <w:spacing w:val="8"/>
          <w:kern w:val="0"/>
          <w:sz w:val="32"/>
          <w:szCs w:val="32"/>
        </w:rPr>
        <w:t>其他需要报告的事项</w:t>
      </w:r>
    </w:p>
    <w:p w14:paraId="5FFF24C5">
      <w:pPr>
        <w:pStyle w:val="2"/>
        <w:ind w:firstLine="640" w:firstLineChars="200"/>
      </w:pPr>
      <w:r>
        <w:rPr>
          <w:rFonts w:hint="eastAsia" w:ascii="仿宋_GB2312" w:hAnsi="仿宋_GB2312" w:eastAsia="仿宋_GB2312" w:cs="仿宋_GB2312"/>
          <w:color w:val="000000"/>
          <w:sz w:val="32"/>
          <w:szCs w:val="32"/>
          <w:lang w:eastAsia="zh-CN"/>
        </w:rPr>
        <w:t>根</w:t>
      </w:r>
      <w:r>
        <w:rPr>
          <w:rFonts w:hint="eastAsia" w:ascii="仿宋_GB2312" w:hAnsi="仿宋_GB2312" w:eastAsia="仿宋_GB2312" w:cs="仿宋_GB2312"/>
          <w:color w:val="000000"/>
          <w:sz w:val="32"/>
          <w:szCs w:val="32"/>
        </w:rPr>
        <w:t>据《政府信息公开信息处理费管理办法》</w:t>
      </w:r>
      <w:r>
        <w:rPr>
          <w:rFonts w:hint="eastAsia" w:ascii="仿宋_GB2312" w:hAnsi="仿宋_GB2312" w:eastAsia="仿宋_GB2312" w:cs="仿宋_GB2312"/>
          <w:color w:val="000000"/>
          <w:sz w:val="32"/>
          <w:szCs w:val="32"/>
          <w:lang w:eastAsia="zh-CN"/>
        </w:rPr>
        <w:t>的要求，</w:t>
      </w:r>
      <w:r>
        <w:rPr>
          <w:rFonts w:hint="eastAsia" w:ascii="仿宋_GB2312" w:hAnsi="仿宋_GB2312" w:eastAsia="仿宋_GB2312" w:cs="仿宋_GB2312"/>
          <w:color w:val="000000"/>
          <w:sz w:val="32"/>
          <w:szCs w:val="32"/>
          <w:lang w:val="en-US" w:eastAsia="zh-CN"/>
        </w:rPr>
        <w:t>2024年我局共发出政务信息依申请公开</w:t>
      </w:r>
      <w:r>
        <w:rPr>
          <w:rFonts w:hint="eastAsia" w:ascii="仿宋_GB2312" w:hAnsi="仿宋_GB2312" w:eastAsia="仿宋_GB2312" w:cs="仿宋_GB2312"/>
          <w:color w:val="000000"/>
          <w:sz w:val="32"/>
          <w:szCs w:val="32"/>
          <w:lang w:val="en"/>
        </w:rPr>
        <w:t>收费通知</w:t>
      </w:r>
      <w:r>
        <w:rPr>
          <w:rFonts w:hint="eastAsia" w:ascii="仿宋_GB2312" w:hAnsi="仿宋_GB2312" w:eastAsia="仿宋_GB2312" w:cs="仿宋_GB2312"/>
          <w:color w:val="000000"/>
          <w:sz w:val="32"/>
          <w:szCs w:val="32"/>
          <w:lang w:val="en-US" w:eastAsia="zh-CN"/>
        </w:rPr>
        <w:t>0件。</w:t>
      </w:r>
    </w:p>
    <w:p w14:paraId="6D8E1671">
      <w:pPr>
        <w:widowControl/>
        <w:spacing w:line="56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由于篇幅所限，如对本报告有任何疑问，请与丰台区司法局办公室联系</w:t>
      </w:r>
      <w:r>
        <w:rPr>
          <w:rFonts w:hint="eastAsia" w:ascii="仿宋_GB2312" w:hAnsi="仿宋" w:eastAsia="仿宋_GB2312"/>
          <w:color w:val="000000"/>
          <w:sz w:val="32"/>
          <w:szCs w:val="32"/>
          <w:lang w:eastAsia="zh-CN"/>
        </w:rPr>
        <w:t>。</w:t>
      </w:r>
    </w:p>
    <w:p w14:paraId="17EF990F">
      <w:pPr>
        <w:widowControl/>
        <w:spacing w:line="56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（地址：北京市丰台区</w:t>
      </w:r>
      <w:r>
        <w:rPr>
          <w:rFonts w:ascii="仿宋_GB2312" w:hAnsi="仿宋" w:eastAsia="仿宋_GB2312"/>
          <w:color w:val="000000"/>
          <w:sz w:val="32"/>
          <w:szCs w:val="32"/>
        </w:rPr>
        <w:t>丰北路75号；邮编：100161；联系电话：63813854；电子邮箱：</w:t>
      </w:r>
      <w:r>
        <w:rPr>
          <w:rFonts w:hint="eastAsia" w:ascii="仿宋_GB2312" w:hAnsi="仿宋" w:eastAsia="仿宋_GB2312"/>
          <w:color w:val="000000"/>
          <w:sz w:val="32"/>
          <w:szCs w:val="32"/>
          <w:u w:val="none"/>
        </w:rPr>
        <w:t>ftqsfjbgs@mail.bjft.gov.cn</w:t>
      </w:r>
      <w:r>
        <w:rPr>
          <w:rFonts w:ascii="仿宋_GB2312" w:hAnsi="仿宋" w:eastAsia="仿宋_GB2312"/>
          <w:color w:val="000000"/>
          <w:sz w:val="32"/>
          <w:szCs w:val="32"/>
          <w:u w:val="none"/>
        </w:rPr>
        <w:t>）</w:t>
      </w:r>
      <w:r>
        <w:rPr>
          <w:rFonts w:hint="eastAsia" w:ascii="仿宋_GB2312" w:hAnsi="仿宋" w:eastAsia="仿宋_GB2312"/>
          <w:color w:val="000000"/>
          <w:sz w:val="32"/>
          <w:szCs w:val="32"/>
          <w:u w:val="none"/>
        </w:rPr>
        <w:t>。</w:t>
      </w:r>
    </w:p>
    <w:p w14:paraId="58AFEC39">
      <w:pPr>
        <w:widowControl/>
        <w:spacing w:line="560" w:lineRule="exact"/>
        <w:ind w:firstLine="640" w:firstLineChars="200"/>
        <w:jc w:val="left"/>
        <w:rPr>
          <w:rFonts w:hint="eastAsia" w:ascii="黑体" w:hAnsi="黑体" w:eastAsia="黑体" w:cs="黑体"/>
          <w:color w:val="000000"/>
          <w:sz w:val="32"/>
          <w:szCs w:val="32"/>
          <w:highlight w:val="none"/>
          <w:lang w:val="en-US" w:eastAsia="zh-CN"/>
        </w:rPr>
      </w:pPr>
      <w:r>
        <w:rPr>
          <w:rFonts w:hint="eastAsia" w:ascii="仿宋_GB2312" w:hAnsi="仿宋" w:eastAsia="仿宋_GB2312"/>
          <w:color w:val="000000"/>
          <w:sz w:val="32"/>
          <w:szCs w:val="32"/>
        </w:rPr>
        <w:t>如需了解更多政府信息，请登录北京市丰台区人民政府网站</w:t>
      </w:r>
      <w:r>
        <w:rPr>
          <w:rFonts w:hint="eastAsia" w:ascii="仿宋_GB2312" w:hAnsi="仿宋" w:eastAsia="仿宋_GB2312"/>
          <w:color w:val="000000"/>
          <w:sz w:val="32"/>
          <w:szCs w:val="32"/>
          <w:lang w:eastAsia="zh-CN"/>
        </w:rPr>
        <w:t>（</w:t>
      </w:r>
      <w:r>
        <w:rPr>
          <w:rFonts w:ascii="仿宋_GB2312" w:hAnsi="仿宋" w:eastAsia="仿宋_GB2312"/>
          <w:color w:val="000000"/>
          <w:sz w:val="32"/>
          <w:szCs w:val="32"/>
        </w:rPr>
        <w:t>http://www.bjft.gov.cn</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查询。</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47937"/>
    <w:multiLevelType w:val="singleLevel"/>
    <w:tmpl w:val="D9447937"/>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1">
    <w:nsid w:val="E4CB196B"/>
    <w:multiLevelType w:val="singleLevel"/>
    <w:tmpl w:val="E4CB196B"/>
    <w:lvl w:ilvl="0" w:tentative="0">
      <w:start w:val="1"/>
      <w:numFmt w:val="chineseCounting"/>
      <w:suff w:val="nothing"/>
      <w:lvlText w:val="%1、"/>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5ODJmZjYyMDIzOTM5ODMyZDIwYWI3MTk2YmFmZDAifQ=="/>
  </w:docVars>
  <w:rsids>
    <w:rsidRoot w:val="61FC300A"/>
    <w:rsid w:val="5D7F8CC6"/>
    <w:rsid w:val="5FAF819D"/>
    <w:rsid w:val="5FFF0E60"/>
    <w:rsid w:val="61FC300A"/>
    <w:rsid w:val="6D75C9DC"/>
    <w:rsid w:val="6FD6B38C"/>
    <w:rsid w:val="6FFE218A"/>
    <w:rsid w:val="75ECE72C"/>
    <w:rsid w:val="779F26F7"/>
    <w:rsid w:val="7DB737F2"/>
    <w:rsid w:val="7E3DB06F"/>
    <w:rsid w:val="7FDDC6F9"/>
    <w:rsid w:val="CECF7617"/>
    <w:rsid w:val="DAF51CCC"/>
    <w:rsid w:val="FED2DC89"/>
    <w:rsid w:val="FF3F1E22"/>
    <w:rsid w:val="FFF89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annotation text"/>
    <w:basedOn w:val="1"/>
    <w:qFormat/>
    <w:uiPriority w:val="0"/>
    <w:pPr>
      <w:jc w:val="left"/>
    </w:p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2025-01-08T01:38:00Z</dcterms:created>
  <dc:creator>lc</dc:creator>
  <cp:lastModifiedBy>uos</cp:lastModifiedBy>
  <dcterms:modified xsi:type="dcterms:W3CDTF">2026-01-19T15:32:30Z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DCA783AABC51C6970EDE6D69E77340BC_43</vt:lpwstr>
  </property>
</Properties>
</file>