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C2F30">
      <w:pPr>
        <w:pStyle w:val="3"/>
        <w:adjustRightInd w:val="0"/>
        <w:spacing w:before="312" w:beforeLines="100" w:after="312" w:afterLines="100" w:line="560" w:lineRule="exact"/>
        <w:rPr>
          <w:rFonts w:ascii="宋体" w:hAnsi="宋体" w:eastAsia="宋体"/>
          <w:b/>
          <w:color w:val="auto"/>
          <w:sz w:val="36"/>
          <w:szCs w:val="36"/>
        </w:rPr>
      </w:pPr>
      <w:r>
        <w:rPr>
          <w:rFonts w:hint="eastAsia" w:ascii="宋体" w:hAnsi="宋体" w:eastAsia="宋体"/>
          <w:b/>
          <w:color w:val="auto"/>
          <w:sz w:val="36"/>
          <w:szCs w:val="36"/>
        </w:rPr>
        <w:t>丰台区司法局2015年政府信息公开工作年度报告</w:t>
      </w:r>
    </w:p>
    <w:p w14:paraId="290D6BE6">
      <w:pPr>
        <w:pStyle w:val="3"/>
        <w:adjustRightInd w:val="0"/>
        <w:spacing w:before="312" w:beforeLines="100" w:after="312" w:afterLines="100" w:line="560" w:lineRule="exact"/>
        <w:jc w:val="both"/>
        <w:rPr>
          <w:rFonts w:ascii="华文中宋" w:hAnsi="华文中宋" w:eastAsia="华文中宋"/>
          <w:b/>
          <w:color w:val="auto"/>
          <w:szCs w:val="44"/>
        </w:rPr>
      </w:pPr>
    </w:p>
    <w:p w14:paraId="047DA5D9">
      <w:pPr>
        <w:pStyle w:val="3"/>
        <w:adjustRightInd w:val="0"/>
        <w:spacing w:before="312" w:beforeLines="100" w:after="312" w:afterLines="100" w:line="560" w:lineRule="exact"/>
        <w:jc w:val="both"/>
        <w:rPr>
          <w:rFonts w:ascii="华文中宋" w:hAnsi="华文中宋" w:eastAsia="华文中宋"/>
          <w:b/>
          <w:color w:val="auto"/>
          <w:szCs w:val="44"/>
        </w:rPr>
      </w:pPr>
    </w:p>
    <w:p w14:paraId="2F3F593C">
      <w:pPr>
        <w:pStyle w:val="3"/>
        <w:adjustRightInd w:val="0"/>
        <w:spacing w:before="312" w:beforeLines="100" w:after="312" w:afterLines="100" w:line="560" w:lineRule="exact"/>
        <w:jc w:val="both"/>
        <w:rPr>
          <w:rFonts w:ascii="华文中宋" w:hAnsi="华文中宋" w:eastAsia="华文中宋"/>
          <w:b/>
          <w:color w:val="auto"/>
          <w:szCs w:val="44"/>
        </w:rPr>
      </w:pPr>
    </w:p>
    <w:p w14:paraId="0F952796">
      <w:pPr>
        <w:pStyle w:val="3"/>
        <w:adjustRightInd w:val="0"/>
        <w:spacing w:before="312" w:beforeLines="100" w:after="312" w:afterLines="100" w:line="560" w:lineRule="exact"/>
        <w:jc w:val="both"/>
        <w:rPr>
          <w:rFonts w:ascii="华文中宋" w:hAnsi="华文中宋" w:eastAsia="华文中宋"/>
          <w:b/>
          <w:color w:val="auto"/>
          <w:szCs w:val="44"/>
        </w:rPr>
      </w:pPr>
    </w:p>
    <w:p w14:paraId="21CB332D">
      <w:pPr>
        <w:pStyle w:val="3"/>
        <w:adjustRightInd w:val="0"/>
        <w:spacing w:before="312" w:beforeLines="100" w:after="312" w:afterLines="100" w:line="560" w:lineRule="exact"/>
        <w:jc w:val="both"/>
        <w:rPr>
          <w:rFonts w:ascii="华文中宋" w:hAnsi="华文中宋" w:eastAsia="华文中宋"/>
          <w:b/>
          <w:color w:val="auto"/>
          <w:szCs w:val="44"/>
        </w:rPr>
      </w:pPr>
    </w:p>
    <w:p w14:paraId="592ABBDD">
      <w:pPr>
        <w:pStyle w:val="3"/>
        <w:adjustRightInd w:val="0"/>
        <w:spacing w:before="312" w:beforeLines="100" w:after="312" w:afterLines="100" w:line="560" w:lineRule="exact"/>
        <w:jc w:val="both"/>
        <w:rPr>
          <w:rFonts w:ascii="华文中宋" w:hAnsi="华文中宋" w:eastAsia="华文中宋"/>
          <w:b/>
          <w:color w:val="auto"/>
          <w:szCs w:val="44"/>
        </w:rPr>
      </w:pPr>
    </w:p>
    <w:p w14:paraId="446F3AAD">
      <w:pPr>
        <w:pStyle w:val="3"/>
        <w:adjustRightInd w:val="0"/>
        <w:spacing w:before="312" w:beforeLines="100" w:after="312" w:afterLines="100" w:line="560" w:lineRule="exact"/>
        <w:jc w:val="both"/>
        <w:rPr>
          <w:rFonts w:ascii="华文中宋" w:hAnsi="华文中宋" w:eastAsia="华文中宋"/>
          <w:b/>
          <w:color w:val="auto"/>
          <w:szCs w:val="44"/>
        </w:rPr>
      </w:pPr>
    </w:p>
    <w:p w14:paraId="33C762FD">
      <w:pPr>
        <w:pStyle w:val="3"/>
        <w:adjustRightInd w:val="0"/>
        <w:spacing w:before="312" w:beforeLines="100" w:after="312" w:afterLines="100" w:line="560" w:lineRule="exact"/>
        <w:jc w:val="both"/>
        <w:rPr>
          <w:rFonts w:ascii="华文中宋" w:hAnsi="华文中宋" w:eastAsia="华文中宋"/>
          <w:b/>
          <w:color w:val="auto"/>
          <w:szCs w:val="44"/>
        </w:rPr>
      </w:pPr>
    </w:p>
    <w:p w14:paraId="1BE75B42">
      <w:pPr>
        <w:pStyle w:val="3"/>
        <w:adjustRightInd w:val="0"/>
        <w:spacing w:before="312" w:beforeLines="100" w:after="312" w:afterLines="100" w:line="560" w:lineRule="exact"/>
        <w:jc w:val="both"/>
        <w:rPr>
          <w:rFonts w:ascii="华文中宋" w:hAnsi="华文中宋" w:eastAsia="华文中宋"/>
          <w:b/>
          <w:color w:val="auto"/>
          <w:szCs w:val="44"/>
        </w:rPr>
      </w:pPr>
    </w:p>
    <w:p w14:paraId="7139B796">
      <w:pPr>
        <w:pStyle w:val="3"/>
        <w:adjustRightInd w:val="0"/>
        <w:spacing w:before="312" w:beforeLines="100" w:after="312" w:afterLines="100" w:line="560" w:lineRule="exact"/>
        <w:jc w:val="both"/>
        <w:rPr>
          <w:rFonts w:ascii="华文中宋" w:hAnsi="华文中宋" w:eastAsia="华文中宋"/>
          <w:b/>
          <w:color w:val="auto"/>
          <w:szCs w:val="44"/>
        </w:rPr>
      </w:pPr>
    </w:p>
    <w:p w14:paraId="0E607ACA">
      <w:pPr>
        <w:pStyle w:val="3"/>
        <w:adjustRightInd w:val="0"/>
        <w:spacing w:before="312" w:beforeLines="100" w:after="312" w:afterLines="100" w:line="560" w:lineRule="exact"/>
        <w:jc w:val="both"/>
        <w:rPr>
          <w:rFonts w:ascii="华文中宋" w:hAnsi="华文中宋" w:eastAsia="华文中宋"/>
          <w:b/>
          <w:color w:val="auto"/>
          <w:szCs w:val="44"/>
        </w:rPr>
      </w:pPr>
    </w:p>
    <w:p w14:paraId="048AECD7">
      <w:pPr>
        <w:pStyle w:val="3"/>
        <w:adjustRightInd w:val="0"/>
        <w:spacing w:before="312" w:beforeLines="100" w:after="312" w:afterLines="100" w:line="560" w:lineRule="exact"/>
        <w:jc w:val="both"/>
        <w:rPr>
          <w:rFonts w:ascii="华文中宋" w:hAnsi="华文中宋" w:eastAsia="华文中宋"/>
          <w:b/>
          <w:color w:val="auto"/>
          <w:szCs w:val="44"/>
        </w:rPr>
      </w:pPr>
    </w:p>
    <w:p w14:paraId="340A10B7">
      <w:pPr>
        <w:pStyle w:val="3"/>
        <w:adjustRightInd w:val="0"/>
        <w:spacing w:before="312" w:beforeLines="100" w:after="312" w:afterLines="100" w:line="560" w:lineRule="exact"/>
        <w:jc w:val="both"/>
        <w:rPr>
          <w:rFonts w:ascii="华文中宋" w:hAnsi="华文中宋" w:eastAsia="华文中宋"/>
          <w:b/>
          <w:color w:val="auto"/>
          <w:szCs w:val="44"/>
        </w:rPr>
      </w:pPr>
    </w:p>
    <w:p w14:paraId="1628AAD1">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北京市丰台区司法局</w:t>
      </w:r>
    </w:p>
    <w:p w14:paraId="2FC95975">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二</w:t>
      </w:r>
      <w:r>
        <w:rPr>
          <w:rFonts w:hint="eastAsia" w:ascii="楷体_GB2312" w:hAnsi="宋体" w:eastAsia="宋体" w:cs="宋体"/>
          <w:color w:val="auto"/>
          <w:sz w:val="30"/>
          <w:szCs w:val="30"/>
        </w:rPr>
        <w:t>〇</w:t>
      </w:r>
      <w:r>
        <w:rPr>
          <w:rFonts w:hint="eastAsia" w:ascii="楷体_GB2312" w:hAnsi="Dotum" w:eastAsia="楷体_GB2312" w:cs="Dotum"/>
          <w:color w:val="auto"/>
          <w:sz w:val="30"/>
          <w:szCs w:val="30"/>
        </w:rPr>
        <w:t>一六年三月</w:t>
      </w:r>
    </w:p>
    <w:p w14:paraId="291C78D6">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本报告是根据《中华人民共和国政府信息公开条例》</w:t>
      </w:r>
      <w:r>
        <w:rPr>
          <w:rFonts w:hint="eastAsia" w:ascii="仿宋_GB2312" w:hAnsi="宋体" w:eastAsia="仿宋_GB2312" w:cs="宋体"/>
          <w:kern w:val="0"/>
          <w:sz w:val="32"/>
          <w:szCs w:val="32"/>
        </w:rPr>
        <w:t>（以</w:t>
      </w:r>
      <w:r>
        <w:rPr>
          <w:rFonts w:hint="eastAsia" w:ascii="仿宋_GB2312" w:hAnsi="宋体" w:eastAsia="仿宋_GB2312"/>
          <w:sz w:val="32"/>
          <w:szCs w:val="32"/>
        </w:rPr>
        <w:t>下简称《条例》）要求，由北京市丰台区</w:t>
      </w:r>
      <w:r>
        <w:rPr>
          <w:rFonts w:hint="eastAsia" w:ascii="仿宋_GB2312" w:hAnsi="宋体" w:eastAsia="仿宋_GB2312" w:cs="宋体"/>
          <w:kern w:val="0"/>
          <w:sz w:val="32"/>
          <w:szCs w:val="32"/>
        </w:rPr>
        <w:t>司法局编制的2015年度政务信息公开年度报告。</w:t>
      </w:r>
    </w:p>
    <w:p w14:paraId="03ABA19E">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14:paraId="08D373A5">
      <w:pPr>
        <w:widowControl/>
        <w:spacing w:line="560" w:lineRule="exact"/>
        <w:ind w:firstLine="640" w:firstLineChars="200"/>
        <w:rPr>
          <w:rFonts w:ascii="仿宋_GB2312" w:hAnsi="宋体" w:eastAsia="仿宋_GB2312" w:cs="宋体"/>
          <w:spacing w:val="-12"/>
          <w:kern w:val="15"/>
          <w:sz w:val="32"/>
          <w:szCs w:val="32"/>
        </w:rPr>
      </w:pPr>
      <w:r>
        <w:rPr>
          <w:rFonts w:hint="eastAsia" w:ascii="仿宋_GB2312" w:hAnsi="宋体" w:eastAsia="仿宋_GB2312" w:cs="宋体"/>
          <w:kern w:val="0"/>
          <w:sz w:val="32"/>
          <w:szCs w:val="32"/>
        </w:rPr>
        <w:t>本报告中所列数据的统计期限自2015年1月1日起，至2015年12月31日止。本报告的电子</w:t>
      </w:r>
      <w:r>
        <w:rPr>
          <w:rFonts w:hint="eastAsia" w:ascii="仿宋_GB2312" w:hAnsi="宋体" w:eastAsia="仿宋_GB2312" w:cs="宋体"/>
          <w:spacing w:val="-2"/>
          <w:kern w:val="0"/>
          <w:sz w:val="32"/>
          <w:szCs w:val="32"/>
        </w:rPr>
        <w:t>版可在“首都之窗”门户网站（http://www.beijing.gov.cn/）下载。由于篇幅所限，</w:t>
      </w:r>
      <w:r>
        <w:rPr>
          <w:rFonts w:hint="eastAsia" w:ascii="仿宋_GB2312" w:hAnsi="宋体" w:eastAsia="仿宋_GB2312" w:cs="宋体"/>
          <w:kern w:val="0"/>
          <w:sz w:val="32"/>
          <w:szCs w:val="32"/>
        </w:rPr>
        <w:t>如对报告有任何疑问，请与</w:t>
      </w:r>
      <w:r>
        <w:rPr>
          <w:rFonts w:hint="eastAsia" w:ascii="仿宋_GB2312" w:hAnsi="宋体" w:eastAsia="仿宋_GB2312" w:cs="宋体"/>
          <w:color w:val="000000"/>
          <w:kern w:val="0"/>
          <w:sz w:val="32"/>
          <w:szCs w:val="32"/>
        </w:rPr>
        <w:t>丰台区司法局办公室联系</w:t>
      </w:r>
      <w:r>
        <w:rPr>
          <w:rFonts w:hint="eastAsia" w:ascii="仿宋_GB2312" w:hAnsi="宋体" w:eastAsia="仿宋_GB2312" w:cs="宋体"/>
          <w:kern w:val="0"/>
          <w:sz w:val="32"/>
          <w:szCs w:val="32"/>
        </w:rPr>
        <w:t>（</w:t>
      </w:r>
      <w:r>
        <w:rPr>
          <w:rFonts w:hint="eastAsia" w:ascii="仿宋_GB2312" w:hAnsi="宋体" w:eastAsia="仿宋_GB2312" w:cs="宋体"/>
          <w:color w:val="000000"/>
          <w:kern w:val="0"/>
          <w:sz w:val="32"/>
          <w:szCs w:val="32"/>
        </w:rPr>
        <w:t>地址：北京市丰台区丰北路75号；邮编：100161；联系电话：63813854；电子邮箱：sfjbgs@263.net</w:t>
      </w:r>
      <w:r>
        <w:rPr>
          <w:rFonts w:hint="eastAsia" w:ascii="仿宋_GB2312" w:hAnsi="宋体" w:eastAsia="仿宋_GB2312" w:cs="宋体"/>
          <w:spacing w:val="-12"/>
          <w:kern w:val="15"/>
          <w:sz w:val="32"/>
          <w:szCs w:val="32"/>
        </w:rPr>
        <w:t>）。</w:t>
      </w:r>
    </w:p>
    <w:p w14:paraId="2D553A0B">
      <w:pPr>
        <w:spacing w:line="560" w:lineRule="exact"/>
        <w:ind w:firstLine="640" w:firstLineChars="200"/>
        <w:rPr>
          <w:rFonts w:ascii="仿宋_GB2312" w:hAnsi="宋体" w:eastAsia="仿宋_GB2312"/>
          <w:sz w:val="32"/>
          <w:szCs w:val="32"/>
        </w:rPr>
      </w:pPr>
    </w:p>
    <w:p w14:paraId="1D0F9F10">
      <w:pPr>
        <w:spacing w:line="560" w:lineRule="exact"/>
        <w:ind w:firstLine="640" w:firstLineChars="200"/>
        <w:rPr>
          <w:rFonts w:ascii="仿宋_GB2312" w:hAnsi="宋体" w:eastAsia="仿宋_GB2312"/>
          <w:sz w:val="32"/>
          <w:szCs w:val="32"/>
        </w:rPr>
      </w:pPr>
    </w:p>
    <w:p w14:paraId="63010786">
      <w:pPr>
        <w:spacing w:line="560" w:lineRule="exact"/>
        <w:ind w:firstLine="640" w:firstLineChars="200"/>
        <w:rPr>
          <w:rFonts w:ascii="仿宋_GB2312" w:hAnsi="宋体" w:eastAsia="仿宋_GB2312"/>
          <w:sz w:val="32"/>
          <w:szCs w:val="32"/>
        </w:rPr>
      </w:pPr>
    </w:p>
    <w:p w14:paraId="1FE7FC6B">
      <w:pPr>
        <w:spacing w:line="560" w:lineRule="exact"/>
        <w:ind w:firstLine="640" w:firstLineChars="200"/>
        <w:rPr>
          <w:rFonts w:ascii="仿宋_GB2312" w:hAnsi="宋体" w:eastAsia="仿宋_GB2312"/>
          <w:sz w:val="32"/>
          <w:szCs w:val="32"/>
        </w:rPr>
      </w:pPr>
    </w:p>
    <w:p w14:paraId="4AF6C65D">
      <w:pPr>
        <w:spacing w:line="560" w:lineRule="exact"/>
        <w:ind w:firstLine="640" w:firstLineChars="200"/>
        <w:rPr>
          <w:rFonts w:ascii="仿宋_GB2312" w:hAnsi="宋体" w:eastAsia="仿宋_GB2312"/>
          <w:sz w:val="32"/>
          <w:szCs w:val="32"/>
        </w:rPr>
      </w:pPr>
    </w:p>
    <w:p w14:paraId="27B8FE7F">
      <w:pPr>
        <w:spacing w:line="560" w:lineRule="exact"/>
        <w:ind w:firstLine="640" w:firstLineChars="200"/>
        <w:rPr>
          <w:rFonts w:ascii="仿宋_GB2312" w:hAnsi="宋体" w:eastAsia="仿宋_GB2312"/>
          <w:sz w:val="32"/>
          <w:szCs w:val="32"/>
        </w:rPr>
      </w:pPr>
    </w:p>
    <w:p w14:paraId="6F253D35">
      <w:pPr>
        <w:spacing w:line="560" w:lineRule="exact"/>
        <w:ind w:firstLine="640" w:firstLineChars="200"/>
        <w:rPr>
          <w:rFonts w:ascii="仿宋_GB2312" w:hAnsi="宋体" w:eastAsia="仿宋_GB2312"/>
          <w:sz w:val="32"/>
          <w:szCs w:val="32"/>
        </w:rPr>
      </w:pPr>
    </w:p>
    <w:p w14:paraId="0560D4CD">
      <w:pPr>
        <w:spacing w:line="560" w:lineRule="exact"/>
        <w:ind w:firstLine="640" w:firstLineChars="200"/>
        <w:rPr>
          <w:rFonts w:ascii="仿宋_GB2312" w:hAnsi="宋体" w:eastAsia="仿宋_GB2312"/>
          <w:sz w:val="32"/>
          <w:szCs w:val="32"/>
        </w:rPr>
      </w:pPr>
    </w:p>
    <w:p w14:paraId="2C085E41">
      <w:pPr>
        <w:spacing w:line="560" w:lineRule="exact"/>
        <w:ind w:firstLine="640" w:firstLineChars="200"/>
        <w:rPr>
          <w:rFonts w:ascii="仿宋_GB2312" w:hAnsi="宋体" w:eastAsia="仿宋_GB2312"/>
          <w:sz w:val="32"/>
          <w:szCs w:val="32"/>
        </w:rPr>
      </w:pPr>
    </w:p>
    <w:p w14:paraId="074B28CF">
      <w:pPr>
        <w:spacing w:line="560" w:lineRule="exact"/>
        <w:ind w:firstLine="640" w:firstLineChars="200"/>
        <w:rPr>
          <w:rFonts w:ascii="仿宋_GB2312" w:hAnsi="宋体" w:eastAsia="仿宋_GB2312"/>
          <w:sz w:val="32"/>
          <w:szCs w:val="32"/>
        </w:rPr>
      </w:pPr>
    </w:p>
    <w:p w14:paraId="67F1CC4C">
      <w:pPr>
        <w:spacing w:line="560" w:lineRule="exact"/>
        <w:ind w:firstLine="640" w:firstLineChars="200"/>
        <w:rPr>
          <w:rFonts w:ascii="仿宋_GB2312" w:hAnsi="宋体" w:eastAsia="仿宋_GB2312"/>
          <w:sz w:val="32"/>
          <w:szCs w:val="32"/>
        </w:rPr>
      </w:pPr>
    </w:p>
    <w:p w14:paraId="00E265B0">
      <w:pPr>
        <w:spacing w:line="560" w:lineRule="exact"/>
        <w:ind w:firstLine="600" w:firstLineChars="200"/>
        <w:rPr>
          <w:sz w:val="30"/>
          <w:szCs w:val="30"/>
        </w:rPr>
      </w:pPr>
      <w:r>
        <w:rPr>
          <w:sz w:val="30"/>
          <w:szCs w:val="30"/>
        </w:rPr>
        <w:t xml:space="preserve">This report is prepared according to the requirement of </w:t>
      </w:r>
      <w:r>
        <w:rPr>
          <w:b/>
          <w:sz w:val="30"/>
          <w:szCs w:val="30"/>
        </w:rPr>
        <w:t xml:space="preserve">the Decree of Government Information Openness </w:t>
      </w:r>
      <w:r>
        <w:rPr>
          <w:sz w:val="30"/>
          <w:szCs w:val="30"/>
        </w:rPr>
        <w:t xml:space="preserve">of the PRC and annual reports by </w:t>
      </w:r>
      <w:r>
        <w:rPr>
          <w:rFonts w:hint="eastAsia"/>
          <w:sz w:val="30"/>
          <w:szCs w:val="30"/>
        </w:rPr>
        <w:t xml:space="preserve">the </w:t>
      </w:r>
      <w:r>
        <w:rPr>
          <w:sz w:val="30"/>
          <w:szCs w:val="30"/>
        </w:rPr>
        <w:t xml:space="preserve">Fengtai District, Beijing Bureau of Justice on information openness. </w:t>
      </w:r>
    </w:p>
    <w:p w14:paraId="41868637">
      <w:pPr>
        <w:spacing w:line="560" w:lineRule="exact"/>
        <w:ind w:firstLine="600" w:firstLineChars="200"/>
        <w:rPr>
          <w:sz w:val="30"/>
          <w:szCs w:val="30"/>
        </w:rPr>
      </w:pPr>
      <w:r>
        <w:rPr>
          <w:sz w:val="30"/>
          <w:szCs w:val="30"/>
        </w:rPr>
        <w:t>The text of the report includes the following content: summary, voluntary disclosure of government information, disclosure of government information upon request and non-disclosure of government information; application for administrative re-examination and initiated administrative proceedings due to disclosure of government information; and deficiencies of government information openness and measures for improvement.</w:t>
      </w:r>
    </w:p>
    <w:p w14:paraId="4E42C52C">
      <w:pPr>
        <w:spacing w:line="560" w:lineRule="exact"/>
        <w:ind w:firstLine="600" w:firstLineChars="200"/>
        <w:rPr>
          <w:rFonts w:ascii="仿宋_GB2312" w:eastAsia="仿宋_GB2312"/>
          <w:sz w:val="32"/>
          <w:szCs w:val="32"/>
        </w:rPr>
      </w:pPr>
      <w:r>
        <w:rPr>
          <w:sz w:val="30"/>
          <w:szCs w:val="30"/>
        </w:rPr>
        <w:t>The data listed in the report is collected from the period starting from January 1 20</w:t>
      </w:r>
      <w:r>
        <w:rPr>
          <w:rFonts w:hint="eastAsia"/>
          <w:sz w:val="30"/>
          <w:szCs w:val="30"/>
        </w:rPr>
        <w:t xml:space="preserve">15 </w:t>
      </w:r>
      <w:r>
        <w:rPr>
          <w:sz w:val="30"/>
          <w:szCs w:val="30"/>
        </w:rPr>
        <w:t>to December 31 20</w:t>
      </w:r>
      <w:r>
        <w:rPr>
          <w:rFonts w:hint="eastAsia"/>
          <w:sz w:val="30"/>
          <w:szCs w:val="30"/>
        </w:rPr>
        <w:t>15</w:t>
      </w:r>
      <w:r>
        <w:rPr>
          <w:sz w:val="30"/>
          <w:szCs w:val="30"/>
        </w:rPr>
        <w:t>. The report is available for download from http://www.beijing.gov.cn. For any enquiry to the report, please contact the Fengtai District, Beijing Bureau of Justice. (Address: No. 7</w:t>
      </w:r>
      <w:r>
        <w:rPr>
          <w:rFonts w:hint="eastAsia"/>
          <w:sz w:val="30"/>
          <w:szCs w:val="30"/>
        </w:rPr>
        <w:t>5</w:t>
      </w:r>
      <w:r>
        <w:rPr>
          <w:sz w:val="30"/>
          <w:szCs w:val="30"/>
        </w:rPr>
        <w:t xml:space="preserve">, </w:t>
      </w:r>
      <w:r>
        <w:rPr>
          <w:rFonts w:hint="eastAsia"/>
          <w:sz w:val="30"/>
          <w:szCs w:val="30"/>
        </w:rPr>
        <w:t>North</w:t>
      </w:r>
      <w:r>
        <w:rPr>
          <w:sz w:val="30"/>
          <w:szCs w:val="30"/>
        </w:rPr>
        <w:t xml:space="preserve"> Street, </w:t>
      </w:r>
      <w:r>
        <w:rPr>
          <w:rFonts w:hint="eastAsia"/>
          <w:sz w:val="30"/>
          <w:szCs w:val="30"/>
        </w:rPr>
        <w:t>Fengtai</w:t>
      </w:r>
      <w:r>
        <w:rPr>
          <w:sz w:val="30"/>
          <w:szCs w:val="30"/>
        </w:rPr>
        <w:t xml:space="preserve"> District, Beijing 100</w:t>
      </w:r>
      <w:r>
        <w:rPr>
          <w:rFonts w:hint="eastAsia"/>
          <w:sz w:val="30"/>
          <w:szCs w:val="30"/>
        </w:rPr>
        <w:t>161</w:t>
      </w:r>
      <w:r>
        <w:rPr>
          <w:sz w:val="30"/>
          <w:szCs w:val="30"/>
        </w:rPr>
        <w:t>,  Tel: 010-</w:t>
      </w:r>
      <w:r>
        <w:rPr>
          <w:rFonts w:hint="eastAsia"/>
          <w:sz w:val="30"/>
          <w:szCs w:val="30"/>
        </w:rPr>
        <w:t>63813854</w:t>
      </w:r>
      <w:r>
        <w:rPr>
          <w:sz w:val="30"/>
          <w:szCs w:val="30"/>
        </w:rPr>
        <w:t xml:space="preserve">  Email: </w:t>
      </w:r>
      <w:r>
        <w:rPr>
          <w:rFonts w:hint="eastAsia"/>
          <w:sz w:val="30"/>
          <w:szCs w:val="30"/>
        </w:rPr>
        <w:t>sfjbgs@263.net</w:t>
      </w:r>
      <w:r>
        <w:rPr>
          <w:sz w:val="30"/>
          <w:szCs w:val="30"/>
        </w:rPr>
        <w:t xml:space="preserve">) </w:t>
      </w:r>
    </w:p>
    <w:p w14:paraId="67D3851B">
      <w:pPr>
        <w:widowControl/>
        <w:spacing w:before="312" w:beforeLines="100" w:after="312" w:afterLines="100" w:line="560" w:lineRule="exact"/>
        <w:jc w:val="center"/>
        <w:outlineLvl w:val="0"/>
        <w:rPr>
          <w:sz w:val="20"/>
          <w:szCs w:val="20"/>
        </w:rPr>
      </w:pPr>
    </w:p>
    <w:p w14:paraId="2F736AA3">
      <w:pPr>
        <w:widowControl/>
        <w:spacing w:before="312" w:beforeLines="100" w:after="312" w:afterLines="100" w:line="560" w:lineRule="exact"/>
        <w:jc w:val="center"/>
        <w:outlineLvl w:val="0"/>
        <w:rPr>
          <w:sz w:val="20"/>
          <w:szCs w:val="20"/>
        </w:rPr>
      </w:pPr>
    </w:p>
    <w:p w14:paraId="5FDFAF80">
      <w:pPr>
        <w:widowControl/>
        <w:spacing w:before="312" w:beforeLines="100" w:after="312" w:afterLines="100" w:line="560" w:lineRule="exact"/>
        <w:jc w:val="center"/>
        <w:outlineLvl w:val="0"/>
        <w:rPr>
          <w:sz w:val="20"/>
          <w:szCs w:val="20"/>
        </w:rPr>
      </w:pPr>
    </w:p>
    <w:p w14:paraId="706B99AA">
      <w:pPr>
        <w:widowControl/>
        <w:spacing w:before="312" w:beforeLines="100" w:after="312" w:afterLines="100" w:line="560" w:lineRule="exact"/>
        <w:jc w:val="center"/>
        <w:outlineLvl w:val="0"/>
        <w:rPr>
          <w:sz w:val="20"/>
          <w:szCs w:val="20"/>
        </w:rPr>
      </w:pPr>
    </w:p>
    <w:p w14:paraId="7F4051CF"/>
    <w:p w14:paraId="2E9326F7">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一、概述</w:t>
      </w:r>
    </w:p>
    <w:p w14:paraId="4DD53DF9">
      <w:pPr>
        <w:ind w:firstLine="640" w:firstLineChars="200"/>
        <w:rPr>
          <w:rFonts w:ascii="仿宋_GB2312" w:eastAsia="仿宋_GB2312"/>
          <w:sz w:val="32"/>
          <w:szCs w:val="32"/>
        </w:rPr>
      </w:pPr>
      <w:r>
        <w:rPr>
          <w:rFonts w:hint="eastAsia" w:ascii="仿宋_GB2312" w:eastAsia="仿宋_GB2312"/>
          <w:sz w:val="32"/>
          <w:szCs w:val="32"/>
        </w:rPr>
        <w:t>2015年，</w:t>
      </w:r>
      <w:r>
        <w:rPr>
          <w:rFonts w:hint="eastAsia" w:ascii="仿宋_GB2312" w:hAnsi="ˎ̥" w:eastAsia="仿宋_GB2312"/>
          <w:sz w:val="32"/>
          <w:szCs w:val="32"/>
        </w:rPr>
        <w:t>为进一步贯彻落实政府信息公开工作，提高司法行政工作的透明度和办事效率，促进依法行政，实现丰台区司法行政工作制度化、透明化、规范化，在区委、区政府的正确领导和市司法局的指导下，</w:t>
      </w:r>
      <w:r>
        <w:rPr>
          <w:rFonts w:hint="eastAsia" w:ascii="仿宋_GB2312" w:eastAsia="仿宋_GB2312"/>
          <w:sz w:val="32"/>
          <w:szCs w:val="32"/>
        </w:rPr>
        <w:t>围绕丰台区的发展建设，从人民群众的切身利益出发，全面贯彻落实政府信息公开工作，取得了良好进展。</w:t>
      </w:r>
    </w:p>
    <w:p w14:paraId="7EB2CF62">
      <w:pPr>
        <w:ind w:firstLine="640" w:firstLineChars="200"/>
        <w:rPr>
          <w:rFonts w:ascii="仿宋_GB2312" w:eastAsia="仿宋_GB2312"/>
          <w:sz w:val="32"/>
          <w:szCs w:val="32"/>
        </w:rPr>
      </w:pPr>
      <w:r>
        <w:rPr>
          <w:rFonts w:hint="eastAsia" w:ascii="仿宋_GB2312" w:eastAsia="仿宋_GB2312"/>
          <w:sz w:val="32"/>
          <w:szCs w:val="32"/>
        </w:rPr>
        <w:t>（一）加强组织领导，全面落实政府信息公开各项制度</w:t>
      </w:r>
    </w:p>
    <w:p w14:paraId="6D01C9A3">
      <w:pPr>
        <w:ind w:firstLine="640" w:firstLineChars="200"/>
        <w:rPr>
          <w:rFonts w:ascii="仿宋_GB2312" w:eastAsia="仿宋_GB2312"/>
          <w:sz w:val="32"/>
          <w:szCs w:val="32"/>
        </w:rPr>
      </w:pPr>
      <w:r>
        <w:rPr>
          <w:rFonts w:hint="eastAsia" w:ascii="仿宋_GB2312" w:eastAsia="仿宋_GB2312"/>
          <w:sz w:val="32"/>
          <w:szCs w:val="32"/>
        </w:rPr>
        <w:t>我局高度重视政府信息公开工作，认真贯彻落实关于政府信息公开的一系列重要文件精神。把政府信息公开工作作为一项常规性工作纳入重要议事日程，列入机关效能建设的总体规划，由局办公室牵头负责信息公开工作，指定专人负责，加大推进和协调力度。形成了一级抓一级、层层抓落实的工作体系。严格遵循“谁公开谁审查”、“谁审查谁负责”、“先审查后公开”的工作流程，开展政府信息公开工作。同时积极参加市、区组织的信息公开培训，认真对政府信息进行梳理，每月定期上报月度数据情况以及政府信息公开行政诉讼败诉案件报备表，撰写政府信息公开工作要点落实情况报告，并于“北京市政府信息公开工作管理平台”上报2015年度年报以及国办数据等，确保政府信息公开工作规范有序。</w:t>
      </w:r>
      <w:r>
        <w:rPr>
          <w:rFonts w:hint="eastAsia" w:ascii="仿宋_GB2312" w:eastAsia="仿宋_GB2312"/>
          <w:sz w:val="32"/>
          <w:szCs w:val="32"/>
        </w:rPr>
        <w:br w:type="textWrapping"/>
      </w:r>
      <w:r>
        <w:rPr>
          <w:rFonts w:hint="eastAsia" w:ascii="仿宋_GB2312" w:eastAsia="仿宋_GB2312"/>
          <w:sz w:val="32"/>
          <w:szCs w:val="32"/>
        </w:rPr>
        <w:t xml:space="preserve">   （二）明确工作内容，提升政府信息公开工作质量</w:t>
      </w:r>
    </w:p>
    <w:p w14:paraId="667DA67B">
      <w:pPr>
        <w:ind w:firstLine="640" w:firstLineChars="200"/>
        <w:rPr>
          <w:rFonts w:ascii="仿宋_GB2312" w:eastAsia="仿宋_GB2312"/>
          <w:sz w:val="32"/>
          <w:szCs w:val="32"/>
        </w:rPr>
      </w:pPr>
      <w:r>
        <w:rPr>
          <w:rFonts w:hint="eastAsia" w:ascii="仿宋_GB2312" w:eastAsia="仿宋_GB2312"/>
          <w:sz w:val="32"/>
          <w:szCs w:val="32"/>
        </w:rPr>
        <w:t>根据《丰台区</w:t>
      </w:r>
      <w:r>
        <w:rPr>
          <w:rFonts w:hint="eastAsia" w:ascii="仿宋_GB2312" w:hAnsi="宋体" w:eastAsia="仿宋_GB2312"/>
          <w:sz w:val="32"/>
          <w:szCs w:val="32"/>
        </w:rPr>
        <w:t>司法局政府信息公开工作制度（试行）》，</w:t>
      </w:r>
      <w:r>
        <w:rPr>
          <w:rFonts w:hint="eastAsia" w:ascii="仿宋_GB2312" w:eastAsia="仿宋_GB2312"/>
          <w:sz w:val="32"/>
          <w:szCs w:val="32"/>
        </w:rPr>
        <w:t>认真对政府信息进行梳理，</w:t>
      </w:r>
      <w:r>
        <w:rPr>
          <w:rFonts w:hint="eastAsia" w:ascii="仿宋_GB2312" w:eastAsia="仿宋_GB2312"/>
          <w:sz w:val="32"/>
        </w:rPr>
        <w:t>编制政</w:t>
      </w:r>
      <w:r>
        <w:rPr>
          <w:rFonts w:hint="eastAsia" w:ascii="仿宋_GB2312" w:eastAsia="仿宋_GB2312"/>
          <w:sz w:val="32"/>
          <w:szCs w:val="32"/>
        </w:rPr>
        <w:t>府信息</w:t>
      </w:r>
      <w:r>
        <w:rPr>
          <w:rFonts w:ascii="仿宋_GB2312" w:eastAsia="仿宋_GB2312"/>
          <w:sz w:val="32"/>
          <w:szCs w:val="32"/>
        </w:rPr>
        <w:t>公开指南</w:t>
      </w:r>
      <w:r>
        <w:rPr>
          <w:rFonts w:hint="eastAsia" w:ascii="仿宋_GB2312" w:eastAsia="仿宋_GB2312"/>
          <w:sz w:val="32"/>
          <w:szCs w:val="32"/>
        </w:rPr>
        <w:t>、依申请公开流程、年度工作报告，按照保密审查办法网上公开，</w:t>
      </w:r>
      <w:r>
        <w:rPr>
          <w:rFonts w:hint="eastAsia" w:ascii="仿宋_GB2312" w:hAnsi="Arial" w:eastAsia="仿宋_GB2312" w:cs="Arial"/>
          <w:kern w:val="0"/>
          <w:sz w:val="32"/>
          <w:szCs w:val="32"/>
        </w:rPr>
        <w:t>确保了政府信息公开工作的统筹组织和有序开展。</w:t>
      </w:r>
      <w:r>
        <w:rPr>
          <w:rFonts w:hint="eastAsia" w:ascii="仿宋_GB2312" w:eastAsia="仿宋_GB2312"/>
          <w:sz w:val="32"/>
          <w:szCs w:val="32"/>
        </w:rPr>
        <w:t>我局对窗口单位业务工作进行梳理，完善了工作流程图等制度、办法，方便群众办事和社会监督。本局继续加强对门户网站的建设，从软硬件方面进行综合提升，优化栏目设置，及时发布各类工作信息，</w:t>
      </w:r>
      <w:r>
        <w:rPr>
          <w:rFonts w:ascii="仿宋_GB2312" w:eastAsia="仿宋_GB2312"/>
          <w:sz w:val="32"/>
          <w:szCs w:val="32"/>
        </w:rPr>
        <w:t>有效搭建为民、便民的网上交流渠道</w:t>
      </w:r>
      <w:r>
        <w:rPr>
          <w:rFonts w:hint="eastAsia" w:ascii="仿宋_GB2312" w:eastAsia="仿宋_GB2312"/>
          <w:sz w:val="32"/>
          <w:szCs w:val="32"/>
        </w:rPr>
        <w:t>，并和“北京市政府信息公开管理系统”网站作为政府信息公开的第一平台，对主动公开政府信息、主动公开目录、政府信息公开指南等均在该网站予以公开。</w:t>
      </w:r>
    </w:p>
    <w:p w14:paraId="053E8160">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二、主动公开情况</w:t>
      </w:r>
    </w:p>
    <w:p w14:paraId="026122DB">
      <w:pPr>
        <w:widowControl/>
        <w:spacing w:line="560" w:lineRule="exact"/>
        <w:ind w:firstLine="640" w:firstLineChars="200"/>
        <w:rPr>
          <w:rFonts w:ascii="仿宋_GB2312" w:hAnsi="Arial" w:eastAsia="仿宋_GB2312" w:cs="Arial"/>
          <w:kern w:val="0"/>
          <w:sz w:val="32"/>
          <w:szCs w:val="32"/>
        </w:rPr>
      </w:pPr>
      <w:r>
        <w:rPr>
          <w:rFonts w:hint="eastAsia" w:ascii="仿宋_GB2312" w:hAnsi="华文中宋" w:eastAsia="仿宋_GB2312"/>
          <w:sz w:val="32"/>
          <w:szCs w:val="32"/>
        </w:rPr>
        <w:t>按照《条例》有关规定，我局不断深化主动公开内容，拓展主动公开渠道，强化监督管理，扎实推进主动公开工作。</w:t>
      </w:r>
    </w:p>
    <w:p w14:paraId="082CDF20">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2015年度，</w:t>
      </w:r>
      <w:r>
        <w:rPr>
          <w:rFonts w:hint="eastAsia" w:ascii="仿宋_GB2312" w:hAnsi="宋体" w:eastAsia="仿宋_GB2312" w:cs="宋体"/>
          <w:color w:val="000000"/>
          <w:kern w:val="0"/>
          <w:sz w:val="32"/>
          <w:szCs w:val="32"/>
        </w:rPr>
        <w:t>主动公开</w:t>
      </w:r>
      <w:r>
        <w:rPr>
          <w:rFonts w:hint="eastAsia" w:ascii="仿宋_GB2312" w:hAnsi="宋体" w:eastAsia="仿宋_GB2312" w:cs="宋体"/>
          <w:kern w:val="0"/>
          <w:sz w:val="32"/>
          <w:szCs w:val="32"/>
        </w:rPr>
        <w:t>信息13条，全部以政府网站的形式公开,其中全文电子化率达100%。在主动公开的信息中，</w:t>
      </w:r>
      <w:r>
        <w:rPr>
          <w:rFonts w:hint="eastAsia" w:ascii="仿宋_GB2312" w:hAnsi="宋体" w:eastAsia="仿宋_GB2312" w:cs="宋体"/>
          <w:color w:val="000000"/>
          <w:kern w:val="0"/>
          <w:sz w:val="32"/>
          <w:szCs w:val="32"/>
        </w:rPr>
        <w:t>政府信息</w:t>
      </w:r>
      <w:r>
        <w:rPr>
          <w:rFonts w:hint="eastAsia" w:ascii="仿宋_GB2312" w:hAnsi="宋体" w:eastAsia="仿宋_GB2312" w:cs="宋体"/>
          <w:kern w:val="0"/>
          <w:sz w:val="32"/>
          <w:szCs w:val="32"/>
        </w:rPr>
        <w:t>7条，占总体的比例为53.85%，</w:t>
      </w:r>
      <w:r>
        <w:rPr>
          <w:rFonts w:hint="eastAsia" w:ascii="仿宋_GB2312" w:hAnsi="宋体" w:eastAsia="仿宋_GB2312" w:cs="宋体"/>
          <w:color w:val="000000"/>
          <w:kern w:val="0"/>
          <w:sz w:val="32"/>
          <w:szCs w:val="32"/>
        </w:rPr>
        <w:t>重点领域公开政府信息</w:t>
      </w:r>
      <w:r>
        <w:rPr>
          <w:rFonts w:hint="eastAsia" w:ascii="仿宋_GB2312" w:hAnsi="宋体" w:eastAsia="仿宋_GB2312" w:cs="宋体"/>
          <w:kern w:val="0"/>
          <w:sz w:val="32"/>
          <w:szCs w:val="32"/>
        </w:rPr>
        <w:t>6条，全部属于财政预算决算、“</w:t>
      </w:r>
      <w:bookmarkStart w:id="0" w:name="_GoBack"/>
      <w:bookmarkEnd w:id="0"/>
      <w:r>
        <w:rPr>
          <w:rFonts w:hint="eastAsia" w:ascii="仿宋_GB2312" w:hAnsi="宋体" w:eastAsia="仿宋_GB2312" w:cs="宋体"/>
          <w:kern w:val="0"/>
          <w:sz w:val="32"/>
          <w:szCs w:val="32"/>
        </w:rPr>
        <w:t>三公”</w:t>
      </w:r>
      <w:r>
        <w:rPr>
          <w:rFonts w:hint="eastAsia" w:ascii="仿宋_GB2312" w:hAnsi="宋体" w:eastAsia="仿宋_GB2312" w:cs="宋体"/>
          <w:kern w:val="0"/>
          <w:sz w:val="32"/>
          <w:szCs w:val="32"/>
          <w:lang w:eastAsia="zh-CN"/>
        </w:rPr>
        <w:t>经费</w:t>
      </w:r>
      <w:r>
        <w:rPr>
          <w:rFonts w:hint="eastAsia" w:ascii="仿宋_GB2312" w:hAnsi="宋体" w:eastAsia="仿宋_GB2312" w:cs="宋体"/>
          <w:kern w:val="0"/>
          <w:sz w:val="32"/>
          <w:szCs w:val="32"/>
        </w:rPr>
        <w:t>和行政经费类信息,占总体的比例为46.15%。</w:t>
      </w:r>
    </w:p>
    <w:p w14:paraId="5BCC19C4">
      <w:pPr>
        <w:pStyle w:val="17"/>
      </w:pPr>
      <w:r>
        <w:drawing>
          <wp:inline distT="0" distB="0" distL="0" distR="0">
            <wp:extent cx="5274310" cy="3076575"/>
            <wp:effectExtent l="0" t="0"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31A045A">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三、依申请公开情况</w:t>
      </w:r>
    </w:p>
    <w:p w14:paraId="3B21D68F">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自《条例》实施以来，我局未接到公民、法人或者其他组织根据自身生产、生活、科研等特殊需求提出的政府信息公开申请。</w:t>
      </w:r>
    </w:p>
    <w:p w14:paraId="02714EC8">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四、复议、诉讼及举报情况</w:t>
      </w:r>
    </w:p>
    <w:p w14:paraId="5BD12AA6">
      <w:pPr>
        <w:widowControl/>
        <w:spacing w:line="560" w:lineRule="exact"/>
        <w:ind w:left="159" w:leftChars="76" w:firstLine="640" w:firstLineChars="200"/>
        <w:rPr>
          <w:rFonts w:ascii="仿宋_GB2312" w:hAnsi="宋体" w:eastAsia="仿宋_GB2312" w:cs="宋体"/>
          <w:kern w:val="0"/>
          <w:sz w:val="32"/>
          <w:szCs w:val="32"/>
        </w:rPr>
      </w:pPr>
      <w:r>
        <w:rPr>
          <w:rFonts w:hint="eastAsia" w:ascii="仿宋_GB2312" w:eastAsia="仿宋_GB2312"/>
          <w:color w:val="000000"/>
          <w:sz w:val="32"/>
          <w:szCs w:val="32"/>
        </w:rPr>
        <w:t>目前，由于还未接到过相关行政复议和行政诉讼，该项工作内容主要是借鉴其他单位案例，不断完善相关制度和程序。</w:t>
      </w:r>
    </w:p>
    <w:p w14:paraId="42D24935">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五、存在的不足及改进措施</w:t>
      </w:r>
    </w:p>
    <w:p w14:paraId="434997F1">
      <w:pPr>
        <w:pStyle w:val="7"/>
        <w:spacing w:before="0" w:beforeAutospacing="0" w:after="0" w:afterAutospacing="0" w:line="200" w:lineRule="atLeas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5</w:t>
      </w:r>
      <w:r>
        <w:rPr>
          <w:rFonts w:hint="eastAsia" w:ascii="仿宋_GB2312" w:eastAsia="仿宋_GB2312"/>
          <w:sz w:val="32"/>
          <w:szCs w:val="32"/>
        </w:rPr>
        <w:t>年，随着全区政府信息公开工作的整体推进，信息公开机制的不断发展，我局政府信息公开工作日趋完善，但工作中仍存在着不足，责任意识和群众参与度仍须进一步加强；监督机制仍须进一步完善；公开内容的严谨性和公开形式的便民性仍须进一步提高。</w:t>
      </w:r>
    </w:p>
    <w:p w14:paraId="7736FBC9">
      <w:pPr>
        <w:pStyle w:val="7"/>
        <w:spacing w:before="0" w:beforeAutospacing="0" w:after="0" w:afterAutospacing="0" w:line="200" w:lineRule="atLeas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6</w:t>
      </w:r>
      <w:r>
        <w:rPr>
          <w:rFonts w:hint="eastAsia" w:ascii="仿宋_GB2312" w:eastAsia="仿宋_GB2312"/>
          <w:sz w:val="32"/>
          <w:szCs w:val="32"/>
        </w:rPr>
        <w:t>年，我局将继续严格按照《条例》和全区统一部署落实政府信息公开工作，并对下一步政府信息公开工作提出更高要求。一是进一步强化政务网络化意识。加强本局政府信息公开教育，切实提高对政府信息公开工作重大意义的认识，增强工作的自觉性和主动性。二是进一步完善和落实政务信息化的工作制度。对政府信息发布实行规范化管理，采取多种形式不断深化政府网站信息内容建设，不断提高我局政府信息发布工作制度化、规范化的水平和质量。三是进一步丰富政府信息公开内容。梳理应主动公开政府信息，补充完善政府信息公开目录，细化分类、规范表述、及时更新，特别要在做好公文类信息公开的同时，不断拓展业务类、决策类等信息公开内容，保证公开信息的完整性和准确性，不断满足社会各界的信息需求。四是进一步加强信息公开平台建设。进一步办好门户网站，广泛征集意见，优化网站栏目布局，提升各信息板块内涵，从结构上满足信息更新的需要，提高网站服务功能。加大政府信息公开工作的深度和广度，进一步提高社会公众对我区司法行政工作的知晓率和满意度。五是加强政府信息公开相关资料和档案的收集整理工作，做到资料详细、档案健全。</w:t>
      </w:r>
    </w:p>
    <w:p w14:paraId="03B31912">
      <w:pPr>
        <w:pStyle w:val="7"/>
        <w:spacing w:before="0" w:beforeAutospacing="0" w:after="0" w:afterAutospacing="0" w:line="200" w:lineRule="atLeast"/>
        <w:ind w:firstLine="640" w:firstLineChars="200"/>
        <w:rPr>
          <w:rFonts w:ascii="仿宋_GB2312" w:eastAsia="仿宋_GB2312"/>
          <w:sz w:val="32"/>
          <w:szCs w:val="32"/>
        </w:rPr>
      </w:pPr>
    </w:p>
    <w:p w14:paraId="2C14A716">
      <w:pPr>
        <w:widowControl/>
        <w:spacing w:line="600" w:lineRule="exact"/>
        <w:jc w:val="center"/>
        <w:rPr>
          <w:rFonts w:ascii="仿宋_GB2312" w:hAnsi="华文中宋" w:eastAsia="仿宋_GB2312"/>
          <w:b/>
          <w:sz w:val="32"/>
          <w:szCs w:val="32"/>
        </w:rPr>
      </w:pPr>
      <w:r>
        <w:rPr>
          <w:rFonts w:hint="eastAsia" w:ascii="仿宋_GB2312" w:hAnsi="华文中宋" w:eastAsia="仿宋_GB2312"/>
          <w:b/>
          <w:sz w:val="32"/>
          <w:szCs w:val="32"/>
        </w:rPr>
        <w:t>政府信息公开情况统计表</w:t>
      </w:r>
    </w:p>
    <w:p w14:paraId="0841034E">
      <w:pPr>
        <w:widowControl/>
        <w:spacing w:line="600" w:lineRule="exact"/>
        <w:jc w:val="center"/>
        <w:rPr>
          <w:rFonts w:ascii="仿宋_GB2312" w:hAnsi="宋体" w:eastAsia="仿宋_GB2312" w:cs="宋体"/>
          <w:color w:val="000000"/>
          <w:kern w:val="0"/>
          <w:sz w:val="32"/>
          <w:szCs w:val="32"/>
        </w:rPr>
      </w:pPr>
      <w:r>
        <w:rPr>
          <w:rFonts w:ascii="Arial" w:hAnsi="Arial" w:cs="Arial"/>
          <w:b/>
          <w:bCs/>
          <w:sz w:val="18"/>
          <w:szCs w:val="18"/>
        </w:rPr>
        <w:t>表一：主动公开政府信息情况统计</w:t>
      </w:r>
    </w:p>
    <w:tbl>
      <w:tblPr>
        <w:tblStyle w:val="8"/>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6"/>
        <w:gridCol w:w="1440"/>
        <w:gridCol w:w="2228"/>
      </w:tblGrid>
      <w:tr w14:paraId="66C9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dxa"/>
          </w:tcPr>
          <w:p w14:paraId="609412CC">
            <w:pPr>
              <w:jc w:val="center"/>
            </w:pPr>
            <w:r>
              <w:rPr>
                <w:rFonts w:hint="eastAsia"/>
              </w:rPr>
              <w:t>统计指标</w:t>
            </w:r>
          </w:p>
        </w:tc>
        <w:tc>
          <w:tcPr>
            <w:tcW w:w="1440" w:type="dxa"/>
            <w:vAlign w:val="center"/>
          </w:tcPr>
          <w:p w14:paraId="3F504546">
            <w:pPr>
              <w:jc w:val="center"/>
            </w:pPr>
            <w:r>
              <w:rPr>
                <w:rFonts w:hint="eastAsia"/>
              </w:rPr>
              <w:t>单位</w:t>
            </w:r>
          </w:p>
        </w:tc>
        <w:tc>
          <w:tcPr>
            <w:tcW w:w="2228" w:type="dxa"/>
            <w:vAlign w:val="center"/>
          </w:tcPr>
          <w:p w14:paraId="3FF2BC6A">
            <w:pPr>
              <w:jc w:val="center"/>
            </w:pPr>
            <w:r>
              <w:rPr>
                <w:rFonts w:hint="eastAsia"/>
              </w:rPr>
              <w:t>统计数</w:t>
            </w:r>
          </w:p>
        </w:tc>
      </w:tr>
      <w:tr w14:paraId="0EA5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dxa"/>
          </w:tcPr>
          <w:p w14:paraId="2D219CE8">
            <w:r>
              <w:rPr>
                <w:rFonts w:hint="eastAsia"/>
              </w:rPr>
              <w:t>主动公开情况</w:t>
            </w:r>
          </w:p>
        </w:tc>
        <w:tc>
          <w:tcPr>
            <w:tcW w:w="1440" w:type="dxa"/>
            <w:vAlign w:val="center"/>
          </w:tcPr>
          <w:p w14:paraId="4FCAF5E1">
            <w:pPr>
              <w:jc w:val="center"/>
            </w:pPr>
            <w:r>
              <w:rPr>
                <w:rFonts w:hint="eastAsia"/>
              </w:rPr>
              <w:t>条</w:t>
            </w:r>
          </w:p>
        </w:tc>
        <w:tc>
          <w:tcPr>
            <w:tcW w:w="2228" w:type="dxa"/>
            <w:vAlign w:val="center"/>
          </w:tcPr>
          <w:p w14:paraId="632B2863">
            <w:pPr>
              <w:jc w:val="center"/>
            </w:pPr>
            <w:r>
              <w:rPr>
                <w:rFonts w:hint="eastAsia"/>
              </w:rPr>
              <w:t>13</w:t>
            </w:r>
          </w:p>
        </w:tc>
      </w:tr>
      <w:tr w14:paraId="1C6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dxa"/>
          </w:tcPr>
          <w:p w14:paraId="607EB218">
            <w:r>
              <w:rPr>
                <w:rFonts w:hint="eastAsia"/>
              </w:rPr>
              <w:t>（一）主动公开政府信息数</w:t>
            </w:r>
          </w:p>
        </w:tc>
        <w:tc>
          <w:tcPr>
            <w:tcW w:w="1440" w:type="dxa"/>
            <w:vAlign w:val="center"/>
          </w:tcPr>
          <w:p w14:paraId="73A923C1">
            <w:pPr>
              <w:jc w:val="center"/>
            </w:pPr>
            <w:r>
              <w:rPr>
                <w:rFonts w:hint="eastAsia"/>
              </w:rPr>
              <w:t>条</w:t>
            </w:r>
          </w:p>
        </w:tc>
        <w:tc>
          <w:tcPr>
            <w:tcW w:w="2228" w:type="dxa"/>
            <w:vAlign w:val="center"/>
          </w:tcPr>
          <w:p w14:paraId="19F74594">
            <w:pPr>
              <w:jc w:val="center"/>
            </w:pPr>
            <w:r>
              <w:rPr>
                <w:rFonts w:hint="eastAsia"/>
              </w:rPr>
              <w:t>7</w:t>
            </w:r>
          </w:p>
        </w:tc>
      </w:tr>
      <w:tr w14:paraId="576B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dxa"/>
          </w:tcPr>
          <w:p w14:paraId="73A520BB">
            <w:r>
              <w:rPr>
                <w:rFonts w:hint="eastAsia"/>
              </w:rPr>
              <w:t>（二）重点领域公开政府信息数</w:t>
            </w:r>
          </w:p>
        </w:tc>
        <w:tc>
          <w:tcPr>
            <w:tcW w:w="1440" w:type="dxa"/>
            <w:vAlign w:val="center"/>
          </w:tcPr>
          <w:p w14:paraId="0729C7DA">
            <w:pPr>
              <w:jc w:val="center"/>
            </w:pPr>
            <w:r>
              <w:rPr>
                <w:rFonts w:hint="eastAsia"/>
              </w:rPr>
              <w:t>条</w:t>
            </w:r>
          </w:p>
        </w:tc>
        <w:tc>
          <w:tcPr>
            <w:tcW w:w="2228" w:type="dxa"/>
            <w:vAlign w:val="center"/>
          </w:tcPr>
          <w:p w14:paraId="4D459471">
            <w:pPr>
              <w:jc w:val="center"/>
            </w:pPr>
            <w:r>
              <w:rPr>
                <w:rFonts w:hint="eastAsia"/>
              </w:rPr>
              <w:t>6</w:t>
            </w:r>
          </w:p>
        </w:tc>
      </w:tr>
      <w:tr w14:paraId="7381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dxa"/>
          </w:tcPr>
          <w:p w14:paraId="35E0DBEF">
            <w:pPr>
              <w:ind w:left="630" w:hanging="630" w:hangingChars="300"/>
              <w:jc w:val="left"/>
            </w:pPr>
            <w:r>
              <w:rPr>
                <w:rFonts w:hint="eastAsia"/>
              </w:rPr>
              <w:t xml:space="preserve">      其中：主动公开财政预算决算、“三公”</w:t>
            </w:r>
            <w:r>
              <w:rPr>
                <w:rFonts w:hint="eastAsia"/>
                <w:lang w:eastAsia="zh-CN"/>
              </w:rPr>
              <w:t>经费</w:t>
            </w:r>
            <w:r>
              <w:rPr>
                <w:rFonts w:hint="eastAsia"/>
              </w:rPr>
              <w:t>和行政经费信息数</w:t>
            </w:r>
          </w:p>
        </w:tc>
        <w:tc>
          <w:tcPr>
            <w:tcW w:w="1440" w:type="dxa"/>
            <w:vAlign w:val="center"/>
          </w:tcPr>
          <w:p w14:paraId="58CD3289">
            <w:pPr>
              <w:jc w:val="center"/>
            </w:pPr>
            <w:r>
              <w:rPr>
                <w:rFonts w:hint="eastAsia"/>
              </w:rPr>
              <w:t>条</w:t>
            </w:r>
          </w:p>
        </w:tc>
        <w:tc>
          <w:tcPr>
            <w:tcW w:w="2228" w:type="dxa"/>
            <w:vAlign w:val="center"/>
          </w:tcPr>
          <w:p w14:paraId="43FE7304">
            <w:pPr>
              <w:jc w:val="center"/>
            </w:pPr>
            <w:r>
              <w:rPr>
                <w:rFonts w:hint="eastAsia"/>
              </w:rPr>
              <w:t>6</w:t>
            </w:r>
          </w:p>
        </w:tc>
      </w:tr>
    </w:tbl>
    <w:p w14:paraId="1714A066">
      <w:pPr>
        <w:spacing w:line="560" w:lineRule="exact"/>
        <w:jc w:val="center"/>
        <w:rPr>
          <w:rFonts w:ascii="仿宋_GB2312" w:eastAsia="仿宋_GB2312"/>
          <w:sz w:val="32"/>
          <w:szCs w:val="32"/>
        </w:rPr>
      </w:pPr>
      <w:r>
        <w:rPr>
          <w:rFonts w:ascii="Arial" w:hAnsi="Arial" w:cs="Arial"/>
          <w:b/>
          <w:bCs/>
          <w:sz w:val="18"/>
          <w:szCs w:val="18"/>
        </w:rPr>
        <w:t>表二：依申请公开政府信息情况统计</w:t>
      </w:r>
    </w:p>
    <w:tbl>
      <w:tblPr>
        <w:tblStyle w:val="8"/>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07"/>
        <w:gridCol w:w="1476"/>
        <w:gridCol w:w="2052"/>
      </w:tblGrid>
      <w:tr w14:paraId="1F7F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0" w:type="dxa"/>
              <w:bottom w:w="15" w:type="dxa"/>
              <w:right w:w="15" w:type="dxa"/>
            </w:tcMar>
          </w:tcPr>
          <w:p w14:paraId="5926CA82">
            <w:pPr>
              <w:jc w:val="center"/>
            </w:pPr>
            <w:r>
              <w:rPr>
                <w:rFonts w:hint="eastAsia"/>
              </w:rPr>
              <w:t>统计指标</w:t>
            </w:r>
          </w:p>
        </w:tc>
        <w:tc>
          <w:tcPr>
            <w:tcW w:w="1476" w:type="dxa"/>
            <w:tcMar>
              <w:top w:w="90" w:type="dxa"/>
              <w:left w:w="0" w:type="dxa"/>
              <w:bottom w:w="15" w:type="dxa"/>
              <w:right w:w="15" w:type="dxa"/>
            </w:tcMar>
            <w:vAlign w:val="center"/>
          </w:tcPr>
          <w:p w14:paraId="4E3751FF">
            <w:pPr>
              <w:jc w:val="center"/>
            </w:pPr>
            <w:r>
              <w:rPr>
                <w:rFonts w:hint="eastAsia"/>
              </w:rPr>
              <w:t>单位</w:t>
            </w:r>
          </w:p>
        </w:tc>
        <w:tc>
          <w:tcPr>
            <w:tcW w:w="2052" w:type="dxa"/>
            <w:tcMar>
              <w:top w:w="90" w:type="dxa"/>
              <w:left w:w="0" w:type="dxa"/>
              <w:bottom w:w="15" w:type="dxa"/>
              <w:right w:w="15" w:type="dxa"/>
            </w:tcMar>
            <w:vAlign w:val="center"/>
          </w:tcPr>
          <w:p w14:paraId="353C9086">
            <w:pPr>
              <w:jc w:val="center"/>
            </w:pPr>
            <w:r>
              <w:rPr>
                <w:rFonts w:hint="eastAsia"/>
              </w:rPr>
              <w:t>统计数</w:t>
            </w:r>
          </w:p>
        </w:tc>
      </w:tr>
      <w:tr w14:paraId="7202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369861E7">
            <w:r>
              <w:rPr>
                <w:rFonts w:hint="eastAsia"/>
              </w:rPr>
              <w:t>（一）收到申请数</w:t>
            </w:r>
          </w:p>
        </w:tc>
        <w:tc>
          <w:tcPr>
            <w:tcW w:w="1476" w:type="dxa"/>
            <w:tcMar>
              <w:top w:w="90" w:type="dxa"/>
              <w:left w:w="0" w:type="dxa"/>
              <w:bottom w:w="15" w:type="dxa"/>
              <w:right w:w="15" w:type="dxa"/>
            </w:tcMar>
            <w:vAlign w:val="center"/>
          </w:tcPr>
          <w:p w14:paraId="66561DA1">
            <w:pPr>
              <w:jc w:val="center"/>
            </w:pPr>
            <w:r>
              <w:rPr>
                <w:rFonts w:hint="eastAsia"/>
              </w:rPr>
              <w:t>条</w:t>
            </w:r>
          </w:p>
        </w:tc>
        <w:tc>
          <w:tcPr>
            <w:tcW w:w="2052" w:type="dxa"/>
            <w:tcMar>
              <w:top w:w="90" w:type="dxa"/>
              <w:left w:w="0" w:type="dxa"/>
              <w:bottom w:w="15" w:type="dxa"/>
              <w:right w:w="15" w:type="dxa"/>
            </w:tcMar>
            <w:vAlign w:val="center"/>
          </w:tcPr>
          <w:p w14:paraId="4F034ED8">
            <w:pPr>
              <w:jc w:val="center"/>
            </w:pPr>
            <w:r>
              <w:rPr>
                <w:rFonts w:hint="eastAsia"/>
              </w:rPr>
              <w:t>0</w:t>
            </w:r>
          </w:p>
        </w:tc>
      </w:tr>
      <w:tr w14:paraId="003F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3250CE86">
            <w:r>
              <w:rPr>
                <w:rFonts w:hint="eastAsia"/>
              </w:rPr>
              <w:t>1.当面申请数</w:t>
            </w:r>
          </w:p>
        </w:tc>
        <w:tc>
          <w:tcPr>
            <w:tcW w:w="1476" w:type="dxa"/>
            <w:tcMar>
              <w:top w:w="90" w:type="dxa"/>
              <w:left w:w="0" w:type="dxa"/>
              <w:bottom w:w="15" w:type="dxa"/>
              <w:right w:w="15" w:type="dxa"/>
            </w:tcMar>
            <w:vAlign w:val="center"/>
          </w:tcPr>
          <w:p w14:paraId="45447456">
            <w:pPr>
              <w:jc w:val="center"/>
            </w:pPr>
            <w:r>
              <w:rPr>
                <w:rFonts w:hint="eastAsia"/>
              </w:rPr>
              <w:t>条</w:t>
            </w:r>
          </w:p>
        </w:tc>
        <w:tc>
          <w:tcPr>
            <w:tcW w:w="2052" w:type="dxa"/>
            <w:tcMar>
              <w:top w:w="90" w:type="dxa"/>
              <w:left w:w="0" w:type="dxa"/>
              <w:bottom w:w="15" w:type="dxa"/>
              <w:right w:w="15" w:type="dxa"/>
            </w:tcMar>
            <w:vAlign w:val="center"/>
          </w:tcPr>
          <w:p w14:paraId="750E680E">
            <w:pPr>
              <w:jc w:val="center"/>
            </w:pPr>
            <w:r>
              <w:rPr>
                <w:rFonts w:hint="eastAsia"/>
              </w:rPr>
              <w:t>0</w:t>
            </w:r>
          </w:p>
        </w:tc>
      </w:tr>
      <w:tr w14:paraId="42D2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5D2C7263">
            <w:r>
              <w:rPr>
                <w:rFonts w:hint="eastAsia"/>
              </w:rPr>
              <w:t>2.传真申请数</w:t>
            </w:r>
          </w:p>
        </w:tc>
        <w:tc>
          <w:tcPr>
            <w:tcW w:w="1476" w:type="dxa"/>
            <w:tcMar>
              <w:top w:w="90" w:type="dxa"/>
              <w:left w:w="0" w:type="dxa"/>
              <w:bottom w:w="15" w:type="dxa"/>
              <w:right w:w="15" w:type="dxa"/>
            </w:tcMar>
          </w:tcPr>
          <w:p w14:paraId="445849A5">
            <w:pPr>
              <w:jc w:val="center"/>
            </w:pPr>
            <w:r>
              <w:rPr>
                <w:rFonts w:hint="eastAsia"/>
              </w:rPr>
              <w:t>条</w:t>
            </w:r>
          </w:p>
        </w:tc>
        <w:tc>
          <w:tcPr>
            <w:tcW w:w="2052" w:type="dxa"/>
            <w:tcMar>
              <w:top w:w="90" w:type="dxa"/>
              <w:left w:w="0" w:type="dxa"/>
              <w:bottom w:w="15" w:type="dxa"/>
              <w:right w:w="15" w:type="dxa"/>
            </w:tcMar>
            <w:vAlign w:val="center"/>
          </w:tcPr>
          <w:p w14:paraId="39F90DBD">
            <w:pPr>
              <w:jc w:val="center"/>
            </w:pPr>
            <w:r>
              <w:rPr>
                <w:rFonts w:hint="eastAsia"/>
              </w:rPr>
              <w:t>0</w:t>
            </w:r>
          </w:p>
        </w:tc>
      </w:tr>
      <w:tr w14:paraId="071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174E1151">
            <w:r>
              <w:rPr>
                <w:rFonts w:hint="eastAsia"/>
              </w:rPr>
              <w:t>3.网络申请数</w:t>
            </w:r>
          </w:p>
        </w:tc>
        <w:tc>
          <w:tcPr>
            <w:tcW w:w="1476" w:type="dxa"/>
            <w:tcMar>
              <w:top w:w="90" w:type="dxa"/>
              <w:left w:w="0" w:type="dxa"/>
              <w:bottom w:w="15" w:type="dxa"/>
              <w:right w:w="15" w:type="dxa"/>
            </w:tcMar>
          </w:tcPr>
          <w:p w14:paraId="72E780AB">
            <w:pPr>
              <w:jc w:val="center"/>
            </w:pPr>
            <w:r>
              <w:rPr>
                <w:rFonts w:hint="eastAsia"/>
              </w:rPr>
              <w:t>条</w:t>
            </w:r>
          </w:p>
        </w:tc>
        <w:tc>
          <w:tcPr>
            <w:tcW w:w="2052" w:type="dxa"/>
            <w:tcMar>
              <w:top w:w="90" w:type="dxa"/>
              <w:left w:w="0" w:type="dxa"/>
              <w:bottom w:w="15" w:type="dxa"/>
              <w:right w:w="15" w:type="dxa"/>
            </w:tcMar>
            <w:vAlign w:val="center"/>
          </w:tcPr>
          <w:p w14:paraId="7C93201E">
            <w:pPr>
              <w:jc w:val="center"/>
            </w:pPr>
            <w:r>
              <w:rPr>
                <w:rFonts w:hint="eastAsia"/>
              </w:rPr>
              <w:t>0</w:t>
            </w:r>
          </w:p>
        </w:tc>
      </w:tr>
      <w:tr w14:paraId="3D2C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30F704E6">
            <w:r>
              <w:rPr>
                <w:rFonts w:hint="eastAsia"/>
              </w:rPr>
              <w:t>4.信函申请数</w:t>
            </w:r>
          </w:p>
        </w:tc>
        <w:tc>
          <w:tcPr>
            <w:tcW w:w="1476" w:type="dxa"/>
            <w:tcMar>
              <w:top w:w="90" w:type="dxa"/>
              <w:left w:w="0" w:type="dxa"/>
              <w:bottom w:w="15" w:type="dxa"/>
              <w:right w:w="15" w:type="dxa"/>
            </w:tcMar>
          </w:tcPr>
          <w:p w14:paraId="00D86156">
            <w:pPr>
              <w:jc w:val="center"/>
            </w:pPr>
            <w:r>
              <w:rPr>
                <w:rFonts w:hint="eastAsia"/>
              </w:rPr>
              <w:t>条</w:t>
            </w:r>
          </w:p>
        </w:tc>
        <w:tc>
          <w:tcPr>
            <w:tcW w:w="2052" w:type="dxa"/>
            <w:tcMar>
              <w:top w:w="90" w:type="dxa"/>
              <w:left w:w="0" w:type="dxa"/>
              <w:bottom w:w="15" w:type="dxa"/>
              <w:right w:w="15" w:type="dxa"/>
            </w:tcMar>
            <w:vAlign w:val="center"/>
          </w:tcPr>
          <w:p w14:paraId="7DBB0976">
            <w:pPr>
              <w:jc w:val="center"/>
            </w:pPr>
            <w:r>
              <w:rPr>
                <w:rFonts w:hint="eastAsia"/>
              </w:rPr>
              <w:t>0</w:t>
            </w:r>
          </w:p>
        </w:tc>
      </w:tr>
      <w:tr w14:paraId="2131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35059FF6">
            <w:r>
              <w:rPr>
                <w:rFonts w:hint="eastAsia"/>
              </w:rPr>
              <w:t>（二）申请办结数</w:t>
            </w:r>
          </w:p>
        </w:tc>
        <w:tc>
          <w:tcPr>
            <w:tcW w:w="1476" w:type="dxa"/>
            <w:tcMar>
              <w:top w:w="90" w:type="dxa"/>
              <w:left w:w="0" w:type="dxa"/>
              <w:bottom w:w="15" w:type="dxa"/>
              <w:right w:w="15" w:type="dxa"/>
            </w:tcMar>
          </w:tcPr>
          <w:p w14:paraId="6C9BA728">
            <w:pPr>
              <w:jc w:val="center"/>
            </w:pPr>
            <w:r>
              <w:rPr>
                <w:rFonts w:hint="eastAsia"/>
              </w:rPr>
              <w:t>条</w:t>
            </w:r>
          </w:p>
        </w:tc>
        <w:tc>
          <w:tcPr>
            <w:tcW w:w="2052" w:type="dxa"/>
            <w:tcMar>
              <w:top w:w="90" w:type="dxa"/>
              <w:left w:w="0" w:type="dxa"/>
              <w:bottom w:w="15" w:type="dxa"/>
              <w:right w:w="15" w:type="dxa"/>
            </w:tcMar>
            <w:vAlign w:val="center"/>
          </w:tcPr>
          <w:p w14:paraId="06B4B334">
            <w:pPr>
              <w:jc w:val="center"/>
            </w:pPr>
            <w:r>
              <w:rPr>
                <w:rFonts w:hint="eastAsia"/>
              </w:rPr>
              <w:t>0</w:t>
            </w:r>
          </w:p>
        </w:tc>
      </w:tr>
      <w:tr w14:paraId="66E0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120D917A">
            <w:r>
              <w:rPr>
                <w:rFonts w:hint="eastAsia"/>
              </w:rPr>
              <w:t>1.按时办结数</w:t>
            </w:r>
          </w:p>
        </w:tc>
        <w:tc>
          <w:tcPr>
            <w:tcW w:w="1476" w:type="dxa"/>
            <w:tcMar>
              <w:top w:w="90" w:type="dxa"/>
              <w:left w:w="0" w:type="dxa"/>
              <w:bottom w:w="15" w:type="dxa"/>
              <w:right w:w="15" w:type="dxa"/>
            </w:tcMar>
          </w:tcPr>
          <w:p w14:paraId="4E235FAF">
            <w:pPr>
              <w:jc w:val="center"/>
            </w:pPr>
            <w:r>
              <w:rPr>
                <w:rFonts w:hint="eastAsia"/>
              </w:rPr>
              <w:t>条</w:t>
            </w:r>
          </w:p>
        </w:tc>
        <w:tc>
          <w:tcPr>
            <w:tcW w:w="2052" w:type="dxa"/>
            <w:tcMar>
              <w:top w:w="90" w:type="dxa"/>
              <w:left w:w="0" w:type="dxa"/>
              <w:bottom w:w="15" w:type="dxa"/>
              <w:right w:w="15" w:type="dxa"/>
            </w:tcMar>
            <w:vAlign w:val="center"/>
          </w:tcPr>
          <w:p w14:paraId="2DAFA71C">
            <w:pPr>
              <w:jc w:val="center"/>
            </w:pPr>
            <w:r>
              <w:rPr>
                <w:rFonts w:hint="eastAsia"/>
              </w:rPr>
              <w:t>0</w:t>
            </w:r>
          </w:p>
        </w:tc>
      </w:tr>
      <w:tr w14:paraId="72D9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7D015BEF">
            <w:r>
              <w:rPr>
                <w:rFonts w:hint="eastAsia"/>
              </w:rPr>
              <w:t>2.延期办结数</w:t>
            </w:r>
          </w:p>
        </w:tc>
        <w:tc>
          <w:tcPr>
            <w:tcW w:w="1476" w:type="dxa"/>
            <w:tcMar>
              <w:top w:w="90" w:type="dxa"/>
              <w:left w:w="0" w:type="dxa"/>
              <w:bottom w:w="15" w:type="dxa"/>
              <w:right w:w="15" w:type="dxa"/>
            </w:tcMar>
          </w:tcPr>
          <w:p w14:paraId="1C7E1549">
            <w:pPr>
              <w:jc w:val="center"/>
            </w:pPr>
            <w:r>
              <w:rPr>
                <w:rFonts w:hint="eastAsia"/>
              </w:rPr>
              <w:t>条</w:t>
            </w:r>
          </w:p>
        </w:tc>
        <w:tc>
          <w:tcPr>
            <w:tcW w:w="2052" w:type="dxa"/>
            <w:tcMar>
              <w:top w:w="90" w:type="dxa"/>
              <w:left w:w="0" w:type="dxa"/>
              <w:bottom w:w="15" w:type="dxa"/>
              <w:right w:w="15" w:type="dxa"/>
            </w:tcMar>
            <w:vAlign w:val="center"/>
          </w:tcPr>
          <w:p w14:paraId="12D3FA43">
            <w:pPr>
              <w:jc w:val="center"/>
            </w:pPr>
            <w:r>
              <w:rPr>
                <w:rFonts w:hint="eastAsia"/>
              </w:rPr>
              <w:t>0</w:t>
            </w:r>
          </w:p>
        </w:tc>
      </w:tr>
      <w:tr w14:paraId="78EB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753BE52C">
            <w:r>
              <w:rPr>
                <w:rFonts w:hint="eastAsia"/>
              </w:rPr>
              <w:t>（三）申请答复数</w:t>
            </w:r>
          </w:p>
        </w:tc>
        <w:tc>
          <w:tcPr>
            <w:tcW w:w="1476" w:type="dxa"/>
            <w:tcMar>
              <w:top w:w="90" w:type="dxa"/>
              <w:left w:w="0" w:type="dxa"/>
              <w:bottom w:w="15" w:type="dxa"/>
              <w:right w:w="15" w:type="dxa"/>
            </w:tcMar>
          </w:tcPr>
          <w:p w14:paraId="09AF5F36">
            <w:pPr>
              <w:jc w:val="center"/>
            </w:pPr>
            <w:r>
              <w:rPr>
                <w:rFonts w:hint="eastAsia"/>
              </w:rPr>
              <w:t>条</w:t>
            </w:r>
          </w:p>
        </w:tc>
        <w:tc>
          <w:tcPr>
            <w:tcW w:w="2052" w:type="dxa"/>
            <w:tcMar>
              <w:top w:w="90" w:type="dxa"/>
              <w:left w:w="0" w:type="dxa"/>
              <w:bottom w:w="15" w:type="dxa"/>
              <w:right w:w="15" w:type="dxa"/>
            </w:tcMar>
            <w:vAlign w:val="center"/>
          </w:tcPr>
          <w:p w14:paraId="3324362C">
            <w:pPr>
              <w:jc w:val="center"/>
            </w:pPr>
            <w:r>
              <w:rPr>
                <w:rFonts w:hint="eastAsia"/>
              </w:rPr>
              <w:t>0</w:t>
            </w:r>
          </w:p>
        </w:tc>
      </w:tr>
      <w:tr w14:paraId="3EAD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70CF50BF">
            <w:r>
              <w:rPr>
                <w:rFonts w:hint="eastAsia"/>
              </w:rPr>
              <w:t>1.属于已主动公开范围数</w:t>
            </w:r>
          </w:p>
        </w:tc>
        <w:tc>
          <w:tcPr>
            <w:tcW w:w="1476" w:type="dxa"/>
            <w:tcMar>
              <w:top w:w="90" w:type="dxa"/>
              <w:left w:w="0" w:type="dxa"/>
              <w:bottom w:w="15" w:type="dxa"/>
              <w:right w:w="15" w:type="dxa"/>
            </w:tcMar>
          </w:tcPr>
          <w:p w14:paraId="7F47E383">
            <w:pPr>
              <w:jc w:val="center"/>
            </w:pPr>
            <w:r>
              <w:rPr>
                <w:rFonts w:hint="eastAsia"/>
              </w:rPr>
              <w:t>条</w:t>
            </w:r>
          </w:p>
        </w:tc>
        <w:tc>
          <w:tcPr>
            <w:tcW w:w="2052" w:type="dxa"/>
            <w:tcMar>
              <w:top w:w="90" w:type="dxa"/>
              <w:left w:w="0" w:type="dxa"/>
              <w:bottom w:w="15" w:type="dxa"/>
              <w:right w:w="15" w:type="dxa"/>
            </w:tcMar>
            <w:vAlign w:val="center"/>
          </w:tcPr>
          <w:p w14:paraId="194E65AA">
            <w:pPr>
              <w:jc w:val="center"/>
            </w:pPr>
            <w:r>
              <w:rPr>
                <w:rFonts w:hint="eastAsia"/>
              </w:rPr>
              <w:t>0</w:t>
            </w:r>
          </w:p>
        </w:tc>
      </w:tr>
      <w:tr w14:paraId="19B5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1BA8F068">
            <w:r>
              <w:rPr>
                <w:rFonts w:hint="eastAsia"/>
              </w:rPr>
              <w:t>2.同意公开答复数</w:t>
            </w:r>
          </w:p>
        </w:tc>
        <w:tc>
          <w:tcPr>
            <w:tcW w:w="1476" w:type="dxa"/>
            <w:tcMar>
              <w:top w:w="90" w:type="dxa"/>
              <w:left w:w="0" w:type="dxa"/>
              <w:bottom w:w="15" w:type="dxa"/>
              <w:right w:w="15" w:type="dxa"/>
            </w:tcMar>
          </w:tcPr>
          <w:p w14:paraId="2C075A15">
            <w:pPr>
              <w:jc w:val="center"/>
            </w:pPr>
            <w:r>
              <w:rPr>
                <w:rFonts w:hint="eastAsia"/>
              </w:rPr>
              <w:t>条</w:t>
            </w:r>
          </w:p>
        </w:tc>
        <w:tc>
          <w:tcPr>
            <w:tcW w:w="2052" w:type="dxa"/>
            <w:tcMar>
              <w:top w:w="90" w:type="dxa"/>
              <w:left w:w="0" w:type="dxa"/>
              <w:bottom w:w="15" w:type="dxa"/>
              <w:right w:w="15" w:type="dxa"/>
            </w:tcMar>
            <w:vAlign w:val="center"/>
          </w:tcPr>
          <w:p w14:paraId="402E603C">
            <w:pPr>
              <w:jc w:val="center"/>
            </w:pPr>
            <w:r>
              <w:rPr>
                <w:rFonts w:hint="eastAsia"/>
              </w:rPr>
              <w:t>0</w:t>
            </w:r>
          </w:p>
        </w:tc>
      </w:tr>
      <w:tr w14:paraId="1039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33FE78D0">
            <w:r>
              <w:rPr>
                <w:rFonts w:hint="eastAsia"/>
              </w:rPr>
              <w:t>3.同意部分公开答复数</w:t>
            </w:r>
          </w:p>
        </w:tc>
        <w:tc>
          <w:tcPr>
            <w:tcW w:w="1476" w:type="dxa"/>
            <w:tcMar>
              <w:top w:w="90" w:type="dxa"/>
              <w:left w:w="0" w:type="dxa"/>
              <w:bottom w:w="15" w:type="dxa"/>
              <w:right w:w="15" w:type="dxa"/>
            </w:tcMar>
          </w:tcPr>
          <w:p w14:paraId="153CAE42">
            <w:pPr>
              <w:jc w:val="center"/>
            </w:pPr>
            <w:r>
              <w:rPr>
                <w:rFonts w:hint="eastAsia"/>
              </w:rPr>
              <w:t>条</w:t>
            </w:r>
          </w:p>
        </w:tc>
        <w:tc>
          <w:tcPr>
            <w:tcW w:w="2052" w:type="dxa"/>
            <w:tcMar>
              <w:top w:w="90" w:type="dxa"/>
              <w:left w:w="0" w:type="dxa"/>
              <w:bottom w:w="15" w:type="dxa"/>
              <w:right w:w="15" w:type="dxa"/>
            </w:tcMar>
            <w:vAlign w:val="center"/>
          </w:tcPr>
          <w:p w14:paraId="5F3959DE">
            <w:pPr>
              <w:jc w:val="center"/>
            </w:pPr>
            <w:r>
              <w:rPr>
                <w:rFonts w:hint="eastAsia"/>
              </w:rPr>
              <w:t>0</w:t>
            </w:r>
          </w:p>
        </w:tc>
      </w:tr>
      <w:tr w14:paraId="72B3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7C353CF0">
            <w:r>
              <w:rPr>
                <w:rFonts w:hint="eastAsia"/>
              </w:rPr>
              <w:t>4.不同意公开答复数</w:t>
            </w:r>
          </w:p>
        </w:tc>
        <w:tc>
          <w:tcPr>
            <w:tcW w:w="1476" w:type="dxa"/>
            <w:tcMar>
              <w:top w:w="90" w:type="dxa"/>
              <w:left w:w="0" w:type="dxa"/>
              <w:bottom w:w="15" w:type="dxa"/>
              <w:right w:w="15" w:type="dxa"/>
            </w:tcMar>
          </w:tcPr>
          <w:p w14:paraId="74303FFB">
            <w:pPr>
              <w:jc w:val="center"/>
            </w:pPr>
            <w:r>
              <w:rPr>
                <w:rFonts w:hint="eastAsia"/>
              </w:rPr>
              <w:t>条</w:t>
            </w:r>
          </w:p>
        </w:tc>
        <w:tc>
          <w:tcPr>
            <w:tcW w:w="2052" w:type="dxa"/>
            <w:tcMar>
              <w:top w:w="90" w:type="dxa"/>
              <w:left w:w="0" w:type="dxa"/>
              <w:bottom w:w="15" w:type="dxa"/>
              <w:right w:w="15" w:type="dxa"/>
            </w:tcMar>
            <w:vAlign w:val="center"/>
          </w:tcPr>
          <w:p w14:paraId="58F9E3E2">
            <w:pPr>
              <w:jc w:val="center"/>
            </w:pPr>
            <w:r>
              <w:rPr>
                <w:rFonts w:hint="eastAsia"/>
              </w:rPr>
              <w:t>0</w:t>
            </w:r>
          </w:p>
        </w:tc>
      </w:tr>
      <w:tr w14:paraId="0E22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380" w:type="dxa"/>
              <w:bottom w:w="15" w:type="dxa"/>
              <w:right w:w="15" w:type="dxa"/>
            </w:tcMar>
            <w:vAlign w:val="center"/>
          </w:tcPr>
          <w:p w14:paraId="03AFE428">
            <w:r>
              <w:rPr>
                <w:rFonts w:hint="eastAsia"/>
              </w:rPr>
              <w:t>其中：涉及国家秘密</w:t>
            </w:r>
          </w:p>
        </w:tc>
        <w:tc>
          <w:tcPr>
            <w:tcW w:w="1476" w:type="dxa"/>
            <w:tcMar>
              <w:top w:w="90" w:type="dxa"/>
              <w:left w:w="0" w:type="dxa"/>
              <w:bottom w:w="15" w:type="dxa"/>
              <w:right w:w="15" w:type="dxa"/>
            </w:tcMar>
          </w:tcPr>
          <w:p w14:paraId="4C5CA50D">
            <w:pPr>
              <w:jc w:val="center"/>
            </w:pPr>
            <w:r>
              <w:rPr>
                <w:rFonts w:hint="eastAsia"/>
              </w:rPr>
              <w:t>条</w:t>
            </w:r>
          </w:p>
        </w:tc>
        <w:tc>
          <w:tcPr>
            <w:tcW w:w="2052" w:type="dxa"/>
            <w:tcMar>
              <w:top w:w="90" w:type="dxa"/>
              <w:left w:w="0" w:type="dxa"/>
              <w:bottom w:w="15" w:type="dxa"/>
              <w:right w:w="15" w:type="dxa"/>
            </w:tcMar>
            <w:vAlign w:val="center"/>
          </w:tcPr>
          <w:p w14:paraId="492B7F1F">
            <w:pPr>
              <w:jc w:val="center"/>
            </w:pPr>
            <w:r>
              <w:rPr>
                <w:rFonts w:hint="eastAsia"/>
              </w:rPr>
              <w:t>0</w:t>
            </w:r>
          </w:p>
        </w:tc>
      </w:tr>
      <w:tr w14:paraId="3770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920" w:type="dxa"/>
              <w:bottom w:w="15" w:type="dxa"/>
              <w:right w:w="15" w:type="dxa"/>
            </w:tcMar>
            <w:vAlign w:val="center"/>
          </w:tcPr>
          <w:p w14:paraId="1BE48791">
            <w:r>
              <w:rPr>
                <w:rFonts w:hint="eastAsia"/>
              </w:rPr>
              <w:t>涉及商业秘密</w:t>
            </w:r>
          </w:p>
        </w:tc>
        <w:tc>
          <w:tcPr>
            <w:tcW w:w="1476" w:type="dxa"/>
            <w:tcMar>
              <w:top w:w="90" w:type="dxa"/>
              <w:left w:w="0" w:type="dxa"/>
              <w:bottom w:w="15" w:type="dxa"/>
              <w:right w:w="15" w:type="dxa"/>
            </w:tcMar>
          </w:tcPr>
          <w:p w14:paraId="6E260F04">
            <w:pPr>
              <w:jc w:val="center"/>
            </w:pPr>
            <w:r>
              <w:rPr>
                <w:rFonts w:hint="eastAsia"/>
              </w:rPr>
              <w:t>条</w:t>
            </w:r>
          </w:p>
        </w:tc>
        <w:tc>
          <w:tcPr>
            <w:tcW w:w="2052" w:type="dxa"/>
            <w:tcMar>
              <w:top w:w="90" w:type="dxa"/>
              <w:left w:w="0" w:type="dxa"/>
              <w:bottom w:w="15" w:type="dxa"/>
              <w:right w:w="15" w:type="dxa"/>
            </w:tcMar>
            <w:vAlign w:val="center"/>
          </w:tcPr>
          <w:p w14:paraId="67F7D2E8">
            <w:pPr>
              <w:jc w:val="center"/>
            </w:pPr>
            <w:r>
              <w:rPr>
                <w:rFonts w:hint="eastAsia"/>
              </w:rPr>
              <w:t>0</w:t>
            </w:r>
          </w:p>
        </w:tc>
      </w:tr>
      <w:tr w14:paraId="5EBF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920" w:type="dxa"/>
              <w:bottom w:w="15" w:type="dxa"/>
              <w:right w:w="15" w:type="dxa"/>
            </w:tcMar>
            <w:vAlign w:val="center"/>
          </w:tcPr>
          <w:p w14:paraId="402BA057">
            <w:r>
              <w:rPr>
                <w:rFonts w:hint="eastAsia"/>
              </w:rPr>
              <w:t>涉及个人隐私</w:t>
            </w:r>
          </w:p>
        </w:tc>
        <w:tc>
          <w:tcPr>
            <w:tcW w:w="1476" w:type="dxa"/>
            <w:tcMar>
              <w:top w:w="90" w:type="dxa"/>
              <w:left w:w="0" w:type="dxa"/>
              <w:bottom w:w="15" w:type="dxa"/>
              <w:right w:w="15" w:type="dxa"/>
            </w:tcMar>
          </w:tcPr>
          <w:p w14:paraId="4D5BB635">
            <w:pPr>
              <w:jc w:val="center"/>
            </w:pPr>
            <w:r>
              <w:rPr>
                <w:rFonts w:hint="eastAsia"/>
              </w:rPr>
              <w:t>条</w:t>
            </w:r>
          </w:p>
        </w:tc>
        <w:tc>
          <w:tcPr>
            <w:tcW w:w="2052" w:type="dxa"/>
            <w:tcMar>
              <w:top w:w="90" w:type="dxa"/>
              <w:left w:w="0" w:type="dxa"/>
              <w:bottom w:w="15" w:type="dxa"/>
              <w:right w:w="15" w:type="dxa"/>
            </w:tcMar>
            <w:vAlign w:val="center"/>
          </w:tcPr>
          <w:p w14:paraId="595CA4B2">
            <w:pPr>
              <w:jc w:val="center"/>
            </w:pPr>
            <w:r>
              <w:rPr>
                <w:rFonts w:hint="eastAsia"/>
              </w:rPr>
              <w:t>0</w:t>
            </w:r>
          </w:p>
        </w:tc>
      </w:tr>
      <w:tr w14:paraId="6A6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920" w:type="dxa"/>
              <w:bottom w:w="15" w:type="dxa"/>
              <w:right w:w="15" w:type="dxa"/>
            </w:tcMar>
            <w:vAlign w:val="center"/>
          </w:tcPr>
          <w:p w14:paraId="735C0A11">
            <w:r>
              <w:rPr>
                <w:rFonts w:hint="eastAsia"/>
              </w:rPr>
              <w:t>危及国家安全、公共安全、经济安全和社会稳定</w:t>
            </w:r>
          </w:p>
        </w:tc>
        <w:tc>
          <w:tcPr>
            <w:tcW w:w="1476" w:type="dxa"/>
            <w:tcMar>
              <w:top w:w="90" w:type="dxa"/>
              <w:left w:w="0" w:type="dxa"/>
              <w:bottom w:w="15" w:type="dxa"/>
              <w:right w:w="15" w:type="dxa"/>
            </w:tcMar>
          </w:tcPr>
          <w:p w14:paraId="5E5A6FBF">
            <w:pPr>
              <w:ind w:firstLine="630" w:firstLineChars="300"/>
            </w:pPr>
            <w:r>
              <w:rPr>
                <w:rFonts w:hint="eastAsia"/>
              </w:rPr>
              <w:t>条</w:t>
            </w:r>
          </w:p>
        </w:tc>
        <w:tc>
          <w:tcPr>
            <w:tcW w:w="2052" w:type="dxa"/>
            <w:tcMar>
              <w:top w:w="90" w:type="dxa"/>
              <w:left w:w="0" w:type="dxa"/>
              <w:bottom w:w="15" w:type="dxa"/>
              <w:right w:w="15" w:type="dxa"/>
            </w:tcMar>
            <w:vAlign w:val="center"/>
          </w:tcPr>
          <w:p w14:paraId="0C7B1F99">
            <w:pPr>
              <w:jc w:val="center"/>
            </w:pPr>
            <w:r>
              <w:rPr>
                <w:rFonts w:hint="eastAsia"/>
              </w:rPr>
              <w:t>0</w:t>
            </w:r>
          </w:p>
        </w:tc>
      </w:tr>
      <w:tr w14:paraId="3A2F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920" w:type="dxa"/>
              <w:bottom w:w="15" w:type="dxa"/>
              <w:right w:w="15" w:type="dxa"/>
            </w:tcMar>
            <w:vAlign w:val="center"/>
          </w:tcPr>
          <w:p w14:paraId="02317106">
            <w:r>
              <w:rPr>
                <w:rFonts w:hint="eastAsia"/>
              </w:rPr>
              <w:t>不是《条例》所指政府信息</w:t>
            </w:r>
          </w:p>
        </w:tc>
        <w:tc>
          <w:tcPr>
            <w:tcW w:w="1476" w:type="dxa"/>
            <w:tcMar>
              <w:top w:w="90" w:type="dxa"/>
              <w:left w:w="0" w:type="dxa"/>
              <w:bottom w:w="15" w:type="dxa"/>
              <w:right w:w="15" w:type="dxa"/>
            </w:tcMar>
          </w:tcPr>
          <w:p w14:paraId="46F6FE4B">
            <w:pPr>
              <w:jc w:val="center"/>
            </w:pPr>
            <w:r>
              <w:rPr>
                <w:rFonts w:hint="eastAsia"/>
              </w:rPr>
              <w:t>条</w:t>
            </w:r>
          </w:p>
        </w:tc>
        <w:tc>
          <w:tcPr>
            <w:tcW w:w="2052" w:type="dxa"/>
            <w:tcMar>
              <w:top w:w="90" w:type="dxa"/>
              <w:left w:w="0" w:type="dxa"/>
              <w:bottom w:w="15" w:type="dxa"/>
              <w:right w:w="15" w:type="dxa"/>
            </w:tcMar>
            <w:vAlign w:val="center"/>
          </w:tcPr>
          <w:p w14:paraId="3BB5CB07">
            <w:pPr>
              <w:jc w:val="center"/>
            </w:pPr>
            <w:r>
              <w:rPr>
                <w:rFonts w:hint="eastAsia"/>
              </w:rPr>
              <w:t>0</w:t>
            </w:r>
          </w:p>
        </w:tc>
      </w:tr>
      <w:tr w14:paraId="2099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920" w:type="dxa"/>
              <w:bottom w:w="15" w:type="dxa"/>
              <w:right w:w="15" w:type="dxa"/>
            </w:tcMar>
            <w:vAlign w:val="center"/>
          </w:tcPr>
          <w:p w14:paraId="57CF1666">
            <w:r>
              <w:rPr>
                <w:rFonts w:hint="eastAsia"/>
              </w:rPr>
              <w:t>法律法规规定的其他情形</w:t>
            </w:r>
          </w:p>
        </w:tc>
        <w:tc>
          <w:tcPr>
            <w:tcW w:w="1476" w:type="dxa"/>
            <w:tcMar>
              <w:top w:w="90" w:type="dxa"/>
              <w:left w:w="0" w:type="dxa"/>
              <w:bottom w:w="15" w:type="dxa"/>
              <w:right w:w="15" w:type="dxa"/>
            </w:tcMar>
          </w:tcPr>
          <w:p w14:paraId="78250381">
            <w:pPr>
              <w:jc w:val="center"/>
            </w:pPr>
            <w:r>
              <w:rPr>
                <w:rFonts w:hint="eastAsia"/>
              </w:rPr>
              <w:t>条</w:t>
            </w:r>
          </w:p>
        </w:tc>
        <w:tc>
          <w:tcPr>
            <w:tcW w:w="2052" w:type="dxa"/>
            <w:tcMar>
              <w:top w:w="90" w:type="dxa"/>
              <w:left w:w="0" w:type="dxa"/>
              <w:bottom w:w="15" w:type="dxa"/>
              <w:right w:w="15" w:type="dxa"/>
            </w:tcMar>
            <w:vAlign w:val="center"/>
          </w:tcPr>
          <w:p w14:paraId="2669B481">
            <w:pPr>
              <w:jc w:val="center"/>
            </w:pPr>
            <w:r>
              <w:rPr>
                <w:rFonts w:hint="eastAsia"/>
              </w:rPr>
              <w:t>0</w:t>
            </w:r>
          </w:p>
        </w:tc>
      </w:tr>
      <w:tr w14:paraId="6AAE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330C8D66">
            <w:r>
              <w:rPr>
                <w:rFonts w:hint="eastAsia"/>
              </w:rPr>
              <w:t>5.不属于本行政机关公开数</w:t>
            </w:r>
          </w:p>
        </w:tc>
        <w:tc>
          <w:tcPr>
            <w:tcW w:w="1476" w:type="dxa"/>
            <w:tcMar>
              <w:top w:w="90" w:type="dxa"/>
              <w:left w:w="0" w:type="dxa"/>
              <w:bottom w:w="15" w:type="dxa"/>
              <w:right w:w="15" w:type="dxa"/>
            </w:tcMar>
          </w:tcPr>
          <w:p w14:paraId="21442D2F">
            <w:pPr>
              <w:jc w:val="center"/>
            </w:pPr>
            <w:r>
              <w:rPr>
                <w:rFonts w:hint="eastAsia"/>
              </w:rPr>
              <w:t>条</w:t>
            </w:r>
          </w:p>
        </w:tc>
        <w:tc>
          <w:tcPr>
            <w:tcW w:w="2052" w:type="dxa"/>
            <w:tcMar>
              <w:top w:w="90" w:type="dxa"/>
              <w:left w:w="0" w:type="dxa"/>
              <w:bottom w:w="15" w:type="dxa"/>
              <w:right w:w="15" w:type="dxa"/>
            </w:tcMar>
            <w:vAlign w:val="center"/>
          </w:tcPr>
          <w:p w14:paraId="5C28C26E">
            <w:pPr>
              <w:jc w:val="center"/>
            </w:pPr>
            <w:r>
              <w:rPr>
                <w:rFonts w:hint="eastAsia"/>
              </w:rPr>
              <w:t>0</w:t>
            </w:r>
          </w:p>
        </w:tc>
      </w:tr>
      <w:tr w14:paraId="4C7E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5A131263">
            <w:r>
              <w:rPr>
                <w:rFonts w:hint="eastAsia"/>
              </w:rPr>
              <w:t>6.申请信息不存在数</w:t>
            </w:r>
          </w:p>
        </w:tc>
        <w:tc>
          <w:tcPr>
            <w:tcW w:w="1476" w:type="dxa"/>
            <w:tcMar>
              <w:top w:w="90" w:type="dxa"/>
              <w:left w:w="0" w:type="dxa"/>
              <w:bottom w:w="15" w:type="dxa"/>
              <w:right w:w="15" w:type="dxa"/>
            </w:tcMar>
          </w:tcPr>
          <w:p w14:paraId="2BACD21C">
            <w:pPr>
              <w:jc w:val="center"/>
            </w:pPr>
            <w:r>
              <w:rPr>
                <w:rFonts w:hint="eastAsia"/>
              </w:rPr>
              <w:t>条</w:t>
            </w:r>
          </w:p>
        </w:tc>
        <w:tc>
          <w:tcPr>
            <w:tcW w:w="2052" w:type="dxa"/>
            <w:tcMar>
              <w:top w:w="90" w:type="dxa"/>
              <w:left w:w="0" w:type="dxa"/>
              <w:bottom w:w="15" w:type="dxa"/>
              <w:right w:w="15" w:type="dxa"/>
            </w:tcMar>
            <w:vAlign w:val="center"/>
          </w:tcPr>
          <w:p w14:paraId="3114B8FC">
            <w:pPr>
              <w:jc w:val="center"/>
            </w:pPr>
            <w:r>
              <w:rPr>
                <w:rFonts w:hint="eastAsia"/>
              </w:rPr>
              <w:t>0</w:t>
            </w:r>
          </w:p>
        </w:tc>
      </w:tr>
      <w:tr w14:paraId="5078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68D4EE20">
            <w:r>
              <w:rPr>
                <w:rFonts w:hint="eastAsia"/>
              </w:rPr>
              <w:t>7.告知作出更改补充数</w:t>
            </w:r>
          </w:p>
        </w:tc>
        <w:tc>
          <w:tcPr>
            <w:tcW w:w="1476" w:type="dxa"/>
            <w:tcMar>
              <w:top w:w="90" w:type="dxa"/>
              <w:left w:w="0" w:type="dxa"/>
              <w:bottom w:w="15" w:type="dxa"/>
              <w:right w:w="15" w:type="dxa"/>
            </w:tcMar>
          </w:tcPr>
          <w:p w14:paraId="3A07C517">
            <w:pPr>
              <w:jc w:val="center"/>
            </w:pPr>
            <w:r>
              <w:rPr>
                <w:rFonts w:hint="eastAsia"/>
              </w:rPr>
              <w:t>条</w:t>
            </w:r>
          </w:p>
        </w:tc>
        <w:tc>
          <w:tcPr>
            <w:tcW w:w="2052" w:type="dxa"/>
            <w:tcMar>
              <w:top w:w="90" w:type="dxa"/>
              <w:left w:w="0" w:type="dxa"/>
              <w:bottom w:w="15" w:type="dxa"/>
              <w:right w:w="15" w:type="dxa"/>
            </w:tcMar>
            <w:vAlign w:val="center"/>
          </w:tcPr>
          <w:p w14:paraId="270945F8">
            <w:pPr>
              <w:jc w:val="center"/>
            </w:pPr>
            <w:r>
              <w:rPr>
                <w:rFonts w:hint="eastAsia"/>
              </w:rPr>
              <w:t>0</w:t>
            </w:r>
          </w:p>
        </w:tc>
      </w:tr>
      <w:tr w14:paraId="160F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1155" w:type="dxa"/>
              <w:bottom w:w="15" w:type="dxa"/>
              <w:right w:w="15" w:type="dxa"/>
            </w:tcMar>
            <w:vAlign w:val="center"/>
          </w:tcPr>
          <w:p w14:paraId="21D33B4F">
            <w:r>
              <w:rPr>
                <w:rFonts w:hint="eastAsia"/>
              </w:rPr>
              <w:t>8.告知通过其他途径办理数</w:t>
            </w:r>
          </w:p>
        </w:tc>
        <w:tc>
          <w:tcPr>
            <w:tcW w:w="1476" w:type="dxa"/>
            <w:tcMar>
              <w:top w:w="90" w:type="dxa"/>
              <w:left w:w="0" w:type="dxa"/>
              <w:bottom w:w="15" w:type="dxa"/>
              <w:right w:w="15" w:type="dxa"/>
            </w:tcMar>
          </w:tcPr>
          <w:p w14:paraId="0FF09FBD">
            <w:pPr>
              <w:jc w:val="center"/>
            </w:pPr>
            <w:r>
              <w:rPr>
                <w:rFonts w:hint="eastAsia"/>
              </w:rPr>
              <w:t>条</w:t>
            </w:r>
          </w:p>
        </w:tc>
        <w:tc>
          <w:tcPr>
            <w:tcW w:w="2052" w:type="dxa"/>
            <w:tcMar>
              <w:top w:w="90" w:type="dxa"/>
              <w:left w:w="0" w:type="dxa"/>
              <w:bottom w:w="15" w:type="dxa"/>
              <w:right w:w="15" w:type="dxa"/>
            </w:tcMar>
            <w:vAlign w:val="center"/>
          </w:tcPr>
          <w:p w14:paraId="1ADF20DB">
            <w:pPr>
              <w:jc w:val="center"/>
            </w:pPr>
            <w:r>
              <w:rPr>
                <w:rFonts w:hint="eastAsia"/>
              </w:rPr>
              <w:t>0</w:t>
            </w:r>
          </w:p>
        </w:tc>
      </w:tr>
    </w:tbl>
    <w:p w14:paraId="1ED10BA6"/>
    <w:p w14:paraId="437C0009">
      <w:pPr>
        <w:spacing w:line="560" w:lineRule="exact"/>
        <w:jc w:val="center"/>
        <w:rPr>
          <w:rFonts w:ascii="Arial" w:hAnsi="Arial" w:cs="Arial"/>
          <w:b/>
          <w:bCs/>
          <w:sz w:val="18"/>
          <w:szCs w:val="18"/>
        </w:rPr>
      </w:pPr>
      <w:r>
        <w:rPr>
          <w:rFonts w:ascii="Arial" w:hAnsi="Arial" w:cs="Arial"/>
          <w:b/>
          <w:bCs/>
          <w:sz w:val="18"/>
          <w:szCs w:val="18"/>
        </w:rPr>
        <w:t>表三：复议、诉讼及举报情况统计表</w:t>
      </w:r>
    </w:p>
    <w:tbl>
      <w:tblPr>
        <w:tblStyle w:val="8"/>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07"/>
        <w:gridCol w:w="1476"/>
        <w:gridCol w:w="2052"/>
      </w:tblGrid>
      <w:tr w14:paraId="0887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0" w:type="dxa"/>
              <w:bottom w:w="15" w:type="dxa"/>
              <w:right w:w="15" w:type="dxa"/>
            </w:tcMar>
          </w:tcPr>
          <w:p w14:paraId="000877DB">
            <w:pPr>
              <w:jc w:val="center"/>
            </w:pPr>
            <w:r>
              <w:rPr>
                <w:rFonts w:hint="eastAsia"/>
              </w:rPr>
              <w:t>统计指标</w:t>
            </w:r>
          </w:p>
        </w:tc>
        <w:tc>
          <w:tcPr>
            <w:tcW w:w="1476" w:type="dxa"/>
            <w:tcMar>
              <w:top w:w="90" w:type="dxa"/>
              <w:left w:w="0" w:type="dxa"/>
              <w:bottom w:w="15" w:type="dxa"/>
              <w:right w:w="15" w:type="dxa"/>
            </w:tcMar>
            <w:vAlign w:val="center"/>
          </w:tcPr>
          <w:p w14:paraId="33765DD1">
            <w:pPr>
              <w:jc w:val="center"/>
            </w:pPr>
            <w:r>
              <w:rPr>
                <w:rFonts w:hint="eastAsia"/>
              </w:rPr>
              <w:t>单位</w:t>
            </w:r>
          </w:p>
        </w:tc>
        <w:tc>
          <w:tcPr>
            <w:tcW w:w="2052" w:type="dxa"/>
            <w:tcMar>
              <w:top w:w="90" w:type="dxa"/>
              <w:left w:w="0" w:type="dxa"/>
              <w:bottom w:w="15" w:type="dxa"/>
              <w:right w:w="15" w:type="dxa"/>
            </w:tcMar>
            <w:vAlign w:val="center"/>
          </w:tcPr>
          <w:p w14:paraId="6CA36F78">
            <w:pPr>
              <w:jc w:val="center"/>
            </w:pPr>
            <w:r>
              <w:rPr>
                <w:rFonts w:hint="eastAsia"/>
              </w:rPr>
              <w:t>统计数</w:t>
            </w:r>
          </w:p>
        </w:tc>
      </w:tr>
      <w:tr w14:paraId="4F7C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0" w:type="dxa"/>
              <w:bottom w:w="15" w:type="dxa"/>
              <w:right w:w="15" w:type="dxa"/>
            </w:tcMar>
            <w:vAlign w:val="center"/>
          </w:tcPr>
          <w:p w14:paraId="6D4A3C98">
            <w:pPr>
              <w:ind w:firstLine="210" w:firstLineChars="100"/>
              <w:jc w:val="left"/>
            </w:pPr>
            <w:r>
              <w:rPr>
                <w:rFonts w:hint="eastAsia"/>
              </w:rPr>
              <w:t>行政复议数量</w:t>
            </w:r>
          </w:p>
        </w:tc>
        <w:tc>
          <w:tcPr>
            <w:tcW w:w="1476" w:type="dxa"/>
            <w:tcMar>
              <w:top w:w="90" w:type="dxa"/>
              <w:left w:w="0" w:type="dxa"/>
              <w:bottom w:w="15" w:type="dxa"/>
              <w:right w:w="15" w:type="dxa"/>
            </w:tcMar>
          </w:tcPr>
          <w:p w14:paraId="7EDD6452">
            <w:pPr>
              <w:jc w:val="center"/>
            </w:pPr>
            <w:r>
              <w:rPr>
                <w:rFonts w:hint="eastAsia"/>
              </w:rPr>
              <w:t>条</w:t>
            </w:r>
          </w:p>
        </w:tc>
        <w:tc>
          <w:tcPr>
            <w:tcW w:w="2052" w:type="dxa"/>
            <w:tcMar>
              <w:top w:w="90" w:type="dxa"/>
              <w:left w:w="0" w:type="dxa"/>
              <w:bottom w:w="15" w:type="dxa"/>
              <w:right w:w="15" w:type="dxa"/>
            </w:tcMar>
            <w:vAlign w:val="center"/>
          </w:tcPr>
          <w:p w14:paraId="5BB52A3F">
            <w:pPr>
              <w:jc w:val="center"/>
            </w:pPr>
            <w:r>
              <w:rPr>
                <w:rFonts w:hint="eastAsia"/>
              </w:rPr>
              <w:t>0</w:t>
            </w:r>
          </w:p>
        </w:tc>
      </w:tr>
      <w:tr w14:paraId="02B3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1CDB9439">
            <w:r>
              <w:rPr>
                <w:rFonts w:hint="eastAsia"/>
              </w:rPr>
              <w:t>（一）维持具体行政行为数</w:t>
            </w:r>
          </w:p>
        </w:tc>
        <w:tc>
          <w:tcPr>
            <w:tcW w:w="1476" w:type="dxa"/>
            <w:tcMar>
              <w:top w:w="90" w:type="dxa"/>
              <w:left w:w="0" w:type="dxa"/>
              <w:bottom w:w="15" w:type="dxa"/>
              <w:right w:w="15" w:type="dxa"/>
            </w:tcMar>
          </w:tcPr>
          <w:p w14:paraId="1A714954">
            <w:pPr>
              <w:jc w:val="center"/>
            </w:pPr>
            <w:r>
              <w:rPr>
                <w:rFonts w:hint="eastAsia"/>
              </w:rPr>
              <w:t>条</w:t>
            </w:r>
          </w:p>
        </w:tc>
        <w:tc>
          <w:tcPr>
            <w:tcW w:w="2052" w:type="dxa"/>
            <w:tcMar>
              <w:top w:w="90" w:type="dxa"/>
              <w:left w:w="0" w:type="dxa"/>
              <w:bottom w:w="15" w:type="dxa"/>
              <w:right w:w="15" w:type="dxa"/>
            </w:tcMar>
            <w:vAlign w:val="center"/>
          </w:tcPr>
          <w:p w14:paraId="60BB79CB">
            <w:pPr>
              <w:jc w:val="center"/>
            </w:pPr>
            <w:r>
              <w:rPr>
                <w:rFonts w:hint="eastAsia"/>
              </w:rPr>
              <w:t>0</w:t>
            </w:r>
          </w:p>
        </w:tc>
      </w:tr>
      <w:tr w14:paraId="3366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532DABD5">
            <w:r>
              <w:rPr>
                <w:rFonts w:hint="eastAsia"/>
              </w:rPr>
              <w:t>（二）被依法纠错数</w:t>
            </w:r>
          </w:p>
        </w:tc>
        <w:tc>
          <w:tcPr>
            <w:tcW w:w="1476" w:type="dxa"/>
            <w:tcMar>
              <w:top w:w="90" w:type="dxa"/>
              <w:left w:w="0" w:type="dxa"/>
              <w:bottom w:w="15" w:type="dxa"/>
              <w:right w:w="15" w:type="dxa"/>
            </w:tcMar>
          </w:tcPr>
          <w:p w14:paraId="526D8CBF">
            <w:pPr>
              <w:jc w:val="center"/>
            </w:pPr>
            <w:r>
              <w:rPr>
                <w:rFonts w:hint="eastAsia"/>
              </w:rPr>
              <w:t>条</w:t>
            </w:r>
          </w:p>
        </w:tc>
        <w:tc>
          <w:tcPr>
            <w:tcW w:w="2052" w:type="dxa"/>
            <w:tcMar>
              <w:top w:w="90" w:type="dxa"/>
              <w:left w:w="0" w:type="dxa"/>
              <w:bottom w:w="15" w:type="dxa"/>
              <w:right w:w="15" w:type="dxa"/>
            </w:tcMar>
            <w:vAlign w:val="center"/>
          </w:tcPr>
          <w:p w14:paraId="5CB1FCA4">
            <w:pPr>
              <w:jc w:val="center"/>
            </w:pPr>
            <w:r>
              <w:rPr>
                <w:rFonts w:hint="eastAsia"/>
              </w:rPr>
              <w:t>0</w:t>
            </w:r>
          </w:p>
        </w:tc>
      </w:tr>
      <w:tr w14:paraId="4565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2D435C5C">
            <w:r>
              <w:rPr>
                <w:rFonts w:hint="eastAsia"/>
              </w:rPr>
              <w:t>（三）其他情形数</w:t>
            </w:r>
          </w:p>
        </w:tc>
        <w:tc>
          <w:tcPr>
            <w:tcW w:w="1476" w:type="dxa"/>
            <w:tcMar>
              <w:top w:w="90" w:type="dxa"/>
              <w:left w:w="0" w:type="dxa"/>
              <w:bottom w:w="15" w:type="dxa"/>
              <w:right w:w="15" w:type="dxa"/>
            </w:tcMar>
          </w:tcPr>
          <w:p w14:paraId="7A30CAF4">
            <w:pPr>
              <w:jc w:val="center"/>
            </w:pPr>
            <w:r>
              <w:rPr>
                <w:rFonts w:hint="eastAsia"/>
              </w:rPr>
              <w:t>条</w:t>
            </w:r>
          </w:p>
        </w:tc>
        <w:tc>
          <w:tcPr>
            <w:tcW w:w="2052" w:type="dxa"/>
            <w:tcMar>
              <w:top w:w="90" w:type="dxa"/>
              <w:left w:w="0" w:type="dxa"/>
              <w:bottom w:w="15" w:type="dxa"/>
              <w:right w:w="15" w:type="dxa"/>
            </w:tcMar>
            <w:vAlign w:val="center"/>
          </w:tcPr>
          <w:p w14:paraId="3E8758D9">
            <w:pPr>
              <w:jc w:val="center"/>
            </w:pPr>
            <w:r>
              <w:rPr>
                <w:rFonts w:hint="eastAsia"/>
              </w:rPr>
              <w:t>0</w:t>
            </w:r>
          </w:p>
        </w:tc>
      </w:tr>
      <w:tr w14:paraId="0762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0" w:type="dxa"/>
              <w:bottom w:w="15" w:type="dxa"/>
              <w:right w:w="15" w:type="dxa"/>
            </w:tcMar>
            <w:vAlign w:val="center"/>
          </w:tcPr>
          <w:p w14:paraId="622128BF">
            <w:pPr>
              <w:ind w:firstLine="210" w:firstLineChars="100"/>
              <w:jc w:val="left"/>
            </w:pPr>
            <w:r>
              <w:rPr>
                <w:rFonts w:hint="eastAsia"/>
              </w:rPr>
              <w:t>行政诉讼数量</w:t>
            </w:r>
          </w:p>
        </w:tc>
        <w:tc>
          <w:tcPr>
            <w:tcW w:w="1476" w:type="dxa"/>
            <w:tcMar>
              <w:top w:w="90" w:type="dxa"/>
              <w:left w:w="0" w:type="dxa"/>
              <w:bottom w:w="15" w:type="dxa"/>
              <w:right w:w="15" w:type="dxa"/>
            </w:tcMar>
          </w:tcPr>
          <w:p w14:paraId="31D6CB36">
            <w:pPr>
              <w:jc w:val="center"/>
            </w:pPr>
            <w:r>
              <w:rPr>
                <w:rFonts w:hint="eastAsia"/>
              </w:rPr>
              <w:t>条</w:t>
            </w:r>
          </w:p>
        </w:tc>
        <w:tc>
          <w:tcPr>
            <w:tcW w:w="2052" w:type="dxa"/>
            <w:tcMar>
              <w:top w:w="90" w:type="dxa"/>
              <w:left w:w="0" w:type="dxa"/>
              <w:bottom w:w="15" w:type="dxa"/>
              <w:right w:w="15" w:type="dxa"/>
            </w:tcMar>
            <w:vAlign w:val="center"/>
          </w:tcPr>
          <w:p w14:paraId="5EBE3F60">
            <w:pPr>
              <w:jc w:val="center"/>
            </w:pPr>
            <w:r>
              <w:rPr>
                <w:rFonts w:hint="eastAsia"/>
              </w:rPr>
              <w:t>0</w:t>
            </w:r>
          </w:p>
        </w:tc>
      </w:tr>
      <w:tr w14:paraId="6FAA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52308666">
            <w:r>
              <w:rPr>
                <w:rFonts w:hint="eastAsia"/>
              </w:rPr>
              <w:t>（一）维持具体行政行为或者驳回原告诉讼请求数</w:t>
            </w:r>
          </w:p>
        </w:tc>
        <w:tc>
          <w:tcPr>
            <w:tcW w:w="1476" w:type="dxa"/>
            <w:tcMar>
              <w:top w:w="90" w:type="dxa"/>
              <w:left w:w="0" w:type="dxa"/>
              <w:bottom w:w="15" w:type="dxa"/>
              <w:right w:w="15" w:type="dxa"/>
            </w:tcMar>
          </w:tcPr>
          <w:p w14:paraId="7E3FDDF5">
            <w:pPr>
              <w:jc w:val="center"/>
            </w:pPr>
            <w:r>
              <w:rPr>
                <w:rFonts w:hint="eastAsia"/>
              </w:rPr>
              <w:t>条</w:t>
            </w:r>
          </w:p>
        </w:tc>
        <w:tc>
          <w:tcPr>
            <w:tcW w:w="2052" w:type="dxa"/>
            <w:tcMar>
              <w:top w:w="90" w:type="dxa"/>
              <w:left w:w="0" w:type="dxa"/>
              <w:bottom w:w="15" w:type="dxa"/>
              <w:right w:w="15" w:type="dxa"/>
            </w:tcMar>
            <w:vAlign w:val="center"/>
          </w:tcPr>
          <w:p w14:paraId="442E6E30">
            <w:pPr>
              <w:jc w:val="center"/>
            </w:pPr>
            <w:r>
              <w:rPr>
                <w:rFonts w:hint="eastAsia"/>
              </w:rPr>
              <w:t>0</w:t>
            </w:r>
          </w:p>
        </w:tc>
      </w:tr>
      <w:tr w14:paraId="27A2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4D7A2049">
            <w:r>
              <w:rPr>
                <w:rFonts w:hint="eastAsia"/>
              </w:rPr>
              <w:t>（二）被依法纠错数</w:t>
            </w:r>
          </w:p>
        </w:tc>
        <w:tc>
          <w:tcPr>
            <w:tcW w:w="1476" w:type="dxa"/>
            <w:tcMar>
              <w:top w:w="90" w:type="dxa"/>
              <w:left w:w="0" w:type="dxa"/>
              <w:bottom w:w="15" w:type="dxa"/>
              <w:right w:w="15" w:type="dxa"/>
            </w:tcMar>
          </w:tcPr>
          <w:p w14:paraId="3DD229AA">
            <w:pPr>
              <w:jc w:val="center"/>
            </w:pPr>
            <w:r>
              <w:rPr>
                <w:rFonts w:hint="eastAsia"/>
              </w:rPr>
              <w:t>条</w:t>
            </w:r>
          </w:p>
        </w:tc>
        <w:tc>
          <w:tcPr>
            <w:tcW w:w="2052" w:type="dxa"/>
            <w:tcMar>
              <w:top w:w="90" w:type="dxa"/>
              <w:left w:w="0" w:type="dxa"/>
              <w:bottom w:w="15" w:type="dxa"/>
              <w:right w:w="15" w:type="dxa"/>
            </w:tcMar>
            <w:vAlign w:val="center"/>
          </w:tcPr>
          <w:p w14:paraId="7408024B">
            <w:pPr>
              <w:jc w:val="center"/>
            </w:pPr>
            <w:r>
              <w:rPr>
                <w:rFonts w:hint="eastAsia"/>
              </w:rPr>
              <w:t>0</w:t>
            </w:r>
          </w:p>
        </w:tc>
      </w:tr>
      <w:tr w14:paraId="00EA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255" w:type="dxa"/>
              <w:bottom w:w="15" w:type="dxa"/>
              <w:right w:w="15" w:type="dxa"/>
            </w:tcMar>
            <w:vAlign w:val="center"/>
          </w:tcPr>
          <w:p w14:paraId="67F0FB96">
            <w:r>
              <w:rPr>
                <w:rFonts w:hint="eastAsia"/>
              </w:rPr>
              <w:t>（三）其他情形数</w:t>
            </w:r>
          </w:p>
        </w:tc>
        <w:tc>
          <w:tcPr>
            <w:tcW w:w="1476" w:type="dxa"/>
            <w:tcMar>
              <w:top w:w="90" w:type="dxa"/>
              <w:left w:w="0" w:type="dxa"/>
              <w:bottom w:w="15" w:type="dxa"/>
              <w:right w:w="15" w:type="dxa"/>
            </w:tcMar>
          </w:tcPr>
          <w:p w14:paraId="1BB22CBB">
            <w:pPr>
              <w:jc w:val="center"/>
            </w:pPr>
            <w:r>
              <w:rPr>
                <w:rFonts w:hint="eastAsia"/>
              </w:rPr>
              <w:t>条</w:t>
            </w:r>
          </w:p>
        </w:tc>
        <w:tc>
          <w:tcPr>
            <w:tcW w:w="2052" w:type="dxa"/>
            <w:tcMar>
              <w:top w:w="90" w:type="dxa"/>
              <w:left w:w="0" w:type="dxa"/>
              <w:bottom w:w="15" w:type="dxa"/>
              <w:right w:w="15" w:type="dxa"/>
            </w:tcMar>
            <w:vAlign w:val="center"/>
          </w:tcPr>
          <w:p w14:paraId="12330793">
            <w:pPr>
              <w:jc w:val="center"/>
            </w:pPr>
            <w:r>
              <w:rPr>
                <w:rFonts w:hint="eastAsia"/>
              </w:rPr>
              <w:t>0</w:t>
            </w:r>
          </w:p>
        </w:tc>
      </w:tr>
      <w:tr w14:paraId="69F9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07" w:type="dxa"/>
            <w:tcMar>
              <w:top w:w="90" w:type="dxa"/>
              <w:left w:w="0" w:type="dxa"/>
              <w:bottom w:w="15" w:type="dxa"/>
              <w:right w:w="15" w:type="dxa"/>
            </w:tcMar>
            <w:vAlign w:val="center"/>
          </w:tcPr>
          <w:p w14:paraId="0978C751">
            <w:pPr>
              <w:ind w:firstLine="210" w:firstLineChars="100"/>
              <w:jc w:val="left"/>
            </w:pPr>
            <w:r>
              <w:rPr>
                <w:rFonts w:hint="eastAsia"/>
              </w:rPr>
              <w:t>举报投诉数量</w:t>
            </w:r>
          </w:p>
        </w:tc>
        <w:tc>
          <w:tcPr>
            <w:tcW w:w="1476" w:type="dxa"/>
            <w:tcMar>
              <w:top w:w="90" w:type="dxa"/>
              <w:left w:w="0" w:type="dxa"/>
              <w:bottom w:w="15" w:type="dxa"/>
              <w:right w:w="15" w:type="dxa"/>
            </w:tcMar>
          </w:tcPr>
          <w:p w14:paraId="3B0A45BB">
            <w:pPr>
              <w:jc w:val="center"/>
            </w:pPr>
            <w:r>
              <w:rPr>
                <w:rFonts w:hint="eastAsia"/>
              </w:rPr>
              <w:t>条</w:t>
            </w:r>
          </w:p>
        </w:tc>
        <w:tc>
          <w:tcPr>
            <w:tcW w:w="2052" w:type="dxa"/>
            <w:tcMar>
              <w:top w:w="90" w:type="dxa"/>
              <w:left w:w="0" w:type="dxa"/>
              <w:bottom w:w="15" w:type="dxa"/>
              <w:right w:w="15" w:type="dxa"/>
            </w:tcMar>
            <w:vAlign w:val="center"/>
          </w:tcPr>
          <w:p w14:paraId="5246AC18">
            <w:pPr>
              <w:jc w:val="center"/>
            </w:pPr>
            <w:r>
              <w:rPr>
                <w:rFonts w:hint="eastAsia"/>
              </w:rPr>
              <w:t>0</w:t>
            </w:r>
          </w:p>
        </w:tc>
      </w:tr>
    </w:tbl>
    <w:p w14:paraId="19C4F1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大宋简">
    <w:altName w:val="Arial"/>
    <w:panose1 w:val="00000000000000000000"/>
    <w:charset w:val="00"/>
    <w:family w:val="swiss"/>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otum">
    <w:altName w:val="NanumSquare"/>
    <w:panose1 w:val="020B0600000101010101"/>
    <w:charset w:val="81"/>
    <w:family w:val="swiss"/>
    <w:pitch w:val="default"/>
    <w:sig w:usb0="00000000" w:usb1="00000000" w:usb2="00000030" w:usb3="00000000" w:csb0="0008009F" w:csb1="00000000"/>
  </w:font>
  <w:font w:name="NanumSquare">
    <w:panose1 w:val="020B0600000101010101"/>
    <w:charset w:val="81"/>
    <w:family w:val="auto"/>
    <w:pitch w:val="default"/>
    <w:sig w:usb0="00000203" w:usb1="21D12C10" w:usb2="00000010" w:usb3="00000000" w:csb0="00280005"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C2"/>
    <w:rsid w:val="00001F1D"/>
    <w:rsid w:val="00012DC7"/>
    <w:rsid w:val="00035636"/>
    <w:rsid w:val="00063DC2"/>
    <w:rsid w:val="000D1395"/>
    <w:rsid w:val="000D60B0"/>
    <w:rsid w:val="00125D16"/>
    <w:rsid w:val="00143A21"/>
    <w:rsid w:val="00193570"/>
    <w:rsid w:val="001943FA"/>
    <w:rsid w:val="001A4925"/>
    <w:rsid w:val="00232C0F"/>
    <w:rsid w:val="00243B80"/>
    <w:rsid w:val="00264A9E"/>
    <w:rsid w:val="00272A65"/>
    <w:rsid w:val="002A6217"/>
    <w:rsid w:val="002D79BA"/>
    <w:rsid w:val="002E55B3"/>
    <w:rsid w:val="004010A6"/>
    <w:rsid w:val="00402A95"/>
    <w:rsid w:val="00430293"/>
    <w:rsid w:val="00434021"/>
    <w:rsid w:val="004523ED"/>
    <w:rsid w:val="004570A3"/>
    <w:rsid w:val="004B4A1A"/>
    <w:rsid w:val="004D3D4F"/>
    <w:rsid w:val="004F303A"/>
    <w:rsid w:val="005053C4"/>
    <w:rsid w:val="005167CA"/>
    <w:rsid w:val="00517D8B"/>
    <w:rsid w:val="005278D4"/>
    <w:rsid w:val="00531E2C"/>
    <w:rsid w:val="00533F3F"/>
    <w:rsid w:val="005413AD"/>
    <w:rsid w:val="005526DC"/>
    <w:rsid w:val="00584674"/>
    <w:rsid w:val="006542EC"/>
    <w:rsid w:val="00654A16"/>
    <w:rsid w:val="006B318C"/>
    <w:rsid w:val="006C6704"/>
    <w:rsid w:val="007444D0"/>
    <w:rsid w:val="00760D15"/>
    <w:rsid w:val="007F3977"/>
    <w:rsid w:val="00833FDC"/>
    <w:rsid w:val="008353BC"/>
    <w:rsid w:val="0087463D"/>
    <w:rsid w:val="00891505"/>
    <w:rsid w:val="008A4006"/>
    <w:rsid w:val="008C6120"/>
    <w:rsid w:val="00927036"/>
    <w:rsid w:val="00931BB2"/>
    <w:rsid w:val="00937F95"/>
    <w:rsid w:val="00942B8F"/>
    <w:rsid w:val="0094525C"/>
    <w:rsid w:val="009979D5"/>
    <w:rsid w:val="009C18AF"/>
    <w:rsid w:val="00A17A6F"/>
    <w:rsid w:val="00A97719"/>
    <w:rsid w:val="00AA307B"/>
    <w:rsid w:val="00AE2BA7"/>
    <w:rsid w:val="00B45E9F"/>
    <w:rsid w:val="00B944C2"/>
    <w:rsid w:val="00B963EB"/>
    <w:rsid w:val="00C14E2D"/>
    <w:rsid w:val="00C67C2D"/>
    <w:rsid w:val="00D33D00"/>
    <w:rsid w:val="00D633A5"/>
    <w:rsid w:val="00D75D4A"/>
    <w:rsid w:val="00D85FE5"/>
    <w:rsid w:val="00DC3ABA"/>
    <w:rsid w:val="00E92C6E"/>
    <w:rsid w:val="00EE5E44"/>
    <w:rsid w:val="00F35130"/>
    <w:rsid w:val="00F76C25"/>
    <w:rsid w:val="00F84E3A"/>
    <w:rsid w:val="00FC47B5"/>
    <w:rsid w:val="00FF70CC"/>
    <w:rsid w:val="BF57B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8"/>
    <w:qFormat/>
    <w:uiPriority w:val="9"/>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suppressAutoHyphens/>
      <w:jc w:val="center"/>
    </w:pPr>
    <w:rPr>
      <w:rFonts w:ascii="方正小标宋简体" w:hAnsi="汉仪大宋简" w:eastAsia="方正小标宋简体"/>
      <w:color w:val="000000"/>
      <w:kern w:val="0"/>
      <w:sz w:val="44"/>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single"/>
    </w:rPr>
  </w:style>
  <w:style w:type="character" w:customStyle="1" w:styleId="11">
    <w:name w:val="正文文本 Char"/>
    <w:basedOn w:val="9"/>
    <w:link w:val="3"/>
    <w:qFormat/>
    <w:uiPriority w:val="0"/>
    <w:rPr>
      <w:rFonts w:ascii="方正小标宋简体" w:hAnsi="汉仪大宋简" w:eastAsia="方正小标宋简体" w:cs="Times New Roman"/>
      <w:color w:val="000000"/>
      <w:kern w:val="0"/>
      <w:sz w:val="44"/>
      <w:szCs w:val="20"/>
    </w:rPr>
  </w:style>
  <w:style w:type="paragraph" w:styleId="12">
    <w:name w:val="List Paragraph"/>
    <w:basedOn w:val="1"/>
    <w:qFormat/>
    <w:uiPriority w:val="34"/>
    <w:pPr>
      <w:ind w:firstLine="420" w:firstLineChars="200"/>
    </w:pPr>
  </w:style>
  <w:style w:type="paragraph" w:customStyle="1" w:styleId="13">
    <w:name w:val="Char Char Char Char"/>
    <w:basedOn w:val="1"/>
    <w:qFormat/>
    <w:uiPriority w:val="0"/>
    <w:rPr>
      <w:rFonts w:ascii="宋体" w:hAnsi="宋体" w:cs="Courier New"/>
      <w:sz w:val="32"/>
      <w:szCs w:val="32"/>
    </w:rPr>
  </w:style>
  <w:style w:type="character" w:customStyle="1" w:styleId="14">
    <w:name w:val="页眉 Char"/>
    <w:basedOn w:val="9"/>
    <w:link w:val="6"/>
    <w:qFormat/>
    <w:uiPriority w:val="99"/>
    <w:rPr>
      <w:rFonts w:ascii="Times New Roman" w:hAnsi="Times New Roman" w:eastAsia="宋体" w:cs="Times New Roman"/>
      <w:sz w:val="18"/>
      <w:szCs w:val="18"/>
    </w:rPr>
  </w:style>
  <w:style w:type="character" w:customStyle="1" w:styleId="15">
    <w:name w:val="页脚 Char"/>
    <w:basedOn w:val="9"/>
    <w:link w:val="5"/>
    <w:qFormat/>
    <w:uiPriority w:val="99"/>
    <w:rPr>
      <w:rFonts w:ascii="Times New Roman" w:hAnsi="Times New Roman" w:eastAsia="宋体" w:cs="Times New Roman"/>
      <w:sz w:val="18"/>
      <w:szCs w:val="18"/>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标题 1 Char"/>
    <w:basedOn w:val="9"/>
    <w:link w:val="2"/>
    <w:qFormat/>
    <w:uiPriority w:val="9"/>
    <w:rPr>
      <w:rFonts w:ascii="宋体" w:hAnsi="宋体" w:eastAsia="宋体" w:cs="宋体"/>
      <w:b/>
      <w:bCs/>
      <w:color w:val="052B74"/>
      <w:kern w:val="36"/>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主动公开情况</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主动公开情况</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53.85%</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46.15%</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政府信息</c:v>
                </c:pt>
                <c:pt idx="1">
                  <c:v>重点领域（财政预算决算、“三公经费”和行政经费）</c:v>
                </c:pt>
              </c:strCache>
            </c:strRef>
          </c:cat>
          <c:val>
            <c:numRef>
              <c:f>Sheet1!$B$2:$B$3</c:f>
              <c:numCache>
                <c:formatCode>General</c:formatCode>
                <c:ptCount val="2"/>
                <c:pt idx="0">
                  <c:v>7</c:v>
                </c:pt>
                <c:pt idx="1">
                  <c:v>6</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142184b-a79c-4152-b14f-55352fa12714}"/>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572</Words>
  <Characters>3263</Characters>
  <Lines>27</Lines>
  <Paragraphs>7</Paragraphs>
  <TotalTime>207</TotalTime>
  <ScaleCrop>false</ScaleCrop>
  <LinksUpToDate>false</LinksUpToDate>
  <CharactersWithSpaces>3828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2015-03-19T17:09:00Z</dcterms:created>
  <dc:creator>Lenovo User</dc:creator>
  <cp:lastModifiedBy>Xiao谁</cp:lastModifiedBy>
  <cp:lastPrinted>2016-01-25T08:53:00Z</cp:lastPrinted>
  <dcterms:modified xsi:type="dcterms:W3CDTF">2025-03-10T17:09:09Z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97A8CF68B38982CE35ACCE674B48A4C4_42</vt:lpwstr>
  </property>
</Properties>
</file>