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宋体" w:eastAsia="宋体" w:hAnsi="宋体"/>
          <w:b/>
          <w:color w:val="auto"/>
          <w:sz w:val="36"/>
          <w:szCs w:val="36"/>
        </w:rPr>
      </w:pPr>
      <w:bookmarkStart w:id="0" w:name="OLE_LINK1"/>
      <w:bookmarkStart w:id="1" w:name="OLE_LINK2"/>
      <w:bookmarkStart w:id="2" w:name="_GoBack"/>
      <w:r>
        <w:rPr>
          <w:rFonts w:ascii="宋体" w:eastAsia="宋体" w:hAnsi="宋体" w:hint="eastAsia"/>
          <w:b/>
          <w:color w:val="auto"/>
          <w:sz w:val="36"/>
          <w:szCs w:val="36"/>
        </w:rPr>
        <w:t>2012年丰台区司法局政府信息公开工作年度报告</w:t>
      </w:r>
      <w:bookmarkEnd w:id="0"/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jc w:val="both"/>
        <w:rPr>
          <w:rFonts w:ascii="华文中宋" w:eastAsia="华文中宋" w:hAnsi="华文中宋"/>
          <w:b/>
          <w:color w:val="auto"/>
          <w:szCs w:val="44"/>
        </w:rPr>
      </w:pPr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楷体_GB2312" w:eastAsia="楷体_GB2312" w:hAnsi="华文中宋"/>
          <w:color w:val="auto"/>
          <w:sz w:val="30"/>
          <w:szCs w:val="30"/>
        </w:rPr>
      </w:pPr>
      <w:r>
        <w:rPr>
          <w:rFonts w:ascii="楷体_GB2312" w:eastAsia="楷体_GB2312" w:hAnsi="华文中宋" w:hint="eastAsia"/>
          <w:color w:val="auto"/>
          <w:sz w:val="30"/>
          <w:szCs w:val="30"/>
        </w:rPr>
        <w:t>北京市丰台区司法局</w:t>
      </w:r>
    </w:p>
    <w:p w:rsidR="00DE19CF" w:rsidRDefault="00DE19CF" w:rsidP="00DE19CF">
      <w:pPr>
        <w:pStyle w:val="a5"/>
        <w:adjustRightInd w:val="0"/>
        <w:spacing w:beforeLines="100" w:before="312" w:afterLines="100" w:after="312" w:line="560" w:lineRule="exact"/>
        <w:rPr>
          <w:rFonts w:ascii="楷体_GB2312" w:eastAsia="楷体_GB2312" w:hAnsi="华文中宋"/>
          <w:color w:val="auto"/>
          <w:sz w:val="30"/>
          <w:szCs w:val="30"/>
        </w:rPr>
      </w:pPr>
      <w:r>
        <w:rPr>
          <w:rFonts w:ascii="楷体_GB2312" w:eastAsia="楷体_GB2312" w:hAnsi="华文中宋" w:hint="eastAsia"/>
          <w:color w:val="auto"/>
          <w:sz w:val="30"/>
          <w:szCs w:val="30"/>
        </w:rPr>
        <w:t>二</w:t>
      </w:r>
      <w:r>
        <w:rPr>
          <w:rFonts w:ascii="楷体_GB2312" w:eastAsia="宋体" w:hAnsi="宋体" w:cs="宋体" w:hint="eastAsia"/>
          <w:color w:val="auto"/>
          <w:sz w:val="30"/>
          <w:szCs w:val="30"/>
        </w:rPr>
        <w:t>〇</w:t>
      </w:r>
      <w:r>
        <w:rPr>
          <w:rFonts w:ascii="楷体_GB2312" w:eastAsia="楷体_GB2312" w:hAnsi="Dotum" w:cs="Dotum" w:hint="eastAsia"/>
          <w:color w:val="auto"/>
          <w:sz w:val="30"/>
          <w:szCs w:val="30"/>
        </w:rPr>
        <w:t>一二年十二月</w:t>
      </w:r>
    </w:p>
    <w:p w:rsidR="00DE19CF" w:rsidRDefault="00DE19CF" w:rsidP="00DE19CF"/>
    <w:p w:rsidR="00DE19CF" w:rsidRDefault="00DE19CF" w:rsidP="00DE19C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E19CF">
        <w:rPr>
          <w:rFonts w:ascii="仿宋_GB2312" w:eastAsia="仿宋_GB2312" w:hAnsi="宋体" w:hint="eastAsia"/>
          <w:sz w:val="32"/>
          <w:szCs w:val="32"/>
        </w:rPr>
        <w:t>本报告是根据《中华人民共和国政府信息公开条例》（以下简称《条例》）要求，由北京市丰台区司法局编制的2012年度政务信息公开年度报告。</w:t>
      </w:r>
    </w:p>
    <w:p w:rsidR="00DE19CF" w:rsidRDefault="00DE19CF" w:rsidP="00DE19C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E19CF">
        <w:rPr>
          <w:rFonts w:ascii="仿宋_GB2312" w:eastAsia="仿宋_GB2312" w:hAnsi="宋体" w:hint="eastAsia"/>
          <w:sz w:val="32"/>
          <w:szCs w:val="32"/>
        </w:rPr>
        <w:t>全文包括概述，主动公开政府信息的情况，依申请公开政府信息和不予公开政府信息的情况，因政府信息公开申请行政复议、提起行政诉讼的情况，政府信息公开工作存在不足及改进措施。</w:t>
      </w:r>
    </w:p>
    <w:p w:rsidR="00DE19CF" w:rsidRPr="00DE19CF" w:rsidRDefault="00DE19CF" w:rsidP="00DE19C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E19CF">
        <w:rPr>
          <w:rFonts w:ascii="仿宋_GB2312" w:eastAsia="仿宋_GB2312" w:hAnsi="宋体" w:hint="eastAsia"/>
          <w:sz w:val="32"/>
          <w:szCs w:val="32"/>
        </w:rPr>
        <w:t>本报告中所列数据的统计期限自2012年1月1日起，至2012年12月31日止。本报告的电子版可在“首都之窗”门户网站（http://www.beijing.gov.cn/）下载。由于篇幅所限，如对报告有任何疑问，请与丰台区司法局办公室联系（地址：北京市</w:t>
      </w:r>
      <w:proofErr w:type="gramStart"/>
      <w:r w:rsidRPr="00DE19CF">
        <w:rPr>
          <w:rFonts w:ascii="仿宋_GB2312" w:eastAsia="仿宋_GB2312" w:hAnsi="宋体" w:hint="eastAsia"/>
          <w:sz w:val="32"/>
          <w:szCs w:val="32"/>
        </w:rPr>
        <w:t>丰台区丰北路</w:t>
      </w:r>
      <w:proofErr w:type="gramEnd"/>
      <w:r w:rsidRPr="00DE19CF">
        <w:rPr>
          <w:rFonts w:ascii="仿宋_GB2312" w:eastAsia="仿宋_GB2312" w:hAnsi="宋体" w:hint="eastAsia"/>
          <w:sz w:val="32"/>
          <w:szCs w:val="32"/>
        </w:rPr>
        <w:t>75号；邮编：100161；联系电话：63813854；电子邮箱：sfjbgs@263.net）。</w:t>
      </w:r>
    </w:p>
    <w:p w:rsidR="00DE19CF" w:rsidRPr="00DE19CF" w:rsidRDefault="00DE19CF" w:rsidP="00DE19CF">
      <w:pPr>
        <w:widowControl/>
        <w:spacing w:line="560" w:lineRule="exact"/>
        <w:ind w:firstLineChars="200" w:firstLine="592"/>
        <w:rPr>
          <w:rFonts w:ascii="仿宋_GB2312" w:eastAsia="仿宋_GB2312" w:hAnsi="宋体" w:cs="宋体"/>
          <w:spacing w:val="-12"/>
          <w:kern w:val="15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E19CF" w:rsidRDefault="00DE19CF" w:rsidP="00DE19CF">
      <w:pPr>
        <w:spacing w:line="560" w:lineRule="exact"/>
        <w:ind w:firstLineChars="200" w:firstLine="600"/>
        <w:rPr>
          <w:sz w:val="30"/>
          <w:szCs w:val="30"/>
        </w:rPr>
      </w:pPr>
      <w:r w:rsidRPr="00DE19CF">
        <w:rPr>
          <w:rFonts w:hint="eastAsia"/>
          <w:sz w:val="30"/>
          <w:szCs w:val="30"/>
        </w:rPr>
        <w:t xml:space="preserve">This report is prepared according to the requirement of the Decree of Government Information Openness of the PRC and annual reports by the </w:t>
      </w:r>
      <w:proofErr w:type="spellStart"/>
      <w:r w:rsidRPr="00DE19CF">
        <w:rPr>
          <w:rFonts w:hint="eastAsia"/>
          <w:sz w:val="30"/>
          <w:szCs w:val="30"/>
        </w:rPr>
        <w:t>Fengtai</w:t>
      </w:r>
      <w:proofErr w:type="spellEnd"/>
      <w:r w:rsidRPr="00DE19CF">
        <w:rPr>
          <w:rFonts w:hint="eastAsia"/>
          <w:sz w:val="30"/>
          <w:szCs w:val="30"/>
        </w:rPr>
        <w:t xml:space="preserve"> District, Beijing Bureau of Ju</w:t>
      </w:r>
      <w:r>
        <w:rPr>
          <w:rFonts w:hint="eastAsia"/>
          <w:sz w:val="30"/>
          <w:szCs w:val="30"/>
        </w:rPr>
        <w:t xml:space="preserve">stice on information openness. </w:t>
      </w:r>
    </w:p>
    <w:p w:rsidR="00DE19CF" w:rsidRDefault="00DE19CF" w:rsidP="00DE19CF">
      <w:pPr>
        <w:spacing w:line="560" w:lineRule="exact"/>
        <w:ind w:firstLineChars="200" w:firstLine="600"/>
        <w:rPr>
          <w:sz w:val="30"/>
          <w:szCs w:val="30"/>
        </w:rPr>
      </w:pPr>
      <w:r w:rsidRPr="00DE19CF">
        <w:rPr>
          <w:rFonts w:hint="eastAsia"/>
          <w:sz w:val="30"/>
          <w:szCs w:val="30"/>
        </w:rPr>
        <w:t>The text of the report includes the following content: summary, voluntary disclosure of government information, disclosure of government information upon request and non-disclosure of government information; application for administrative re-examination and initiated administrative proceedings due to disclosure of government information; and deficiencies of government information opennes</w:t>
      </w:r>
      <w:r>
        <w:rPr>
          <w:rFonts w:hint="eastAsia"/>
          <w:sz w:val="30"/>
          <w:szCs w:val="30"/>
        </w:rPr>
        <w:t>s and measures for improvement.</w:t>
      </w:r>
    </w:p>
    <w:p w:rsidR="00DE19CF" w:rsidRPr="00DE19CF" w:rsidRDefault="00DE19CF" w:rsidP="00DE19CF">
      <w:pPr>
        <w:spacing w:line="560" w:lineRule="exact"/>
        <w:ind w:firstLineChars="200" w:firstLine="600"/>
        <w:rPr>
          <w:sz w:val="30"/>
          <w:szCs w:val="30"/>
        </w:rPr>
      </w:pPr>
      <w:r w:rsidRPr="00DE19CF">
        <w:rPr>
          <w:rFonts w:hint="eastAsia"/>
          <w:sz w:val="30"/>
          <w:szCs w:val="30"/>
        </w:rPr>
        <w:t xml:space="preserve">The data listed in the report is collected from the period starting from January 1 2012 to December 31 2012. The report is available for download from http://www.beijing.gov.cn. For any enquiry to the report, please contact the </w:t>
      </w:r>
      <w:proofErr w:type="spellStart"/>
      <w:r w:rsidRPr="00DE19CF">
        <w:rPr>
          <w:rFonts w:hint="eastAsia"/>
          <w:sz w:val="30"/>
          <w:szCs w:val="30"/>
        </w:rPr>
        <w:t>Fengtai</w:t>
      </w:r>
      <w:proofErr w:type="spellEnd"/>
      <w:r w:rsidRPr="00DE19CF">
        <w:rPr>
          <w:rFonts w:hint="eastAsia"/>
          <w:sz w:val="30"/>
          <w:szCs w:val="30"/>
        </w:rPr>
        <w:t xml:space="preserve"> District, Beijing Bureau of Justice. (Address: No. 75, North Street, </w:t>
      </w:r>
      <w:proofErr w:type="spellStart"/>
      <w:r w:rsidRPr="00DE19CF">
        <w:rPr>
          <w:rFonts w:hint="eastAsia"/>
          <w:sz w:val="30"/>
          <w:szCs w:val="30"/>
        </w:rPr>
        <w:t>Fengtai</w:t>
      </w:r>
      <w:proofErr w:type="spellEnd"/>
      <w:r w:rsidRPr="00DE19CF">
        <w:rPr>
          <w:rFonts w:hint="eastAsia"/>
          <w:sz w:val="30"/>
          <w:szCs w:val="30"/>
        </w:rPr>
        <w:t xml:space="preserve"> District, Beijing 100161, Tel: 010-63813854 Email: sfjbgs@263.net)</w:t>
      </w:r>
    </w:p>
    <w:p w:rsidR="00DE19CF" w:rsidRPr="00DE19CF" w:rsidRDefault="00DE19CF" w:rsidP="00DE19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/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一、概述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2012年，为进一步贯彻落实政府信息公开工作，实现丰台区司法行政工作制度化、透明化、规范化，在区委、区政府的正确领导和市司法局的指导下，围绕丰台区的发展建设，从人民群众的切身利益出发，全面贯彻落实政府信息公开工作，为建设服务型机关提供保障。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（一）制度健全是开展政府信息公开工作的基本保障。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继续贯彻和落实《中华人民共和国政府信息公开条例》，不断加大和改进政府信息公开力度，调整完善我局政府信息公开机制，明确职责分工、责任到人，做到一级抓一级，层层抓落实。调整和充实了政府信息公开领导小组，办公室负责组织协调，有专人落实各项具体工作，形成了上下相承、纵横衔接的组织领导体系。同时，根据《中华人民共和国政府信息公开条例》及相关法规、办法，按照市、区政府信息公开工作的要求和部署，结合司法行政工作实际，先后制定了《丰台区司法局政府信息公开工作制度（试行）》，认真对政府信息进行梳理，编制政府信息公开指南、年度工作报告，按照保密审查办法网上公开，确保了政府信息公开工作的统筹组织和有序开展。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（二）拓展公开平台是开展政府信息公开工作的有效途径。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我局不断拓展、丰富、完善信息公开的渠道和形式。一是大力推进网站建设。门户网站作为信息公开的一个重要渠道，保障网络畅通，推进网站建设，动态信息、便民事项随时网上公开。二是依托宣传媒体加大公开和群众监督力度,制度上墙、现场宣传，通过报纸、电视、广播等媒介，</w:t>
      </w:r>
      <w:proofErr w:type="gramStart"/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采用办</w:t>
      </w:r>
      <w:proofErr w:type="gramEnd"/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专题、专版等多种形式，将司法行政业务动态向群众广泛公开宣传，提高便民服务知晓率。三是广泛利用各种渠道和形式推进信息公开。积极推进基层法律服务站所建设，建立法律服务书屋，拉近与群众间的沟通距离，正确引导舆论，解答群众投诉和法律诉求。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（三）建立长效机制是开展政府信息公开工作的重要抓手。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自政府信息公开工作开展以来，我局分别就机构职能、法律法规、规范性文件等各类政府信息的清理、规范保密审查流程等常规工作进行安排；组织开展业务培训，系统地演示了政府信息公开操作流程。一是责任落实制。严格遵循“谁公开谁审查”“谁审查谁负责”“先审查后公开”的原则，将整理后的政府信息按照公开属性编入政府信息公开目录，落实保密审查办法及时进行网上公开，对于不予公开的信息建立预案，并以保密审查单的形式纸质留存。二是内部监管制。为由政府信息公开领导小组办公室和监察科共同监督执行，以定期自查和不定期抽查相结合的方式，确保政府信息公开办理程序的完整、规范，使各个环节紧密相扣，及时有效地进行公开，各项制度配套实施，做到工作运转有序。三是群众监督制。通过设立局长信箱、网上投诉，公开举报电话等方式，主动接受社会监督，认真解答来访来电咨询，及时解决群众反映问题。</w:t>
      </w: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二、主动公开情况</w:t>
      </w:r>
    </w:p>
    <w:p w:rsidR="00DE19CF" w:rsidRDefault="00DE19CF" w:rsidP="00DE19CF">
      <w:pPr>
        <w:widowControl/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DE19CF">
        <w:rPr>
          <w:rFonts w:ascii="仿宋_GB2312" w:eastAsia="仿宋_GB2312" w:hAnsi="华文中宋" w:hint="eastAsia"/>
          <w:sz w:val="32"/>
          <w:szCs w:val="32"/>
        </w:rPr>
        <w:t>按照《条例》有关规定，我局不断深化主动公开内容，拓展主动公开渠道，强化监督管理，扎实推进主动公开工作。开展了信息清理和目录编制工作，通过开通政务网站、电话应答系统，设立电子触摸屏、公示栏，发放法制宣传、法律援助便民手册，依托报刊媒体宣传等便于公众知晓的形式，多媒介、多渠道的主动向群众公开。</w:t>
      </w:r>
    </w:p>
    <w:p w:rsidR="00DE19CF" w:rsidRDefault="00DE19CF" w:rsidP="00DE19C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E19CF">
        <w:rPr>
          <w:rFonts w:ascii="仿宋_GB2312" w:eastAsia="仿宋_GB2312" w:hAnsi="华文中宋" w:hint="eastAsia"/>
          <w:sz w:val="32"/>
          <w:szCs w:val="32"/>
        </w:rPr>
        <w:t>2012年度，通过“首都之窗”政府信息公开专栏公开信息20条，其中全文电子化率达100%。在主动公开的信息中，机构职能类信息7，占总体的比例为35.0%；业务动态类信息13条，占总体的比例为65.00%。</w:t>
      </w: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三、依申请公开情况</w:t>
      </w:r>
    </w:p>
    <w:p w:rsidR="00DE19CF" w:rsidRDefault="00DE19CF" w:rsidP="00DE19CF">
      <w:pPr>
        <w:widowControl/>
        <w:spacing w:line="560" w:lineRule="exact"/>
        <w:ind w:firstLineChars="300" w:firstLine="960"/>
        <w:rPr>
          <w:rFonts w:ascii="仿宋_GB2312" w:eastAsia="仿宋_GB2312" w:hAnsi="宋体" w:cs="宋体"/>
          <w:kern w:val="0"/>
          <w:sz w:val="32"/>
          <w:szCs w:val="32"/>
        </w:rPr>
      </w:pPr>
      <w:r w:rsidRPr="00DE19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自《条例》实施以来，我局未接到公民、法人或者其他组织根据自身生产、生活、科研等特殊需求提出的政府信息公开申请。</w:t>
      </w: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四、复议、诉讼及举报情况</w:t>
      </w:r>
    </w:p>
    <w:p w:rsidR="00DE19CF" w:rsidRDefault="00DE19CF" w:rsidP="00DE19CF">
      <w:pPr>
        <w:widowControl/>
        <w:spacing w:line="560" w:lineRule="exact"/>
        <w:ind w:leftChars="76" w:left="160"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 w:rsidRPr="00DE19CF">
        <w:rPr>
          <w:rFonts w:ascii="仿宋_GB2312" w:eastAsia="仿宋_GB2312" w:hAnsi="宋体" w:cs="宋体" w:hint="eastAsia"/>
          <w:kern w:val="0"/>
          <w:sz w:val="32"/>
          <w:szCs w:val="32"/>
        </w:rPr>
        <w:t>目前，由于还未接到过相关行政复议和行政诉讼，该项工作内容主要是借鉴其他单位案例，不断完善相关制度和程序。</w:t>
      </w:r>
    </w:p>
    <w:p w:rsidR="00DE19CF" w:rsidRDefault="00DE19CF" w:rsidP="00DE19C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五、存在的不足及改进措施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50" w:firstLine="80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近年来，丰台区司法局局的政府信息公开工作取得了明显的成效，但还需要不断加强，努力推进。随着政府信息公开工作的不断深入推进，我们感到工作中存在着一些不足：一是网上办事功能不够完善；二公开内容的严谨性和公开形式的便民性有待进一步提高；三是网上互动不够经常；四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是</w:t>
      </w: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政府部门的责任意识和群众参与度仍有待进一步加强和深化。</w:t>
      </w:r>
    </w:p>
    <w:p w:rsidR="00DE19CF" w:rsidRDefault="00DE19CF" w:rsidP="00DE19CF">
      <w:pPr>
        <w:pStyle w:val="a4"/>
        <w:spacing w:before="0" w:beforeAutospacing="0" w:after="0" w:afterAutospacing="0"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DE19CF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下一步我们要进一步转变观念、加大政府信息公开工作力度，深化信息公开内容，扩大公开范围，拓展公开渠道，更加注重过程公开，更加注重权力运行公开，更加注重互动交流，推动信息公开工作深化发展。</w:t>
      </w:r>
    </w:p>
    <w:p w:rsidR="00DE19CF" w:rsidRDefault="00DE19CF" w:rsidP="00DE19CF">
      <w:pPr>
        <w:pStyle w:val="a4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E19CF" w:rsidRDefault="00DE19CF" w:rsidP="00DE19CF">
      <w:pPr>
        <w:pStyle w:val="a4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bookmarkEnd w:id="1"/>
    <w:bookmarkEnd w:id="2"/>
    <w:p w:rsidR="00B973E4" w:rsidRDefault="00B973E4"/>
    <w:sectPr w:rsidR="00B9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大宋简">
    <w:altName w:val="Arial"/>
    <w:charset w:val="00"/>
    <w:family w:val="swiss"/>
    <w:pitch w:val="variable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2F7B"/>
    <w:multiLevelType w:val="hybridMultilevel"/>
    <w:tmpl w:val="8AB2514A"/>
    <w:lvl w:ilvl="0" w:tplc="506EED3A">
      <w:start w:val="1"/>
      <w:numFmt w:val="japaneseCounting"/>
      <w:lvlText w:val="（%1）"/>
      <w:lvlJc w:val="left"/>
      <w:pPr>
        <w:ind w:left="1720" w:hanging="108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08"/>
    <w:rsid w:val="009A2FC3"/>
    <w:rsid w:val="00B973E4"/>
    <w:rsid w:val="00CE405D"/>
    <w:rsid w:val="00D26D08"/>
    <w:rsid w:val="00D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9CF"/>
    <w:rPr>
      <w:color w:val="0000FF"/>
      <w:u w:val="single"/>
    </w:rPr>
  </w:style>
  <w:style w:type="paragraph" w:styleId="a4">
    <w:name w:val="Normal (Web)"/>
    <w:basedOn w:val="a"/>
    <w:semiHidden/>
    <w:unhideWhenUsed/>
    <w:rsid w:val="00DE1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"/>
    <w:basedOn w:val="a"/>
    <w:link w:val="Char"/>
    <w:semiHidden/>
    <w:unhideWhenUsed/>
    <w:rsid w:val="00DE19CF"/>
    <w:pPr>
      <w:suppressAutoHyphens/>
      <w:jc w:val="center"/>
    </w:pPr>
    <w:rPr>
      <w:rFonts w:ascii="方正小标宋简体" w:eastAsia="方正小标宋简体" w:hAnsi="汉仪大宋简"/>
      <w:color w:val="000000"/>
      <w:kern w:val="0"/>
      <w:sz w:val="44"/>
      <w:szCs w:val="20"/>
    </w:rPr>
  </w:style>
  <w:style w:type="character" w:customStyle="1" w:styleId="Char">
    <w:name w:val="正文文本 Char"/>
    <w:basedOn w:val="a0"/>
    <w:link w:val="a5"/>
    <w:semiHidden/>
    <w:rsid w:val="00DE19CF"/>
    <w:rPr>
      <w:rFonts w:ascii="方正小标宋简体" w:eastAsia="方正小标宋简体" w:hAnsi="汉仪大宋简" w:cs="Times New Roman"/>
      <w:color w:val="000000"/>
      <w:kern w:val="0"/>
      <w:sz w:val="44"/>
      <w:szCs w:val="20"/>
    </w:rPr>
  </w:style>
  <w:style w:type="paragraph" w:styleId="a6">
    <w:name w:val="List Paragraph"/>
    <w:basedOn w:val="a"/>
    <w:uiPriority w:val="34"/>
    <w:qFormat/>
    <w:rsid w:val="00DE19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9CF"/>
    <w:rPr>
      <w:color w:val="0000FF"/>
      <w:u w:val="single"/>
    </w:rPr>
  </w:style>
  <w:style w:type="paragraph" w:styleId="a4">
    <w:name w:val="Normal (Web)"/>
    <w:basedOn w:val="a"/>
    <w:semiHidden/>
    <w:unhideWhenUsed/>
    <w:rsid w:val="00DE19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"/>
    <w:basedOn w:val="a"/>
    <w:link w:val="Char"/>
    <w:semiHidden/>
    <w:unhideWhenUsed/>
    <w:rsid w:val="00DE19CF"/>
    <w:pPr>
      <w:suppressAutoHyphens/>
      <w:jc w:val="center"/>
    </w:pPr>
    <w:rPr>
      <w:rFonts w:ascii="方正小标宋简体" w:eastAsia="方正小标宋简体" w:hAnsi="汉仪大宋简"/>
      <w:color w:val="000000"/>
      <w:kern w:val="0"/>
      <w:sz w:val="44"/>
      <w:szCs w:val="20"/>
    </w:rPr>
  </w:style>
  <w:style w:type="character" w:customStyle="1" w:styleId="Char">
    <w:name w:val="正文文本 Char"/>
    <w:basedOn w:val="a0"/>
    <w:link w:val="a5"/>
    <w:semiHidden/>
    <w:rsid w:val="00DE19CF"/>
    <w:rPr>
      <w:rFonts w:ascii="方正小标宋简体" w:eastAsia="方正小标宋简体" w:hAnsi="汉仪大宋简" w:cs="Times New Roman"/>
      <w:color w:val="000000"/>
      <w:kern w:val="0"/>
      <w:sz w:val="44"/>
      <w:szCs w:val="20"/>
    </w:rPr>
  </w:style>
  <w:style w:type="paragraph" w:styleId="a6">
    <w:name w:val="List Paragraph"/>
    <w:basedOn w:val="a"/>
    <w:uiPriority w:val="34"/>
    <w:qFormat/>
    <w:rsid w:val="00DE19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DCE4-FB81-482E-BC1F-10599262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1353</Words>
  <Characters>1854</Characters>
  <Application>Microsoft Office Word</Application>
  <DocSecurity>0</DocSecurity>
  <Lines>97</Lines>
  <Paragraphs>28</Paragraphs>
  <ScaleCrop>false</ScaleCrop>
  <Company>Lenovo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2018-02-28T02:29:00Z</dcterms:created>
  <dcterms:modified xsi:type="dcterms:W3CDTF">2018-02-28T03:03:00Z</dcterms:modified>
</cp:coreProperties>
</file>