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ascii="方正小标宋简体" w:hAnsi="宋体" w:eastAsia="方正小标宋简体" w:cs="宋体"/>
          <w:color w:val="000000"/>
          <w:kern w:val="0"/>
          <w:sz w:val="36"/>
          <w:szCs w:val="36"/>
        </w:rPr>
      </w:pPr>
      <w:r>
        <w:rPr>
          <w:rFonts w:hint="eastAsia" w:ascii="方正小标宋简体" w:hAnsi="宋体" w:eastAsia="方正小标宋简体" w:cs="宋体"/>
          <w:color w:val="000000"/>
          <w:kern w:val="0"/>
          <w:sz w:val="36"/>
          <w:szCs w:val="36"/>
        </w:rPr>
        <w:t>北京市丰台区2015年政府信息公开工作</w:t>
      </w:r>
    </w:p>
    <w:p>
      <w:pPr>
        <w:widowControl/>
        <w:spacing w:line="600" w:lineRule="exact"/>
        <w:jc w:val="center"/>
        <w:rPr>
          <w:rFonts w:ascii="方正小标宋简体" w:hAnsi="宋体" w:eastAsia="方正小标宋简体" w:cs="宋体"/>
          <w:color w:val="000000"/>
          <w:kern w:val="0"/>
          <w:sz w:val="36"/>
          <w:szCs w:val="36"/>
        </w:rPr>
      </w:pPr>
      <w:r>
        <w:rPr>
          <w:rFonts w:hint="eastAsia" w:ascii="方正小标宋简体" w:hAnsi="宋体" w:eastAsia="方正小标宋简体" w:cs="宋体"/>
          <w:color w:val="000000"/>
          <w:kern w:val="0"/>
          <w:sz w:val="36"/>
          <w:szCs w:val="36"/>
        </w:rPr>
        <w:t>年度报告</w:t>
      </w:r>
    </w:p>
    <w:p>
      <w:pPr>
        <w:widowControl/>
        <w:spacing w:line="600" w:lineRule="exact"/>
        <w:ind w:firstLine="640" w:firstLineChars="200"/>
        <w:jc w:val="left"/>
        <w:rPr>
          <w:rFonts w:ascii="仿宋_GB2312" w:hAnsi="宋体" w:eastAsia="仿宋_GB2312" w:cs="宋体"/>
          <w:color w:val="0000FF"/>
          <w:kern w:val="0"/>
          <w:sz w:val="32"/>
          <w:szCs w:val="32"/>
        </w:rPr>
      </w:pPr>
    </w:p>
    <w:p>
      <w:pPr>
        <w:widowControl/>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本报告是根据《中华人民共和国政府信息公开条例》（以下简称《条例》）要求，由北京市丰台区编制的2015年度政府信息公开年度报告。</w:t>
      </w:r>
    </w:p>
    <w:p>
      <w:pPr>
        <w:widowControl/>
        <w:spacing w:line="600" w:lineRule="exac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全文包括概述，主动公开政府信息的情况，依申请公开政府信息和不予公开政府信息的情况，因政府信息公开申请行政复议、提起行政诉讼的情况，政府信息公开工作存在不足及改进措施。</w:t>
      </w:r>
    </w:p>
    <w:p>
      <w:pPr>
        <w:widowControl/>
        <w:spacing w:line="600" w:lineRule="exac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本报告中所列数据的统计期限自2015年1月1日起，至2015年12月31日止。本报告的电子版可在“北京丰台”网站（</w:t>
      </w:r>
      <w:r>
        <w:fldChar w:fldCharType="begin"/>
      </w:r>
      <w:r>
        <w:instrText xml:space="preserve"> HYPERLINK "http://www.bjft.gov.cn/" \t "_blank" </w:instrText>
      </w:r>
      <w:r>
        <w:fldChar w:fldCharType="separate"/>
      </w:r>
      <w:r>
        <w:rPr>
          <w:rFonts w:hint="eastAsia" w:ascii="仿宋_GB2312" w:hAnsi="宋体" w:eastAsia="仿宋_GB2312" w:cs="宋体"/>
          <w:color w:val="000000"/>
          <w:kern w:val="0"/>
          <w:sz w:val="32"/>
          <w:szCs w:val="32"/>
          <w:u w:val="single"/>
        </w:rPr>
        <w:t>www.bjft.gov.cn</w:t>
      </w:r>
      <w:r>
        <w:rPr>
          <w:rFonts w:hint="eastAsia" w:ascii="仿宋_GB2312" w:hAnsi="宋体" w:eastAsia="仿宋_GB2312" w:cs="宋体"/>
          <w:color w:val="000000"/>
          <w:kern w:val="0"/>
          <w:sz w:val="32"/>
          <w:szCs w:val="32"/>
          <w:u w:val="single"/>
        </w:rPr>
        <w:fldChar w:fldCharType="end"/>
      </w:r>
      <w:r>
        <w:rPr>
          <w:rFonts w:hint="eastAsia" w:ascii="仿宋_GB2312" w:hAnsi="宋体" w:eastAsia="仿宋_GB2312" w:cs="宋体"/>
          <w:color w:val="000000"/>
          <w:kern w:val="0"/>
          <w:sz w:val="32"/>
          <w:szCs w:val="32"/>
        </w:rPr>
        <w:t>）下载。如对本报告有任何疑问，请与丰台区政府信息公开办公室联系（地址：北京市丰台区西四环南路64号一层东侧；邮编：100071；电话：</w:t>
      </w:r>
      <w:r>
        <w:rPr>
          <w:rFonts w:ascii="仿宋_GB2312" w:hAnsi="宋体" w:eastAsia="仿宋_GB2312" w:cs="宋体"/>
          <w:color w:val="000000"/>
          <w:kern w:val="0"/>
          <w:sz w:val="32"/>
          <w:szCs w:val="32"/>
        </w:rPr>
        <w:t>63835620</w:t>
      </w:r>
      <w:r>
        <w:rPr>
          <w:rFonts w:hint="eastAsia" w:ascii="仿宋_GB2312" w:hAnsi="宋体" w:eastAsia="仿宋_GB2312" w:cs="宋体"/>
          <w:color w:val="000000"/>
          <w:kern w:val="0"/>
          <w:sz w:val="32"/>
          <w:szCs w:val="32"/>
        </w:rPr>
        <w:t>；电子邮箱：</w:t>
      </w:r>
      <w:r>
        <w:fldChar w:fldCharType="begin"/>
      </w:r>
      <w:r>
        <w:instrText xml:space="preserve"> HYPERLINK "mailto:xxgk@mail.bjft.gov.cn" </w:instrText>
      </w:r>
      <w:r>
        <w:fldChar w:fldCharType="separate"/>
      </w:r>
      <w:r>
        <w:rPr>
          <w:rFonts w:hint="eastAsia" w:ascii="仿宋_GB2312" w:hAnsi="宋体" w:eastAsia="仿宋_GB2312" w:cs="宋体"/>
          <w:color w:val="000000"/>
          <w:kern w:val="0"/>
          <w:sz w:val="32"/>
          <w:szCs w:val="32"/>
          <w:u w:val="single"/>
        </w:rPr>
        <w:t>xxgk@mail.bjft.gov.cn</w:t>
      </w:r>
      <w:r>
        <w:rPr>
          <w:rFonts w:hint="eastAsia" w:ascii="仿宋_GB2312" w:hAnsi="宋体" w:eastAsia="仿宋_GB2312" w:cs="宋体"/>
          <w:color w:val="000000"/>
          <w:kern w:val="0"/>
          <w:sz w:val="32"/>
          <w:szCs w:val="32"/>
          <w:u w:val="single"/>
        </w:rPr>
        <w:fldChar w:fldCharType="end"/>
      </w:r>
      <w:r>
        <w:rPr>
          <w:rFonts w:hint="eastAsia" w:ascii="仿宋_GB2312" w:hAnsi="宋体" w:eastAsia="仿宋_GB2312" w:cs="宋体"/>
          <w:color w:val="000000"/>
          <w:kern w:val="0"/>
          <w:sz w:val="32"/>
          <w:szCs w:val="32"/>
        </w:rPr>
        <w:t>）。</w:t>
      </w:r>
    </w:p>
    <w:p>
      <w:pPr>
        <w:widowControl/>
        <w:spacing w:line="600" w:lineRule="exact"/>
        <w:jc w:val="center"/>
        <w:rPr>
          <w:rFonts w:ascii="黑体" w:hAnsi="宋体" w:eastAsia="黑体" w:cs="宋体"/>
          <w:bCs/>
          <w:color w:val="000000"/>
          <w:kern w:val="0"/>
          <w:sz w:val="32"/>
          <w:szCs w:val="32"/>
        </w:rPr>
      </w:pPr>
    </w:p>
    <w:p>
      <w:pPr>
        <w:widowControl/>
        <w:spacing w:line="600" w:lineRule="exact"/>
        <w:jc w:val="center"/>
        <w:rPr>
          <w:rFonts w:ascii="黑体" w:hAnsi="宋体" w:eastAsia="黑体" w:cs="宋体"/>
          <w:color w:val="000000"/>
          <w:kern w:val="0"/>
          <w:sz w:val="32"/>
          <w:szCs w:val="32"/>
        </w:rPr>
      </w:pPr>
      <w:r>
        <w:rPr>
          <w:rFonts w:hint="eastAsia" w:ascii="黑体" w:hAnsi="宋体" w:eastAsia="黑体" w:cs="宋体"/>
          <w:bCs/>
          <w:color w:val="000000"/>
          <w:kern w:val="0"/>
          <w:sz w:val="32"/>
          <w:szCs w:val="32"/>
        </w:rPr>
        <w:t>一、概述</w:t>
      </w:r>
    </w:p>
    <w:p>
      <w:pPr>
        <w:widowControl/>
        <w:spacing w:line="600" w:lineRule="exact"/>
        <w:ind w:firstLine="646"/>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2015年，北京市丰台区认真履行《中华人民共和国政府信息公开条例》（以下简称《条例》）规定的法定义务。全区政府信息公开工作在提高政府工作透明度、促进依法行政，服务人民群众生产、生活和经济社会活动等方面发挥了积极作用。</w:t>
      </w:r>
    </w:p>
    <w:p>
      <w:pPr>
        <w:widowControl/>
        <w:spacing w:line="600" w:lineRule="exact"/>
        <w:ind w:firstLine="646"/>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（一）重点工作情况</w:t>
      </w:r>
    </w:p>
    <w:p>
      <w:pPr>
        <w:widowControl/>
        <w:spacing w:line="600" w:lineRule="exact"/>
        <w:ind w:firstLine="960" w:firstLineChars="3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进行政策宣传与解读。一是召开新闻发布会3场，集中发布消息；二是召开新闻通气会5场，有效传递声音；三是充分运用微平台进行政策解读、回应关切。做好“北京丰台”政务微博运维工作，开设“丰台发布”微话题，实时发布相关政策及重大活动信息，共发布信息1500余条，话题阅读量达到6000多万次。</w:t>
      </w:r>
    </w:p>
    <w:p>
      <w:pPr>
        <w:widowControl/>
        <w:spacing w:line="600" w:lineRule="exact"/>
        <w:ind w:firstLine="960" w:firstLineChars="300"/>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kern w:val="0"/>
          <w:sz w:val="32"/>
          <w:szCs w:val="32"/>
        </w:rPr>
        <w:t>2.制度机制建设。一是建立健全保密审查机制。制发《丰台区政府信息公开保密审查办法》；二是建立完善源头管理机制。对政府公开属性源头管理机制进行规定；三是深化依申请公开促进依法行政机制，严格规范流程，完善机制，转变作风，强化服务，不断提高依</w:t>
      </w:r>
      <w:r>
        <w:rPr>
          <w:rFonts w:hint="eastAsia" w:ascii="仿宋_GB2312" w:hAnsi="宋体" w:eastAsia="仿宋_GB2312" w:cs="宋体"/>
          <w:color w:val="000000" w:themeColor="text1"/>
          <w:kern w:val="0"/>
          <w:sz w:val="32"/>
          <w:szCs w:val="32"/>
          <w14:textFill>
            <w14:solidFill>
              <w14:schemeClr w14:val="tx1"/>
            </w14:solidFill>
          </w14:textFill>
        </w:rPr>
        <w:t>申请公开的能力和水平；四是建立依申请向主动公开转换机制。依申请公开信息如涉及群众利益的，有多次申请公开同一政府信息，将依申请公开转换成主动公开。</w:t>
      </w:r>
    </w:p>
    <w:p>
      <w:pPr>
        <w:widowControl/>
        <w:spacing w:line="600" w:lineRule="exact"/>
        <w:ind w:firstLine="646"/>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（二）重点领域信息公开情况</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1.推进行政许可信息公开。全面启动区级行政审批事项（含行政许可和非行政许可审批）清理工作。保留的行政审批事项为271项，其中行政许可事项200项，非行政许可审批事项71项，印发了《北京市丰台区人民政府关于公布丰台区行政审批事项汇总清单的通知》(丰政发〔2015〕7号)，并已在“北京丰台”网站上向社会进行了公开。</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ascii="仿宋_GB2312" w:hAnsi="宋体" w:eastAsia="仿宋_GB2312" w:cs="宋体"/>
          <w:color w:val="000000" w:themeColor="text1"/>
          <w:kern w:val="0"/>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332740</wp:posOffset>
            </wp:positionH>
            <wp:positionV relativeFrom="paragraph">
              <wp:posOffset>-123825</wp:posOffset>
            </wp:positionV>
            <wp:extent cx="4714875" cy="3201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4875" cy="3201207"/>
                    </a:xfrm>
                    <a:prstGeom prst="rect">
                      <a:avLst/>
                    </a:prstGeom>
                  </pic:spPr>
                </pic:pic>
              </a:graphicData>
            </a:graphic>
          </wp:anchor>
        </w:drawing>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ascii="仿宋_GB2312" w:hAnsi="宋体" w:eastAsia="仿宋_GB2312" w:cs="宋体"/>
          <w:color w:val="000000" w:themeColor="text1"/>
          <w:kern w:val="0"/>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600075</wp:posOffset>
            </wp:positionH>
            <wp:positionV relativeFrom="paragraph">
              <wp:posOffset>9886950</wp:posOffset>
            </wp:positionV>
            <wp:extent cx="4720590" cy="5229225"/>
            <wp:effectExtent l="0" t="0" r="381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0590" cy="5229225"/>
                    </a:xfrm>
                    <a:prstGeom prst="rect">
                      <a:avLst/>
                    </a:prstGeom>
                  </pic:spPr>
                </pic:pic>
              </a:graphicData>
            </a:graphic>
          </wp:anchor>
        </w:drawing>
      </w:r>
      <w:r>
        <w:rPr>
          <w:rFonts w:hint="eastAsia" w:ascii="仿宋_GB2312" w:hAnsi="宋体" w:eastAsia="仿宋_GB2312" w:cs="宋体"/>
          <w:color w:val="000000" w:themeColor="text1"/>
          <w:kern w:val="0"/>
          <w:sz w:val="32"/>
          <w:szCs w:val="32"/>
          <w14:textFill>
            <w14:solidFill>
              <w14:schemeClr w14:val="tx1"/>
            </w14:solidFill>
          </w14:textFill>
        </w:rPr>
        <w:t>2.推进行政处罚结果信息公开。确认全区目前行政处罚权力为5055项，其中以区政府为行政处罚主体的行政处罚职权96项，以31个区属执法部门为行政处罚主体的行政处罚职权4953项，以乡镇政府为行政处罚主体的行政处罚职权6项。已通过 “北京丰台”网站向社会公布。</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3.推进财政资金信息公开。一是推进财政信息公开。分别于2015年2月、6月和8月公开了区级2014年预算执行情况和2015年预算草案报告、2015 年预算调整方案和2014年决算（草案）报告。88家部门预算、85家部门决算也按“统一时间、统一格式”要求在“北京丰台”网站、丰台区政府信息公开专栏和各单位门户网站进行公开；二是推进政府采购信息公开。认真落实《政府采购法实施条例》和《财政部关于做好政府采购信息公开工作的通知》精神，将政府采购项目公开招标公告、资格预审公告、竞争性谈判公告、竞争性磋商公告和询价公告、采购项目预算金额、中标和成交结果、采购文件、更正事项、采购合同、单一来源、终止信息等进行公开，并按要求公开投诉处理决定等信息。</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95250</wp:posOffset>
            </wp:positionH>
            <wp:positionV relativeFrom="paragraph">
              <wp:posOffset>19050</wp:posOffset>
            </wp:positionV>
            <wp:extent cx="5274310" cy="3305810"/>
            <wp:effectExtent l="0" t="0" r="2540"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05810"/>
                    </a:xfrm>
                    <a:prstGeom prst="rect">
                      <a:avLst/>
                    </a:prstGeom>
                  </pic:spPr>
                </pic:pic>
              </a:graphicData>
            </a:graphic>
          </wp:anchor>
        </w:drawing>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ascii="仿宋_GB2312" w:hAnsi="宋体" w:eastAsia="仿宋_GB2312" w:cs="宋体"/>
          <w:color w:val="000000" w:themeColor="text1"/>
          <w:kern w:val="0"/>
          <w:sz w:val="32"/>
          <w:szCs w:val="32"/>
          <w14:textFill>
            <w14:solidFill>
              <w14:schemeClr w14:val="tx1"/>
            </w14:solidFill>
          </w14:textFill>
        </w:rPr>
        <w:drawing>
          <wp:anchor distT="0" distB="0" distL="114300" distR="114300" simplePos="0" relativeHeight="251662336" behindDoc="0" locked="0" layoutInCell="1" allowOverlap="1">
            <wp:simplePos x="0" y="0"/>
            <wp:positionH relativeFrom="column">
              <wp:posOffset>485775</wp:posOffset>
            </wp:positionH>
            <wp:positionV relativeFrom="paragraph">
              <wp:posOffset>3027680</wp:posOffset>
            </wp:positionV>
            <wp:extent cx="4324350" cy="262953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350" cy="2629535"/>
                    </a:xfrm>
                    <a:prstGeom prst="rect">
                      <a:avLst/>
                    </a:prstGeom>
                  </pic:spPr>
                </pic:pic>
              </a:graphicData>
            </a:graphic>
          </wp:anchor>
        </w:drawing>
      </w:r>
      <w:r>
        <w:rPr>
          <w:rFonts w:hint="eastAsia" w:ascii="仿宋_GB2312" w:hAnsi="宋体" w:eastAsia="仿宋_GB2312" w:cs="宋体"/>
          <w:color w:val="000000" w:themeColor="text1"/>
          <w:kern w:val="0"/>
          <w:sz w:val="32"/>
          <w:szCs w:val="32"/>
          <w14:textFill>
            <w14:solidFill>
              <w14:schemeClr w14:val="tx1"/>
            </w14:solidFill>
          </w14:textFill>
        </w:rPr>
        <w:t>4.推进棚户区改造信息公开。一是推进用地计划信息公开。在“北京丰台”网站及北京市国土资源局丰台国土分局网站及时发布国土工作动态，及时发布土地管理的各种信息，并积极利用“土地日”、“地球日”等活动，印制资料到乡村进行宣传；二是推进建设项目信息公开。主动在“北京丰台”网站及丰台区住建委网站公开棚户区改造类信息，包括小屯西路棚户区改造项目、南苑棚户区改造项目及棚户区改造工作调度会等信息进行公开。</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0" w:firstLineChars="200"/>
        <w:jc w:val="left"/>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0" w:firstLineChars="200"/>
        <w:jc w:val="left"/>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jc w:val="left"/>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0" w:firstLineChars="200"/>
        <w:jc w:val="left"/>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5.推进食品药品安全信息公开。在政府信息公开专栏对食品药品安全信息及时公开并更新。在丰台区食药监局网站上专门设立“食药安全专栏”、“医疗器械五整治专区”和“安全用药专区”。“公告”、“公示”、“通知”三个专区定期更新食品药品安全警示、食品药品企业备案、监管专项、信息统计等内容。并在丰台区食药监局设置资料索取点，提供政府信息公开的有关资料及咨询服务工作，并及时对公开内容进行定期更新、完善。</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ascii="仿宋_GB2312" w:hAnsi="宋体" w:eastAsia="仿宋_GB2312" w:cs="宋体"/>
          <w:color w:val="000000" w:themeColor="text1"/>
          <w:kern w:val="0"/>
          <w:sz w:val="32"/>
          <w:szCs w:val="32"/>
          <w14:textFill>
            <w14:solidFill>
              <w14:schemeClr w14:val="tx1"/>
            </w14:solidFill>
          </w14:textFill>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123825</wp:posOffset>
            </wp:positionV>
            <wp:extent cx="5274310" cy="3616325"/>
            <wp:effectExtent l="0" t="0" r="254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616325"/>
                    </a:xfrm>
                    <a:prstGeom prst="rect">
                      <a:avLst/>
                    </a:prstGeom>
                  </pic:spPr>
                </pic:pic>
              </a:graphicData>
            </a:graphic>
          </wp:anchor>
        </w:drawing>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6.推进环境保护信息公开。一是推进建设项目环境影响评价信息公开。在北京市环境保护局网站主动公开区级建设项目审批评价信息525件，公开建设项目验收信息118件；二是推进辐射安全信息公开。在北京市环境保护局网站上主动公开涉及辐射类建设项目验收信息27件；三是推进环境执法检查信息公开。在丰台区环境保护局网站主动公开行政执法类信息133条；四是推进重点污染企业信息公开。在丰台区环境保护局网站主动公开7家重点污染企业的自查网址，并按季度公开其污染物检测结果。</w:t>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drawing>
          <wp:anchor distT="0" distB="0" distL="114300" distR="114300" simplePos="0" relativeHeight="251664384" behindDoc="0" locked="0" layoutInCell="1" allowOverlap="1">
            <wp:simplePos x="0" y="0"/>
            <wp:positionH relativeFrom="column">
              <wp:posOffset>371475</wp:posOffset>
            </wp:positionH>
            <wp:positionV relativeFrom="paragraph">
              <wp:posOffset>47625</wp:posOffset>
            </wp:positionV>
            <wp:extent cx="4597400" cy="439102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0575" cy="4394313"/>
                    </a:xfrm>
                    <a:prstGeom prst="rect">
                      <a:avLst/>
                    </a:prstGeom>
                  </pic:spPr>
                </pic:pic>
              </a:graphicData>
            </a:graphic>
          </wp:anchor>
        </w:drawing>
      </w: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p>
    <w:p>
      <w:pPr>
        <w:widowControl/>
        <w:spacing w:line="600" w:lineRule="exact"/>
        <w:ind w:firstLine="646"/>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7.推进社会保障信息公开。一是推进社会保险信息公开。通过“北京市丰台区人力资源和社会保障局”门户网站公开该类信息679条，通过信息公开专栏发布相关信息292条，通过微博、微信及各类新媒体公开近50条。积极将劳动关系、人事人才、社会保障、就业创业等方面的内容推送给百姓群众。及时公开最新的基本医疗保险、工伤保险和生育保险药品目录以及基本医疗保险、工伤保险诊疗项目范围、辅助器具目录等常用办事信息。大力加强区属国有企业岗位招聘的公开透明化，第一时间将辖区内区属国有企业招聘岗位信息对外公布；二是推进社会救助信息公开。每月对全区城市低保、农村低保（农村五保）及城市特困人员的户主姓名、家庭人口状况以及救助金额等信息在丰台区民政局网站上予以公开。同时，21个街乡（镇）、居（村）办公所在地专门设立户外政务公开栏和村（居）务公开栏对低保人员进行公示。</w:t>
      </w:r>
    </w:p>
    <w:p>
      <w:pPr>
        <w:widowControl/>
        <w:spacing w:line="600" w:lineRule="exact"/>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drawing>
          <wp:anchor distT="0" distB="0" distL="114300" distR="114300" simplePos="0" relativeHeight="251665408" behindDoc="0" locked="0" layoutInCell="1" allowOverlap="1">
            <wp:simplePos x="0" y="0"/>
            <wp:positionH relativeFrom="column">
              <wp:posOffset>276225</wp:posOffset>
            </wp:positionH>
            <wp:positionV relativeFrom="paragraph">
              <wp:posOffset>76200</wp:posOffset>
            </wp:positionV>
            <wp:extent cx="5267960" cy="4505325"/>
            <wp:effectExtent l="0" t="0" r="889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7960" cy="4505325"/>
                    </a:xfrm>
                    <a:prstGeom prst="rect">
                      <a:avLst/>
                    </a:prstGeom>
                  </pic:spPr>
                </pic:pic>
              </a:graphicData>
            </a:graphic>
          </wp:anchor>
        </w:drawing>
      </w: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drawing>
          <wp:anchor distT="0" distB="0" distL="114300" distR="114300" simplePos="0" relativeHeight="251666432" behindDoc="0" locked="0" layoutInCell="1" allowOverlap="1">
            <wp:simplePos x="0" y="0"/>
            <wp:positionH relativeFrom="column">
              <wp:posOffset>257175</wp:posOffset>
            </wp:positionH>
            <wp:positionV relativeFrom="paragraph">
              <wp:posOffset>190500</wp:posOffset>
            </wp:positionV>
            <wp:extent cx="5268595" cy="3571875"/>
            <wp:effectExtent l="0" t="0" r="889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75877"/>
                    </a:xfrm>
                    <a:prstGeom prst="rect">
                      <a:avLst/>
                    </a:prstGeom>
                  </pic:spPr>
                </pic:pic>
              </a:graphicData>
            </a:graphic>
          </wp:anchor>
        </w:drawing>
      </w: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p>
    <w:p>
      <w:pPr>
        <w:widowControl/>
        <w:spacing w:line="600" w:lineRule="exact"/>
        <w:ind w:firstLine="646"/>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（三）机制平台建设情况</w:t>
      </w:r>
    </w:p>
    <w:p>
      <w:pPr>
        <w:widowControl/>
        <w:spacing w:line="60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一是加强工作机构建设。区政府设立了独立的政府信息公开工作机构</w:t>
      </w:r>
      <w:r>
        <w:rPr>
          <w:rFonts w:hint="eastAsia" w:ascii="宋体" w:hAnsi="宋体" w:cs="宋体"/>
          <w:color w:val="000000"/>
          <w:kern w:val="0"/>
          <w:sz w:val="32"/>
          <w:szCs w:val="32"/>
        </w:rPr>
        <w:t>――</w:t>
      </w:r>
      <w:r>
        <w:rPr>
          <w:rFonts w:hint="eastAsia" w:ascii="仿宋_GB2312" w:hAnsi="仿宋_GB2312" w:eastAsia="仿宋_GB2312" w:cs="仿宋_GB2312"/>
          <w:color w:val="000000"/>
          <w:kern w:val="0"/>
          <w:sz w:val="32"/>
          <w:szCs w:val="32"/>
        </w:rPr>
        <w:t>区政府信息公开办公室，充分发挥业务指导作用，加强推进、指导、协调和监督，积极推动各项工作落实；二是统筹推进重点工作任务。制定《丰台区</w:t>
      </w:r>
      <w:r>
        <w:rPr>
          <w:rFonts w:hint="eastAsia" w:ascii="仿宋_GB2312" w:hAnsi="宋体" w:eastAsia="仿宋_GB2312" w:cs="宋体"/>
          <w:color w:val="000000"/>
          <w:kern w:val="0"/>
          <w:sz w:val="32"/>
          <w:szCs w:val="32"/>
        </w:rPr>
        <w:t>2015年政府信息公开工作要点》，明确部门职责、工作内容、完成要求，加强组织领导，牵头落实部门制定分解细化方案；三是完善工作机制。坚持并完善“年初有安排、每月有月报、年底有考核、年度有报告、日常有监督”工作机制，进一步规范工作程序，建立健全长效管理机制，形成用制度规范行为、按制度办事的机制；四是强化平台建设运用。强化建设政府网站公开平台，继续以政府网站为信息公开主渠道，加强政府门户网站服务性，</w:t>
      </w:r>
      <w:r>
        <w:rPr>
          <w:rFonts w:hint="eastAsia" w:ascii="仿宋_GB2312" w:hAnsi="宋体" w:eastAsia="仿宋_GB2312" w:cs="宋体"/>
          <w:color w:val="000000" w:themeColor="text1"/>
          <w:kern w:val="0"/>
          <w:sz w:val="32"/>
          <w:szCs w:val="32"/>
          <w14:textFill>
            <w14:solidFill>
              <w14:schemeClr w14:val="tx1"/>
            </w14:solidFill>
          </w14:textFill>
        </w:rPr>
        <w:t>增加了网页申请功能，畅通受理渠道，提高工作效率，方便公众申请。</w:t>
      </w:r>
      <w:r>
        <w:rPr>
          <w:rFonts w:hint="eastAsia" w:ascii="仿宋_GB2312" w:hAnsi="宋体" w:eastAsia="仿宋_GB2312" w:cs="宋体"/>
          <w:color w:val="000000"/>
          <w:kern w:val="0"/>
          <w:sz w:val="32"/>
          <w:szCs w:val="32"/>
        </w:rPr>
        <w:t>检查督促整改全区60家政府网站，实现全区政府网站在2015年全国网站普查中均达到合格标准；五是注重业务培训。多次召开信息公开专题工作培训会和研讨会，破解工作中遇到的难题；</w:t>
      </w:r>
      <w:r>
        <w:rPr>
          <w:rFonts w:hint="eastAsia" w:ascii="仿宋_GB2312" w:hAnsi="宋体" w:eastAsia="仿宋_GB2312" w:cs="宋体"/>
          <w:color w:val="000000" w:themeColor="text1"/>
          <w:kern w:val="0"/>
          <w:sz w:val="32"/>
          <w:szCs w:val="32"/>
          <w14:textFill>
            <w14:solidFill>
              <w14:schemeClr w14:val="tx1"/>
            </w14:solidFill>
          </w14:textFill>
        </w:rPr>
        <w:t>五是拓宽信息公开申请渠道。开设了丰台区政府信息公开大厅，为公民、法人或者其他组织获取政府信息提供便利、优质的服务，营造了规范、温馨的接待环境；六是加强监</w:t>
      </w:r>
      <w:r>
        <w:rPr>
          <w:rFonts w:hint="eastAsia" w:ascii="仿宋_GB2312" w:hAnsi="宋体" w:eastAsia="仿宋_GB2312" w:cs="宋体"/>
          <w:color w:val="000000"/>
          <w:kern w:val="0"/>
          <w:sz w:val="32"/>
          <w:szCs w:val="32"/>
        </w:rPr>
        <w:t>督考核。坚持月度通报制度，做好日常监督，将信息公开内容直接纳入到区绩效考核中，督促各单位对《政府信息公开条例》和《北京市政府信息公开规定》的贯彻落实，促进全区政府信息公开工作的开展。</w:t>
      </w:r>
    </w:p>
    <w:p>
      <w:pPr>
        <w:widowControl/>
        <w:spacing w:line="600" w:lineRule="exact"/>
        <w:ind w:firstLine="640" w:firstLineChars="200"/>
        <w:jc w:val="center"/>
        <w:rPr>
          <w:rFonts w:ascii="黑体" w:hAnsi="宋体" w:eastAsia="黑体" w:cs="宋体"/>
          <w:color w:val="000000"/>
          <w:kern w:val="0"/>
          <w:sz w:val="32"/>
          <w:szCs w:val="32"/>
        </w:rPr>
      </w:pPr>
      <w:r>
        <w:rPr>
          <w:rFonts w:hint="eastAsia" w:ascii="黑体" w:hAnsi="宋体" w:eastAsia="黑体" w:cs="宋体"/>
          <w:bCs/>
          <w:color w:val="000000"/>
          <w:kern w:val="0"/>
          <w:sz w:val="32"/>
          <w:szCs w:val="32"/>
        </w:rPr>
        <w:t>二、主动公开情况</w:t>
      </w:r>
    </w:p>
    <w:p>
      <w:pPr>
        <w:widowControl/>
        <w:spacing w:line="600" w:lineRule="exact"/>
        <w:ind w:firstLine="645"/>
        <w:rPr>
          <w:rFonts w:ascii="仿宋_GB2312" w:hAnsi="宋体" w:eastAsia="仿宋_GB2312" w:cs="宋体"/>
          <w:kern w:val="0"/>
          <w:sz w:val="32"/>
          <w:szCs w:val="32"/>
        </w:rPr>
      </w:pPr>
      <w:r>
        <w:rPr>
          <w:rFonts w:hint="eastAsia" w:ascii="仿宋_GB2312" w:hAnsi="宋体" w:eastAsia="仿宋_GB2312" w:cs="宋体"/>
          <w:kern w:val="0"/>
          <w:sz w:val="32"/>
          <w:szCs w:val="32"/>
        </w:rPr>
        <w:t>（一）主动公开政府信息数</w:t>
      </w:r>
    </w:p>
    <w:p>
      <w:pPr>
        <w:widowControl/>
        <w:spacing w:line="600" w:lineRule="exact"/>
        <w:ind w:firstLine="645"/>
        <w:rPr>
          <w:rFonts w:ascii="仿宋_GB2312" w:hAnsi="宋体" w:eastAsia="仿宋_GB2312" w:cs="宋体"/>
          <w:kern w:val="0"/>
          <w:sz w:val="32"/>
          <w:szCs w:val="32"/>
        </w:rPr>
      </w:pPr>
      <w:r>
        <w:rPr>
          <w:rFonts w:hint="eastAsia" w:ascii="仿宋_GB2312" w:hAnsi="宋体" w:eastAsia="仿宋_GB2312" w:cs="宋体"/>
          <w:kern w:val="0"/>
          <w:sz w:val="32"/>
          <w:szCs w:val="32"/>
        </w:rPr>
        <w:t>2015年，主动公开政府信息</w:t>
      </w:r>
      <w:r>
        <w:rPr>
          <w:rFonts w:hint="eastAsia" w:ascii="仿宋_GB2312" w:eastAsia="仿宋_GB2312"/>
          <w:color w:val="000000" w:themeColor="text1"/>
          <w:sz w:val="32"/>
          <w:szCs w:val="32"/>
          <w14:textFill>
            <w14:solidFill>
              <w14:schemeClr w14:val="tx1"/>
            </w14:solidFill>
          </w14:textFill>
        </w:rPr>
        <w:t>32331</w:t>
      </w:r>
      <w:r>
        <w:rPr>
          <w:rFonts w:hint="eastAsia" w:ascii="仿宋_GB2312" w:hAnsi="宋体" w:eastAsia="仿宋_GB2312" w:cs="宋体"/>
          <w:kern w:val="0"/>
          <w:sz w:val="32"/>
          <w:szCs w:val="32"/>
        </w:rPr>
        <w:t>条。其中：主动公开规范性文件数331条，制发规范性文件</w:t>
      </w:r>
      <w:r>
        <w:rPr>
          <w:rFonts w:ascii="仿宋_GB2312" w:hAnsi="宋体" w:eastAsia="仿宋_GB2312" w:cs="宋体"/>
          <w:kern w:val="0"/>
          <w:sz w:val="32"/>
          <w:szCs w:val="32"/>
        </w:rPr>
        <w:t>1139</w:t>
      </w:r>
      <w:r>
        <w:rPr>
          <w:rFonts w:hint="eastAsia" w:ascii="仿宋_GB2312" w:hAnsi="宋体" w:eastAsia="仿宋_GB2312" w:cs="宋体"/>
          <w:kern w:val="0"/>
          <w:sz w:val="32"/>
          <w:szCs w:val="32"/>
        </w:rPr>
        <w:t>件。</w:t>
      </w:r>
    </w:p>
    <w:p>
      <w:pPr>
        <w:widowControl/>
        <w:spacing w:line="600" w:lineRule="exact"/>
        <w:ind w:firstLine="645"/>
        <w:rPr>
          <w:rFonts w:ascii="仿宋_GB2312" w:hAnsi="宋体" w:eastAsia="仿宋_GB2312" w:cs="宋体"/>
          <w:kern w:val="0"/>
          <w:sz w:val="32"/>
          <w:szCs w:val="32"/>
        </w:rPr>
      </w:pPr>
      <w:r>
        <w:rPr>
          <w:rFonts w:hint="eastAsia" w:ascii="仿宋_GB2312" w:hAnsi="宋体" w:eastAsia="仿宋_GB2312" w:cs="宋体"/>
          <w:kern w:val="0"/>
          <w:sz w:val="32"/>
          <w:szCs w:val="32"/>
        </w:rPr>
        <w:t>（二）重点领域公开政府信息数</w:t>
      </w:r>
    </w:p>
    <w:p>
      <w:pPr>
        <w:widowControl/>
        <w:spacing w:line="600" w:lineRule="exact"/>
        <w:ind w:firstLine="645"/>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kern w:val="0"/>
          <w:sz w:val="32"/>
          <w:szCs w:val="32"/>
        </w:rPr>
        <w:t>2015年，主动公开重点领域政府信息</w:t>
      </w:r>
      <w:r>
        <w:rPr>
          <w:rFonts w:ascii="仿宋_GB2312" w:hAnsi="宋体" w:eastAsia="仿宋_GB2312" w:cs="宋体"/>
          <w:kern w:val="0"/>
          <w:sz w:val="32"/>
          <w:szCs w:val="32"/>
        </w:rPr>
        <w:t>3281</w:t>
      </w:r>
      <w:r>
        <w:rPr>
          <w:rFonts w:hint="eastAsia" w:ascii="仿宋_GB2312" w:hAnsi="宋体" w:eastAsia="仿宋_GB2312" w:cs="宋体"/>
          <w:kern w:val="0"/>
          <w:sz w:val="32"/>
          <w:szCs w:val="32"/>
        </w:rPr>
        <w:t>条。其中：</w:t>
      </w:r>
      <w:r>
        <w:rPr>
          <w:rFonts w:hint="eastAsia" w:ascii="仿宋_GB2312" w:hAnsi="宋体" w:eastAsia="仿宋_GB2312" w:cs="宋体"/>
          <w:color w:val="000000" w:themeColor="text1"/>
          <w:kern w:val="0"/>
          <w:sz w:val="32"/>
          <w:szCs w:val="32"/>
          <w14:textFill>
            <w14:solidFill>
              <w14:schemeClr w14:val="tx1"/>
            </w14:solidFill>
          </w14:textFill>
        </w:rPr>
        <w:t>主动公开财政预算决算、</w:t>
      </w:r>
      <w:r>
        <w:rPr>
          <w:rFonts w:hint="eastAsia" w:ascii="仿宋_GB2312" w:hAnsi="宋体" w:eastAsia="仿宋_GB2312" w:cs="宋体"/>
          <w:color w:val="000000" w:themeColor="text1"/>
          <w:kern w:val="0"/>
          <w:sz w:val="32"/>
          <w:szCs w:val="32"/>
          <w:lang w:eastAsia="zh-CN"/>
          <w14:textFill>
            <w14:solidFill>
              <w14:schemeClr w14:val="tx1"/>
            </w14:solidFill>
          </w14:textFill>
        </w:rPr>
        <w:t>“三公”经费</w:t>
      </w:r>
      <w:r>
        <w:rPr>
          <w:rFonts w:hint="eastAsia" w:ascii="仿宋_GB2312" w:hAnsi="宋体" w:eastAsia="仿宋_GB2312" w:cs="宋体"/>
          <w:color w:val="000000" w:themeColor="text1"/>
          <w:kern w:val="0"/>
          <w:sz w:val="32"/>
          <w:szCs w:val="32"/>
          <w14:textFill>
            <w14:solidFill>
              <w14:schemeClr w14:val="tx1"/>
            </w14:solidFill>
          </w14:textFill>
        </w:rPr>
        <w:t>和行政经费信息</w:t>
      </w:r>
      <w:r>
        <w:rPr>
          <w:rFonts w:ascii="仿宋_GB2312" w:hAnsi="宋体" w:eastAsia="仿宋_GB2312" w:cs="宋体"/>
          <w:color w:val="000000" w:themeColor="text1"/>
          <w:kern w:val="0"/>
          <w:sz w:val="32"/>
          <w:szCs w:val="32"/>
          <w14:textFill>
            <w14:solidFill>
              <w14:schemeClr w14:val="tx1"/>
            </w14:solidFill>
          </w14:textFill>
        </w:rPr>
        <w:t>164</w:t>
      </w:r>
      <w:r>
        <w:rPr>
          <w:rFonts w:hint="eastAsia" w:ascii="仿宋_GB2312" w:hAnsi="宋体" w:eastAsia="仿宋_GB2312" w:cs="宋体"/>
          <w:color w:val="000000" w:themeColor="text1"/>
          <w:kern w:val="0"/>
          <w:sz w:val="32"/>
          <w:szCs w:val="32"/>
          <w14:textFill>
            <w14:solidFill>
              <w14:schemeClr w14:val="tx1"/>
            </w14:solidFill>
          </w14:textFill>
        </w:rPr>
        <w:t>条；主动公开保障性安居工程建设计划、项目开工和竣工情况，保障性住房的分配和退出等信息105条；主动公开食品安全标准，食品生产经营许可、专项检查整治等信息243条；主动公开环境核查审批、环境状况公报和</w:t>
      </w:r>
      <w:bookmarkStart w:id="0" w:name="_GoBack"/>
      <w:bookmarkEnd w:id="0"/>
      <w:r>
        <w:rPr>
          <w:rFonts w:hint="eastAsia" w:ascii="仿宋_GB2312" w:hAnsi="宋体" w:eastAsia="仿宋_GB2312" w:cs="宋体"/>
          <w:color w:val="000000" w:themeColor="text1"/>
          <w:kern w:val="0"/>
          <w:sz w:val="32"/>
          <w:szCs w:val="32"/>
          <w14:textFill>
            <w14:solidFill>
              <w14:schemeClr w14:val="tx1"/>
            </w14:solidFill>
          </w14:textFill>
        </w:rPr>
        <w:t>重特大突发环境事件等信息105条；主动公开招投标违法违规行为及处理情况、国有资金占控股或者主导地位依法应当招标的项目等信息30条；主动公开生产安全事故的政府举措、处置进展、风险预警、防范措施等信息750条；主动公开农用地转为建设用地批准、征收集体土地批准、征地公告、征地补偿安置公示、集体土地征收结案等信息数5条；主动公开政府指导价、政府定价和收费标准调整的项目、价格、依据、执行时间和范围等信息4条；主动公开本市企业信用信息系统中的警示信息和良好信息等信息15条；主动公开政府部门预算执行审计结果等信息34条；主动公开行政机关对与人民群众利益密切相关的公共企事业单位进行监督管理的信息235条；主动公开市人民政府决定主动公开的其他信息1591条。</w:t>
      </w:r>
    </w:p>
    <w:p>
      <w:pPr>
        <w:widowControl/>
        <w:spacing w:line="600" w:lineRule="exact"/>
        <w:ind w:firstLine="645"/>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（三）通过不同渠道和方式公开政府信息的情况</w:t>
      </w:r>
    </w:p>
    <w:p>
      <w:pPr>
        <w:widowControl/>
        <w:spacing w:line="600" w:lineRule="exact"/>
        <w:ind w:firstLine="645"/>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通过政府网站公开政府信息</w:t>
      </w:r>
      <w:r>
        <w:rPr>
          <w:rFonts w:ascii="仿宋_GB2312" w:hAnsi="宋体" w:eastAsia="仿宋_GB2312" w:cs="宋体"/>
          <w:color w:val="000000" w:themeColor="text1"/>
          <w:kern w:val="0"/>
          <w:sz w:val="32"/>
          <w:szCs w:val="32"/>
          <w14:textFill>
            <w14:solidFill>
              <w14:schemeClr w14:val="tx1"/>
            </w14:solidFill>
          </w14:textFill>
        </w:rPr>
        <w:t>20493</w:t>
      </w:r>
      <w:r>
        <w:rPr>
          <w:rFonts w:hint="eastAsia" w:ascii="仿宋_GB2312" w:hAnsi="宋体" w:eastAsia="仿宋_GB2312" w:cs="宋体"/>
          <w:color w:val="000000" w:themeColor="text1"/>
          <w:kern w:val="0"/>
          <w:sz w:val="32"/>
          <w:szCs w:val="32"/>
          <w14:textFill>
            <w14:solidFill>
              <w14:schemeClr w14:val="tx1"/>
            </w14:solidFill>
          </w14:textFill>
        </w:rPr>
        <w:t>条；通过政务微博公开政府信息</w:t>
      </w:r>
      <w:r>
        <w:rPr>
          <w:rFonts w:ascii="仿宋_GB2312" w:hAnsi="宋体" w:eastAsia="仿宋_GB2312" w:cs="宋体"/>
          <w:color w:val="000000" w:themeColor="text1"/>
          <w:kern w:val="0"/>
          <w:sz w:val="32"/>
          <w:szCs w:val="32"/>
          <w14:textFill>
            <w14:solidFill>
              <w14:schemeClr w14:val="tx1"/>
            </w14:solidFill>
          </w14:textFill>
        </w:rPr>
        <w:t>6247</w:t>
      </w:r>
      <w:r>
        <w:rPr>
          <w:rFonts w:hint="eastAsia" w:ascii="仿宋_GB2312" w:hAnsi="宋体" w:eastAsia="仿宋_GB2312" w:cs="宋体"/>
          <w:color w:val="000000" w:themeColor="text1"/>
          <w:kern w:val="0"/>
          <w:sz w:val="32"/>
          <w:szCs w:val="32"/>
          <w14:textFill>
            <w14:solidFill>
              <w14:schemeClr w14:val="tx1"/>
            </w14:solidFill>
          </w14:textFill>
        </w:rPr>
        <w:t>条；通过政务微信公开政府信息807条；通过其他方式公开政府信息4784条。</w:t>
      </w:r>
    </w:p>
    <w:p>
      <w:pPr>
        <w:widowControl/>
        <w:spacing w:line="600" w:lineRule="exact"/>
        <w:ind w:firstLine="645"/>
        <w:rPr>
          <w:rFonts w:ascii="仿宋_GB2312" w:hAnsi="宋体" w:eastAsia="仿宋_GB2312" w:cs="宋体"/>
          <w:color w:val="FF0000"/>
          <w:kern w:val="0"/>
          <w:sz w:val="32"/>
          <w:szCs w:val="32"/>
        </w:rPr>
      </w:pPr>
      <w:r>
        <w:rPr>
          <w:rFonts w:hint="eastAsia" w:ascii="仿宋_GB2312" w:hAnsi="宋体" w:eastAsia="仿宋_GB2312" w:cs="宋体"/>
          <w:color w:val="000000" w:themeColor="text1"/>
          <w:kern w:val="0"/>
          <w:sz w:val="32"/>
          <w:szCs w:val="32"/>
          <w14:textFill>
            <w14:solidFill>
              <w14:schemeClr w14:val="tx1"/>
            </w14:solidFill>
          </w14:textFill>
        </w:rPr>
        <w:t>区政府信息公开大厅累计接待公众咨询查阅80人次，复印和打印文件90页。</w:t>
      </w:r>
    </w:p>
    <w:p>
      <w:pPr>
        <w:widowControl/>
        <w:spacing w:line="600" w:lineRule="exact"/>
        <w:jc w:val="center"/>
        <w:rPr>
          <w:rFonts w:ascii="黑体" w:hAnsi="宋体" w:eastAsia="黑体" w:cs="宋体"/>
          <w:bCs/>
          <w:color w:val="000000"/>
          <w:kern w:val="0"/>
          <w:sz w:val="32"/>
          <w:szCs w:val="32"/>
        </w:rPr>
      </w:pPr>
      <w:r>
        <w:rPr>
          <w:rFonts w:hint="eastAsia" w:ascii="黑体" w:hAnsi="宋体" w:eastAsia="黑体" w:cs="宋体"/>
          <w:bCs/>
          <w:color w:val="000000"/>
          <w:kern w:val="0"/>
          <w:sz w:val="32"/>
          <w:szCs w:val="32"/>
        </w:rPr>
        <w:t>三、回应解读情况</w:t>
      </w:r>
    </w:p>
    <w:p>
      <w:pPr>
        <w:widowControl/>
        <w:spacing w:line="600" w:lineRule="exact"/>
        <w:ind w:firstLine="640" w:firstLineChars="200"/>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回应公众关注热点或重大舆情数302次。参加或举办新闻发布会总次数14次（主要负责同志参加新闻发布会13次）。政府网站在线访谈32次（主要负责同志参加政府网站在线访谈30次）。政策解读稿件发布数60篇；微博微信回应事件126次；其他方式回应事件2442次。</w:t>
      </w:r>
    </w:p>
    <w:p>
      <w:pPr>
        <w:widowControl/>
        <w:spacing w:line="600" w:lineRule="exact"/>
        <w:jc w:val="center"/>
        <w:rPr>
          <w:rFonts w:ascii="黑体" w:hAnsi="宋体" w:eastAsia="黑体" w:cs="宋体"/>
          <w:color w:val="000000"/>
          <w:kern w:val="0"/>
          <w:sz w:val="32"/>
          <w:szCs w:val="32"/>
        </w:rPr>
      </w:pPr>
      <w:r>
        <w:rPr>
          <w:rFonts w:hint="eastAsia" w:ascii="黑体" w:hAnsi="宋体" w:eastAsia="黑体" w:cs="宋体"/>
          <w:bCs/>
          <w:color w:val="000000"/>
          <w:kern w:val="0"/>
          <w:sz w:val="32"/>
          <w:szCs w:val="32"/>
        </w:rPr>
        <w:t>四、依申请公开情况</w:t>
      </w:r>
    </w:p>
    <w:p>
      <w:pPr>
        <w:widowControl/>
        <w:spacing w:line="600" w:lineRule="exact"/>
        <w:ind w:firstLine="640" w:firstLineChars="200"/>
        <w:jc w:val="left"/>
        <w:rPr>
          <w:rFonts w:ascii="楷体_GB2312" w:hAnsi="宋体" w:eastAsia="楷体_GB2312"/>
          <w:sz w:val="32"/>
          <w:szCs w:val="32"/>
        </w:rPr>
      </w:pPr>
      <w:r>
        <w:rPr>
          <w:rFonts w:hint="eastAsia" w:ascii="楷体_GB2312" w:hAnsi="宋体" w:eastAsia="楷体_GB2312"/>
          <w:sz w:val="32"/>
          <w:szCs w:val="32"/>
        </w:rPr>
        <w:t>（一）收到申请数</w:t>
      </w:r>
    </w:p>
    <w:p>
      <w:pPr>
        <w:widowControl/>
        <w:spacing w:line="600" w:lineRule="exact"/>
        <w:ind w:firstLine="640" w:firstLineChars="200"/>
        <w:jc w:val="left"/>
        <w:rPr>
          <w:rFonts w:ascii="楷体_GB2312" w:hAnsi="宋体" w:eastAsia="楷体_GB2312"/>
          <w:sz w:val="32"/>
          <w:szCs w:val="32"/>
        </w:rPr>
      </w:pPr>
      <w:r>
        <w:rPr>
          <w:rFonts w:hint="eastAsia" w:ascii="楷体_GB2312" w:hAnsi="宋体" w:eastAsia="楷体_GB2312"/>
          <w:sz w:val="32"/>
          <w:szCs w:val="32"/>
        </w:rPr>
        <w:t>全区申请总数为824件。其中，当面申请439件，占总数的53.28%；通过互联网申请14件，占总数的1.7%；以传真形式申请0件，占总数的0%；以信函形式申请371件，占总数的45.02%。</w:t>
      </w:r>
    </w:p>
    <w:p>
      <w:pPr>
        <w:widowControl/>
        <w:spacing w:line="600" w:lineRule="exact"/>
        <w:ind w:firstLine="645"/>
        <w:rPr>
          <w:rFonts w:ascii="楷体_GB2312" w:hAnsi="宋体" w:eastAsia="楷体_GB2312"/>
          <w:sz w:val="32"/>
          <w:szCs w:val="32"/>
        </w:rPr>
      </w:pPr>
      <w:r>
        <w:drawing>
          <wp:anchor distT="0" distB="0" distL="114300" distR="114300" simplePos="0" relativeHeight="251667456" behindDoc="0" locked="0" layoutInCell="1" allowOverlap="1">
            <wp:simplePos x="0" y="0"/>
            <wp:positionH relativeFrom="column">
              <wp:posOffset>400050</wp:posOffset>
            </wp:positionH>
            <wp:positionV relativeFrom="paragraph">
              <wp:posOffset>142875</wp:posOffset>
            </wp:positionV>
            <wp:extent cx="4572000" cy="2743200"/>
            <wp:effectExtent l="0" t="0" r="19050" b="1905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r>
        <w:rPr>
          <w:rFonts w:hint="eastAsia" w:ascii="楷体_GB2312" w:hAnsi="宋体" w:eastAsia="楷体_GB2312"/>
          <w:sz w:val="32"/>
          <w:szCs w:val="32"/>
        </w:rPr>
        <w:t>（二）申请办结数</w:t>
      </w:r>
    </w:p>
    <w:p>
      <w:pPr>
        <w:widowControl/>
        <w:spacing w:line="600" w:lineRule="exact"/>
        <w:ind w:firstLine="645"/>
        <w:rPr>
          <w:rFonts w:ascii="楷体_GB2312" w:hAnsi="宋体" w:eastAsia="楷体_GB2312"/>
          <w:sz w:val="32"/>
          <w:szCs w:val="32"/>
        </w:rPr>
      </w:pPr>
      <w:r>
        <w:rPr>
          <w:rFonts w:hint="eastAsia" w:ascii="楷体_GB2312" w:hAnsi="宋体" w:eastAsia="楷体_GB2312"/>
          <w:sz w:val="32"/>
          <w:szCs w:val="32"/>
        </w:rPr>
        <w:t>共办结</w:t>
      </w:r>
      <w:r>
        <w:rPr>
          <w:rFonts w:ascii="楷体_GB2312" w:hAnsi="宋体" w:eastAsia="楷体_GB2312"/>
          <w:sz w:val="32"/>
          <w:szCs w:val="32"/>
        </w:rPr>
        <w:t>752</w:t>
      </w:r>
      <w:r>
        <w:rPr>
          <w:rFonts w:hint="eastAsia" w:ascii="楷体_GB2312" w:hAnsi="宋体" w:eastAsia="楷体_GB2312"/>
          <w:sz w:val="32"/>
          <w:szCs w:val="32"/>
        </w:rPr>
        <w:t>件，其中：按时办结</w:t>
      </w:r>
      <w:r>
        <w:rPr>
          <w:rFonts w:ascii="楷体_GB2312" w:hAnsi="宋体" w:eastAsia="楷体_GB2312"/>
          <w:sz w:val="32"/>
          <w:szCs w:val="32"/>
        </w:rPr>
        <w:t>736</w:t>
      </w:r>
      <w:r>
        <w:rPr>
          <w:rFonts w:hint="eastAsia" w:ascii="楷体_GB2312" w:hAnsi="宋体" w:eastAsia="楷体_GB2312"/>
          <w:sz w:val="32"/>
          <w:szCs w:val="32"/>
        </w:rPr>
        <w:t>件，延期办结16件。</w:t>
      </w:r>
    </w:p>
    <w:p>
      <w:pPr>
        <w:widowControl/>
        <w:spacing w:line="600" w:lineRule="exact"/>
        <w:ind w:firstLine="645"/>
        <w:rPr>
          <w:rFonts w:ascii="楷体_GB2312" w:hAnsi="宋体" w:eastAsia="楷体_GB2312"/>
          <w:sz w:val="32"/>
          <w:szCs w:val="32"/>
        </w:rPr>
      </w:pPr>
      <w:r>
        <w:rPr>
          <w:rFonts w:hint="eastAsia" w:ascii="楷体_GB2312" w:hAnsi="宋体" w:eastAsia="楷体_GB2312"/>
          <w:sz w:val="32"/>
          <w:szCs w:val="32"/>
        </w:rPr>
        <w:t>（三）申请答复数</w:t>
      </w:r>
    </w:p>
    <w:p>
      <w:pPr>
        <w:widowControl/>
        <w:spacing w:line="600" w:lineRule="exact"/>
        <w:ind w:firstLine="645"/>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已到答复期的申请（含2014年年度结转申请）全部按期答复，共答复了752项，其中：</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“已主动公开”38件，占总数的5.05%。</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“同意公开”273件，占总数的36.30%；</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“同意部分公开”7件，占总数的0.93%；</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“不予公开”29件，占总数3.86%；</w:t>
      </w:r>
    </w:p>
    <w:p>
      <w:pPr>
        <w:widowControl/>
        <w:spacing w:line="600" w:lineRule="exact"/>
        <w:ind w:firstLine="640" w:firstLineChars="20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其中：涉及个人隐私2件；</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FF0000"/>
          <w:sz w:val="32"/>
          <w:szCs w:val="32"/>
        </w:rPr>
        <w:t xml:space="preserve">       </w:t>
      </w:r>
      <w:r>
        <w:rPr>
          <w:rFonts w:hint="eastAsia" w:ascii="楷体_GB2312" w:hAnsi="宋体" w:eastAsia="楷体_GB2312"/>
          <w:color w:val="000000" w:themeColor="text1"/>
          <w:sz w:val="32"/>
          <w:szCs w:val="32"/>
          <w14:textFill>
            <w14:solidFill>
              <w14:schemeClr w14:val="tx1"/>
            </w14:solidFill>
          </w14:textFill>
        </w:rPr>
        <w:t>不是《条例》所指政府信息23件；</w:t>
      </w:r>
    </w:p>
    <w:p>
      <w:pPr>
        <w:widowControl/>
        <w:spacing w:line="600" w:lineRule="exact"/>
        <w:ind w:firstLine="1600" w:firstLineChars="50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法律法规规定的其他情形4件；</w:t>
      </w:r>
    </w:p>
    <w:p>
      <w:pPr>
        <w:widowControl/>
        <w:spacing w:line="600" w:lineRule="exact"/>
        <w:ind w:firstLine="640" w:firstLineChars="20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“非本机关信息”54件，占总数的7.18％；</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 xml:space="preserve"> “信息不存在”302件，占总数的40.16％；</w:t>
      </w:r>
    </w:p>
    <w:p>
      <w:pPr>
        <w:widowControl/>
        <w:spacing w:line="600" w:lineRule="exact"/>
        <w:ind w:firstLine="480" w:firstLineChars="15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 xml:space="preserve"> “申请内容不明确”告知申请人更改、补充47件，占总数的6.25％；</w:t>
      </w:r>
    </w:p>
    <w:p>
      <w:pPr>
        <w:widowControl/>
        <w:spacing w:line="600" w:lineRule="exact"/>
        <w:ind w:firstLine="640" w:firstLineChars="200"/>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“告知通过其他途径办理”2件，占总数的0.27％。</w:t>
      </w:r>
    </w:p>
    <w:p>
      <w:pPr>
        <w:widowControl/>
        <w:spacing w:line="600" w:lineRule="exact"/>
        <w:ind w:firstLine="525" w:firstLineChars="250"/>
        <w:rPr>
          <w:rFonts w:ascii="楷体_GB2312" w:hAnsi="宋体" w:eastAsia="楷体_GB2312"/>
          <w:color w:val="000000" w:themeColor="text1"/>
          <w:sz w:val="32"/>
          <w:szCs w:val="32"/>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152400</wp:posOffset>
            </wp:positionH>
            <wp:positionV relativeFrom="paragraph">
              <wp:posOffset>238125</wp:posOffset>
            </wp:positionV>
            <wp:extent cx="5848350" cy="3409950"/>
            <wp:effectExtent l="38100" t="0" r="19050" b="1905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p>
    <w:p>
      <w:pPr>
        <w:widowControl/>
        <w:spacing w:line="600" w:lineRule="exact"/>
        <w:ind w:firstLine="645"/>
        <w:rPr>
          <w:rFonts w:ascii="楷体_GB2312" w:hAnsi="宋体" w:eastAsia="楷体_GB2312"/>
          <w:sz w:val="32"/>
          <w:szCs w:val="32"/>
        </w:rPr>
      </w:pPr>
      <w:r>
        <w:rPr>
          <w:rFonts w:hint="eastAsia" w:ascii="楷体_GB2312" w:hAnsi="宋体" w:eastAsia="楷体_GB2312"/>
          <w:sz w:val="32"/>
          <w:szCs w:val="32"/>
        </w:rPr>
        <w:t>（四）依申请公开政府信息收费情况</w:t>
      </w:r>
    </w:p>
    <w:p>
      <w:pPr>
        <w:widowControl/>
        <w:spacing w:line="600" w:lineRule="exact"/>
        <w:ind w:firstLine="645"/>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按照《北京市行政机关依申请提供政府信息收费办法（试行）》全区各行政机关共收取依申请公开政府信息检索、复制、邮寄等费用41.6元。</w:t>
      </w:r>
    </w:p>
    <w:p>
      <w:pPr>
        <w:widowControl/>
        <w:spacing w:line="600" w:lineRule="exact"/>
        <w:jc w:val="center"/>
        <w:rPr>
          <w:rFonts w:ascii="仿宋_GB2312" w:hAnsi="宋体" w:eastAsia="仿宋_GB2312" w:cs="宋体"/>
          <w:color w:val="000000"/>
          <w:kern w:val="0"/>
          <w:sz w:val="32"/>
          <w:szCs w:val="32"/>
        </w:rPr>
      </w:pPr>
      <w:r>
        <w:rPr>
          <w:rFonts w:hint="eastAsia" w:ascii="黑体" w:hAnsi="宋体" w:eastAsia="黑体" w:cs="宋体"/>
          <w:bCs/>
          <w:color w:val="000000"/>
          <w:kern w:val="0"/>
          <w:sz w:val="32"/>
          <w:szCs w:val="32"/>
        </w:rPr>
        <w:t>五、复议、诉讼和举报情况</w:t>
      </w:r>
    </w:p>
    <w:p>
      <w:pPr>
        <w:widowControl/>
        <w:spacing w:line="600" w:lineRule="exac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按照《条例》第33条规定，公民、法人或者其他组织认为行政机关不依法履行政府信息公开义务的，可以向上级行政机关、监察机关或者政府信息公开工作主管部门举报。收到举报的机关应当予以调查处理。公民、法人或者其他组</w:t>
      </w:r>
      <w:r>
        <w:rPr>
          <w:rFonts w:hint="eastAsia" w:ascii="仿宋_GB2312" w:hAnsi="宋体" w:eastAsia="仿宋_GB2312" w:cs="宋体"/>
          <w:color w:val="000000"/>
          <w:spacing w:val="-2"/>
          <w:kern w:val="0"/>
          <w:sz w:val="32"/>
          <w:szCs w:val="32"/>
        </w:rPr>
        <w:t>织认为行政机关在政府信息公开工作中的具体行政行为侵犯其合法权益的，可以依法申请行政复议或者提起行政诉讼。</w:t>
      </w:r>
    </w:p>
    <w:p>
      <w:pPr>
        <w:widowControl/>
        <w:spacing w:line="600" w:lineRule="exact"/>
        <w:rPr>
          <w:rFonts w:ascii="楷体_GB2312" w:hAnsi="宋体" w:eastAsia="楷体_GB2312" w:cs="宋体"/>
          <w:color w:val="000000"/>
          <w:kern w:val="0"/>
          <w:sz w:val="32"/>
          <w:szCs w:val="32"/>
        </w:rPr>
      </w:pPr>
      <w:r>
        <w:rPr>
          <w:rFonts w:hint="eastAsia" w:ascii="仿宋_GB2312" w:hAnsi="宋体" w:eastAsia="仿宋_GB2312" w:cs="宋体"/>
          <w:color w:val="000000"/>
          <w:kern w:val="0"/>
          <w:sz w:val="32"/>
          <w:szCs w:val="32"/>
        </w:rPr>
        <w:t>　　</w:t>
      </w:r>
      <w:r>
        <w:rPr>
          <w:rFonts w:hint="eastAsia" w:ascii="楷体_GB2312" w:hAnsi="宋体" w:eastAsia="楷体_GB2312" w:cs="宋体"/>
          <w:color w:val="000000"/>
          <w:kern w:val="0"/>
          <w:sz w:val="32"/>
          <w:szCs w:val="32"/>
        </w:rPr>
        <w:t>（一）行政复议</w:t>
      </w:r>
    </w:p>
    <w:p>
      <w:pPr>
        <w:widowControl/>
        <w:spacing w:line="600" w:lineRule="exact"/>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kern w:val="0"/>
          <w:sz w:val="32"/>
          <w:szCs w:val="32"/>
        </w:rPr>
        <w:t>　　</w:t>
      </w:r>
      <w:r>
        <w:rPr>
          <w:rFonts w:hint="eastAsia" w:ascii="仿宋_GB2312" w:hAnsi="宋体" w:eastAsia="仿宋_GB2312" w:cs="宋体"/>
          <w:color w:val="000000" w:themeColor="text1"/>
          <w:kern w:val="0"/>
          <w:sz w:val="32"/>
          <w:szCs w:val="32"/>
          <w14:textFill>
            <w14:solidFill>
              <w14:schemeClr w14:val="tx1"/>
            </w14:solidFill>
          </w14:textFill>
        </w:rPr>
        <w:t>全区各行政机关受理有关政府信息公开行政复议申请43件。其中：维持行政机关具体行为的29件，被依法纠错的11件，其他情形的3件。</w:t>
      </w:r>
    </w:p>
    <w:p>
      <w:pPr>
        <w:widowControl/>
        <w:spacing w:line="600" w:lineRule="exac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r>
        <w:rPr>
          <w:rFonts w:hint="eastAsia" w:ascii="楷体_GB2312" w:hAnsi="宋体" w:eastAsia="楷体_GB2312" w:cs="宋体"/>
          <w:color w:val="000000"/>
          <w:kern w:val="0"/>
          <w:sz w:val="32"/>
          <w:szCs w:val="32"/>
        </w:rPr>
        <w:t>（二）行政诉讼</w:t>
      </w:r>
    </w:p>
    <w:p>
      <w:pPr>
        <w:widowControl/>
        <w:spacing w:line="600" w:lineRule="exact"/>
        <w:ind w:firstLine="645"/>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区政府发生与政府信息公开有关的行政诉讼案件51件。其中：维持具体行政行为或者驳回原告诉讼请求的33件，被依法纠错的10件，其他情形的8件。</w:t>
      </w:r>
    </w:p>
    <w:p>
      <w:pPr>
        <w:widowControl/>
        <w:spacing w:line="600" w:lineRule="exact"/>
        <w:ind w:firstLine="480" w:firstLineChars="150"/>
        <w:rPr>
          <w:rFonts w:ascii="楷体_GB2312" w:hAnsi="宋体" w:eastAsia="楷体_GB2312" w:cs="宋体"/>
          <w:color w:val="000000" w:themeColor="text1"/>
          <w:kern w:val="0"/>
          <w:sz w:val="32"/>
          <w:szCs w:val="32"/>
          <w14:textFill>
            <w14:solidFill>
              <w14:schemeClr w14:val="tx1"/>
            </w14:solidFill>
          </w14:textFill>
        </w:rPr>
      </w:pPr>
      <w:r>
        <w:rPr>
          <w:rFonts w:hint="eastAsia" w:ascii="楷体_GB2312" w:hAnsi="宋体" w:eastAsia="楷体_GB2312" w:cs="宋体"/>
          <w:color w:val="000000" w:themeColor="text1"/>
          <w:kern w:val="0"/>
          <w:sz w:val="32"/>
          <w:szCs w:val="32"/>
          <w14:textFill>
            <w14:solidFill>
              <w14:schemeClr w14:val="tx1"/>
            </w14:solidFill>
          </w14:textFill>
        </w:rPr>
        <w:t>（三）举报</w:t>
      </w:r>
    </w:p>
    <w:p>
      <w:pPr>
        <w:widowControl/>
        <w:spacing w:line="600" w:lineRule="exact"/>
        <w:ind w:firstLine="645"/>
        <w:rPr>
          <w:rFonts w:ascii="仿宋_GB2312" w:hAnsi="宋体" w:eastAsia="仿宋_GB2312" w:cs="宋体"/>
          <w:color w:val="FF0000"/>
          <w:kern w:val="0"/>
          <w:sz w:val="32"/>
          <w:szCs w:val="32"/>
        </w:rPr>
      </w:pPr>
      <w:r>
        <w:rPr>
          <w:rFonts w:hint="eastAsia" w:ascii="仿宋_GB2312" w:hAnsi="宋体" w:eastAsia="仿宋_GB2312" w:cs="宋体"/>
          <w:color w:val="000000" w:themeColor="text1"/>
          <w:kern w:val="0"/>
          <w:sz w:val="32"/>
          <w:szCs w:val="32"/>
          <w14:textFill>
            <w14:solidFill>
              <w14:schemeClr w14:val="tx1"/>
            </w14:solidFill>
          </w14:textFill>
        </w:rPr>
        <w:t>全区发生与政府信息公开有关的举报投诉共1件，经核查，不属实。</w:t>
      </w:r>
    </w:p>
    <w:p>
      <w:pPr>
        <w:widowControl/>
        <w:spacing w:line="600" w:lineRule="exact"/>
        <w:jc w:val="center"/>
        <w:rPr>
          <w:rFonts w:ascii="黑体" w:hAnsi="宋体" w:eastAsia="黑体" w:cs="宋体"/>
          <w:bCs/>
          <w:color w:val="000000"/>
          <w:kern w:val="0"/>
          <w:sz w:val="32"/>
          <w:szCs w:val="32"/>
        </w:rPr>
      </w:pPr>
      <w:r>
        <w:rPr>
          <w:rFonts w:hint="eastAsia" w:ascii="黑体" w:hAnsi="宋体" w:eastAsia="黑体" w:cs="宋体"/>
          <w:bCs/>
          <w:color w:val="000000"/>
          <w:kern w:val="0"/>
          <w:sz w:val="32"/>
          <w:szCs w:val="32"/>
        </w:rPr>
        <w:t>六、机构建设及保障培训情况</w:t>
      </w:r>
    </w:p>
    <w:p>
      <w:pPr>
        <w:widowControl/>
        <w:spacing w:line="600" w:lineRule="exact"/>
        <w:jc w:val="center"/>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　　2015年，我区政府信息公开工作专门机构数为38个，设置政府信息公开查阅点数54个：从事政府信息公开工作人员178人，其中，专职人员数27人，兼职人员数151人，政府信息公开专项经费16950元；全年召开政府信息公开工</w:t>
      </w:r>
    </w:p>
    <w:p>
      <w:pPr>
        <w:widowControl/>
        <w:spacing w:line="600" w:lineRule="exact"/>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作会议或专题会议100次，举办各类培训班99次，接受培训3240人次。</w:t>
      </w:r>
    </w:p>
    <w:p>
      <w:pPr>
        <w:widowControl/>
        <w:spacing w:line="600" w:lineRule="exact"/>
        <w:jc w:val="center"/>
        <w:rPr>
          <w:rFonts w:ascii="黑体" w:hAnsi="宋体" w:eastAsia="黑体" w:cs="宋体"/>
          <w:color w:val="000000"/>
          <w:kern w:val="0"/>
          <w:sz w:val="32"/>
          <w:szCs w:val="32"/>
        </w:rPr>
      </w:pPr>
      <w:r>
        <w:rPr>
          <w:rFonts w:hint="eastAsia" w:ascii="黑体" w:hAnsi="宋体" w:eastAsia="黑体" w:cs="宋体"/>
          <w:bCs/>
          <w:color w:val="000000"/>
          <w:kern w:val="0"/>
          <w:sz w:val="32"/>
          <w:szCs w:val="32"/>
        </w:rPr>
        <w:t>七、存在的不足及改进措施</w:t>
      </w:r>
    </w:p>
    <w:p>
      <w:pPr>
        <w:widowControl/>
        <w:spacing w:line="600" w:lineRule="exac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经过不懈努力，我区的信息公开工作取得了一些成绩，但与社会公众对于政府信息公开透明的需求相比仍然存在诸多需要改进和加强的方面。</w:t>
      </w:r>
    </w:p>
    <w:p>
      <w:pPr>
        <w:widowControl/>
        <w:spacing w:line="600" w:lineRule="exact"/>
        <w:ind w:firstLine="640" w:firstLineChars="200"/>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（一）存在的不足</w:t>
      </w:r>
    </w:p>
    <w:p>
      <w:pPr>
        <w:widowControl/>
        <w:spacing w:line="600" w:lineRule="exact"/>
        <w:ind w:firstLine="640" w:firstLineChars="200"/>
        <w:rPr>
          <w:rFonts w:ascii="仿宋_GB2312" w:hAnsi="方正楷体_GBK" w:eastAsia="仿宋_GB2312" w:cs="方正楷体_GBK"/>
          <w:color w:val="000000"/>
          <w:kern w:val="0"/>
          <w:sz w:val="32"/>
          <w:szCs w:val="32"/>
        </w:rPr>
      </w:pPr>
      <w:r>
        <w:rPr>
          <w:rFonts w:hint="eastAsia" w:ascii="仿宋_GB2312" w:hAnsi="方正楷体_GBK" w:eastAsia="仿宋_GB2312" w:cs="方正楷体_GBK"/>
          <w:color w:val="000000"/>
          <w:kern w:val="0"/>
          <w:sz w:val="32"/>
          <w:szCs w:val="32"/>
        </w:rPr>
        <w:t>一是重点领域信息公开有待进一步加强，公开内容需进一步深化；二是回应公众关切的力度需进一步提高；三是政府信息公开法制化、规范化水平需要进一步提升；四是监督培训指导方面需进一步强化。</w:t>
      </w:r>
    </w:p>
    <w:p>
      <w:pPr>
        <w:widowControl/>
        <w:spacing w:line="600" w:lineRule="exact"/>
        <w:ind w:firstLine="640" w:firstLineChars="200"/>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（二）2016年将重点开展以下工作</w:t>
      </w:r>
    </w:p>
    <w:p>
      <w:pPr>
        <w:widowControl/>
        <w:spacing w:line="600" w:lineRule="exact"/>
        <w:ind w:firstLine="645"/>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是继续扩大公开范围，深化公开内容。围绕区委区政府中心工作，持续推进我区重点领域信息公开工作；二是进一步主动解疑释惑，针对公众关注的热点难点问题，主动、及时回应公众关切；三是进一步规范依申请公开工作，完善受理、办理、答复等工作流程，细化服务标准，提高申请依法办理水平，加强问题分析和案例指导；四是进一步开展教育培训，对主动公开业务量大、依申请公开任务重的单位重点辅导，对重点部门和人员加强业务指导，提升工作水平；五是加强督查考核，进一步提高全区政府信息公开工作水平。</w:t>
      </w:r>
    </w:p>
    <w:p>
      <w:pPr>
        <w:widowControl/>
        <w:wordWrap w:val="0"/>
        <w:spacing w:line="600" w:lineRule="exact"/>
        <w:ind w:firstLine="645"/>
        <w:jc w:val="righ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丰台区人民政府　　　　　　</w:t>
      </w:r>
    </w:p>
    <w:p>
      <w:pPr>
        <w:widowControl/>
        <w:wordWrap w:val="0"/>
        <w:spacing w:line="600" w:lineRule="exact"/>
        <w:ind w:firstLine="645"/>
        <w:jc w:val="right"/>
        <w:rPr>
          <w:rFonts w:ascii="仿宋_GB2312" w:hAnsi="仿宋_GB2312" w:eastAsia="仿宋_GB2312" w:cs="仿宋_GB2312"/>
          <w:color w:val="000000"/>
          <w:kern w:val="0"/>
          <w:sz w:val="32"/>
          <w:szCs w:val="32"/>
        </w:rPr>
      </w:pPr>
      <w:r>
        <w:rPr>
          <w:rFonts w:hint="eastAsia" w:ascii="仿宋_GB2312" w:hAnsi="宋体" w:eastAsia="仿宋_GB2312" w:cs="宋体"/>
          <w:color w:val="000000"/>
          <w:kern w:val="0"/>
          <w:sz w:val="32"/>
          <w:szCs w:val="32"/>
        </w:rPr>
        <w:t>二</w:t>
      </w:r>
      <w:r>
        <w:rPr>
          <w:rFonts w:hint="eastAsia" w:ascii="宋体" w:hAnsi="宋体" w:cs="宋体"/>
          <w:color w:val="000000"/>
          <w:kern w:val="0"/>
          <w:sz w:val="32"/>
          <w:szCs w:val="32"/>
        </w:rPr>
        <w:t>〇</w:t>
      </w:r>
      <w:r>
        <w:rPr>
          <w:rFonts w:hint="eastAsia" w:ascii="仿宋_GB2312" w:hAnsi="仿宋_GB2312" w:eastAsia="仿宋_GB2312" w:cs="仿宋_GB2312"/>
          <w:color w:val="000000"/>
          <w:kern w:val="0"/>
          <w:sz w:val="32"/>
          <w:szCs w:val="32"/>
        </w:rPr>
        <w:t>一六年三月　</w:t>
      </w:r>
    </w:p>
    <w:tbl>
      <w:tblPr>
        <w:tblStyle w:val="6"/>
        <w:tblW w:w="9555" w:type="dxa"/>
        <w:jc w:val="center"/>
        <w:tblLayout w:type="autofit"/>
        <w:tblCellMar>
          <w:top w:w="0" w:type="dxa"/>
          <w:left w:w="108" w:type="dxa"/>
          <w:bottom w:w="0" w:type="dxa"/>
          <w:right w:w="108" w:type="dxa"/>
        </w:tblCellMar>
      </w:tblPr>
      <w:tblGrid>
        <w:gridCol w:w="7755"/>
        <w:gridCol w:w="720"/>
        <w:gridCol w:w="1080"/>
      </w:tblGrid>
      <w:tr>
        <w:tblPrEx>
          <w:tblCellMar>
            <w:top w:w="0" w:type="dxa"/>
            <w:left w:w="108" w:type="dxa"/>
            <w:bottom w:w="0" w:type="dxa"/>
            <w:right w:w="108" w:type="dxa"/>
          </w:tblCellMar>
        </w:tblPrEx>
        <w:trPr>
          <w:trHeight w:val="540" w:hRule="atLeast"/>
          <w:jc w:val="center"/>
        </w:trPr>
        <w:tc>
          <w:tcPr>
            <w:tcW w:w="9555" w:type="dxa"/>
            <w:gridSpan w:val="3"/>
            <w:noWrap/>
            <w:vAlign w:val="center"/>
          </w:tcPr>
          <w:p>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tc>
      </w:tr>
      <w:tr>
        <w:tblPrEx>
          <w:tblCellMar>
            <w:top w:w="0" w:type="dxa"/>
            <w:left w:w="108" w:type="dxa"/>
            <w:bottom w:w="0" w:type="dxa"/>
            <w:right w:w="108" w:type="dxa"/>
          </w:tblCellMar>
        </w:tblPrEx>
        <w:trPr>
          <w:trHeight w:val="285" w:hRule="atLeast"/>
          <w:jc w:val="center"/>
        </w:trPr>
        <w:tc>
          <w:tcPr>
            <w:tcW w:w="9555" w:type="dxa"/>
            <w:gridSpan w:val="3"/>
            <w:noWrap/>
            <w:vAlign w:val="center"/>
          </w:tcPr>
          <w:p>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（2015年度）</w:t>
            </w:r>
          </w:p>
        </w:tc>
      </w:tr>
      <w:tr>
        <w:tblPrEx>
          <w:tblCellMar>
            <w:top w:w="0" w:type="dxa"/>
            <w:left w:w="108" w:type="dxa"/>
            <w:bottom w:w="0" w:type="dxa"/>
            <w:right w:w="108" w:type="dxa"/>
          </w:tblCellMar>
        </w:tblPrEx>
        <w:trPr>
          <w:trHeight w:val="405" w:hRule="atLeast"/>
          <w:jc w:val="center"/>
        </w:trPr>
        <w:tc>
          <w:tcPr>
            <w:tcW w:w="7755" w:type="dxa"/>
            <w:noWrap/>
            <w:vAlign w:val="center"/>
          </w:tcPr>
          <w:p>
            <w:pPr>
              <w:widowControl/>
              <w:jc w:val="left"/>
              <w:rPr>
                <w:rFonts w:ascii="宋体" w:hAnsi="宋体" w:cs="宋体"/>
                <w:color w:val="000000"/>
                <w:kern w:val="0"/>
                <w:sz w:val="22"/>
                <w:szCs w:val="22"/>
              </w:rPr>
            </w:pPr>
          </w:p>
        </w:tc>
        <w:tc>
          <w:tcPr>
            <w:tcW w:w="720" w:type="dxa"/>
            <w:noWrap/>
            <w:vAlign w:val="center"/>
          </w:tcPr>
          <w:p>
            <w:pPr>
              <w:widowControl/>
              <w:jc w:val="center"/>
              <w:rPr>
                <w:rFonts w:ascii="宋体" w:hAnsi="宋体" w:cs="宋体"/>
                <w:color w:val="000000"/>
                <w:kern w:val="0"/>
                <w:sz w:val="22"/>
                <w:szCs w:val="22"/>
              </w:rPr>
            </w:pPr>
          </w:p>
        </w:tc>
        <w:tc>
          <w:tcPr>
            <w:tcW w:w="1080" w:type="dxa"/>
            <w:noWrap/>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02" w:hRule="atLeast"/>
          <w:jc w:val="center"/>
        </w:trPr>
        <w:tc>
          <w:tcPr>
            <w:tcW w:w="7755" w:type="dxa"/>
            <w:tcBorders>
              <w:top w:val="single" w:color="auto" w:sz="8" w:space="0"/>
              <w:left w:val="single" w:color="auto" w:sz="8" w:space="0"/>
              <w:bottom w:val="single" w:color="auto" w:sz="4" w:space="0"/>
              <w:right w:val="single" w:color="auto" w:sz="4" w:space="0"/>
            </w:tcBorders>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8"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60" w:hRule="atLeast"/>
          <w:jc w:val="center"/>
        </w:trPr>
        <w:tc>
          <w:tcPr>
            <w:tcW w:w="7755" w:type="dxa"/>
            <w:tcBorders>
              <w:top w:val="nil"/>
              <w:left w:val="single" w:color="auto" w:sz="8"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32331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331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nil"/>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1139</w:t>
            </w:r>
          </w:p>
        </w:tc>
      </w:tr>
      <w:tr>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8"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3281</w:t>
            </w:r>
          </w:p>
        </w:tc>
      </w:tr>
      <w:tr>
        <w:tblPrEx>
          <w:tblCellMar>
            <w:top w:w="0" w:type="dxa"/>
            <w:left w:w="108" w:type="dxa"/>
            <w:bottom w:w="0" w:type="dxa"/>
            <w:right w:w="108" w:type="dxa"/>
          </w:tblCellMar>
        </w:tblPrEx>
        <w:trPr>
          <w:trHeight w:val="600"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w:t>
            </w:r>
            <w:r>
              <w:rPr>
                <w:rFonts w:hint="eastAsia" w:ascii="仿宋_GB2312" w:hAnsi="宋体" w:eastAsia="仿宋_GB2312" w:cs="宋体"/>
                <w:kern w:val="0"/>
                <w:sz w:val="24"/>
                <w:lang w:eastAsia="zh-CN"/>
              </w:rPr>
              <w:t>“三公”经费</w:t>
            </w:r>
            <w:r>
              <w:rPr>
                <w:rFonts w:hint="eastAsia" w:ascii="仿宋_GB2312" w:hAnsi="宋体" w:eastAsia="仿宋_GB2312" w:cs="宋体"/>
                <w:kern w:val="0"/>
                <w:sz w:val="24"/>
              </w:rPr>
              <w:t>和行政经费信息数</w:t>
            </w:r>
          </w:p>
        </w:tc>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164</w:t>
            </w:r>
          </w:p>
        </w:tc>
      </w:tr>
      <w:tr>
        <w:tblPrEx>
          <w:tblCellMar>
            <w:top w:w="0" w:type="dxa"/>
            <w:left w:w="108" w:type="dxa"/>
            <w:bottom w:w="0" w:type="dxa"/>
            <w:right w:w="108" w:type="dxa"/>
          </w:tblCellMar>
        </w:tblPrEx>
        <w:trPr>
          <w:trHeight w:val="64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105</w:t>
            </w:r>
          </w:p>
        </w:tc>
      </w:tr>
      <w:tr>
        <w:tblPrEx>
          <w:tblCellMar>
            <w:top w:w="0" w:type="dxa"/>
            <w:left w:w="108" w:type="dxa"/>
            <w:bottom w:w="0" w:type="dxa"/>
            <w:right w:w="108" w:type="dxa"/>
          </w:tblCellMar>
        </w:tblPrEx>
        <w:trPr>
          <w:trHeight w:val="570"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243</w:t>
            </w:r>
          </w:p>
        </w:tc>
      </w:tr>
      <w:tr>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105</w:t>
            </w:r>
          </w:p>
        </w:tc>
      </w:tr>
      <w:tr>
        <w:tblPrEx>
          <w:tblCellMar>
            <w:top w:w="0" w:type="dxa"/>
            <w:left w:w="108" w:type="dxa"/>
            <w:bottom w:w="0" w:type="dxa"/>
            <w:right w:w="108" w:type="dxa"/>
          </w:tblCellMar>
        </w:tblPrEx>
        <w:trPr>
          <w:trHeight w:val="780"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30</w:t>
            </w:r>
          </w:p>
        </w:tc>
      </w:tr>
      <w:tr>
        <w:tblPrEx>
          <w:tblCellMar>
            <w:top w:w="0" w:type="dxa"/>
            <w:left w:w="108" w:type="dxa"/>
            <w:bottom w:w="0" w:type="dxa"/>
            <w:right w:w="108" w:type="dxa"/>
          </w:tblCellMar>
        </w:tblPrEx>
        <w:trPr>
          <w:trHeight w:val="55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750</w:t>
            </w:r>
          </w:p>
        </w:tc>
      </w:tr>
      <w:tr>
        <w:tblPrEx>
          <w:tblCellMar>
            <w:top w:w="0" w:type="dxa"/>
            <w:left w:w="108" w:type="dxa"/>
            <w:bottom w:w="0" w:type="dxa"/>
            <w:right w:w="108" w:type="dxa"/>
          </w:tblCellMar>
        </w:tblPrEx>
        <w:trPr>
          <w:trHeight w:val="690"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5</w:t>
            </w:r>
          </w:p>
        </w:tc>
      </w:tr>
      <w:tr>
        <w:tblPrEx>
          <w:tblCellMar>
            <w:top w:w="0" w:type="dxa"/>
            <w:left w:w="108" w:type="dxa"/>
            <w:bottom w:w="0" w:type="dxa"/>
            <w:right w:w="108" w:type="dxa"/>
          </w:tblCellMar>
        </w:tblPrEx>
        <w:trPr>
          <w:trHeight w:val="720"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4</w:t>
            </w:r>
          </w:p>
        </w:tc>
      </w:tr>
      <w:tr>
        <w:tblPrEx>
          <w:tblCellMar>
            <w:top w:w="0" w:type="dxa"/>
            <w:left w:w="108" w:type="dxa"/>
            <w:bottom w:w="0" w:type="dxa"/>
            <w:right w:w="108" w:type="dxa"/>
          </w:tblCellMar>
        </w:tblPrEx>
        <w:trPr>
          <w:trHeight w:val="52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15</w:t>
            </w:r>
          </w:p>
        </w:tc>
      </w:tr>
      <w:tr>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34</w:t>
            </w:r>
          </w:p>
        </w:tc>
      </w:tr>
      <w:tr>
        <w:tblPrEx>
          <w:tblCellMar>
            <w:top w:w="0" w:type="dxa"/>
            <w:left w:w="108" w:type="dxa"/>
            <w:bottom w:w="0" w:type="dxa"/>
            <w:right w:w="108" w:type="dxa"/>
          </w:tblCellMar>
        </w:tblPrEx>
        <w:trPr>
          <w:trHeight w:val="67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nil"/>
              <w:left w:val="single" w:color="auto" w:sz="4" w:space="0"/>
              <w:bottom w:val="single" w:color="auto" w:sz="8"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8"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235</w:t>
            </w:r>
          </w:p>
        </w:tc>
      </w:tr>
      <w:tr>
        <w:tblPrEx>
          <w:tblCellMar>
            <w:top w:w="0" w:type="dxa"/>
            <w:left w:w="108" w:type="dxa"/>
            <w:bottom w:w="0" w:type="dxa"/>
            <w:right w:w="108" w:type="dxa"/>
          </w:tblCellMar>
        </w:tblPrEx>
        <w:trPr>
          <w:trHeight w:val="405"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8" w:space="0"/>
              <w:left w:val="single" w:color="auto" w:sz="4" w:space="0"/>
              <w:bottom w:val="single" w:color="auto" w:sz="8"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1591</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8" w:space="0"/>
              <w:left w:val="nil"/>
              <w:bottom w:val="single" w:color="auto" w:sz="4" w:space="0"/>
              <w:right w:val="single" w:color="auto" w:sz="4" w:space="0"/>
              <w:tr2bl w:val="single" w:color="auto" w:sz="4" w:space="0"/>
            </w:tcBorders>
            <w:noWrap/>
            <w:vAlign w:val="center"/>
          </w:tcPr>
          <w:p>
            <w:pPr>
              <w:widowControl/>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noWrap/>
            <w:vAlign w:val="center"/>
          </w:tcPr>
          <w:p>
            <w:pPr>
              <w:jc w:val="center"/>
              <w:rPr>
                <w:rFonts w:ascii="宋体" w:hAnsi="宋体" w:cs="宋体"/>
                <w:color w:val="000000"/>
                <w:sz w:val="22"/>
                <w:szCs w:val="22"/>
              </w:rPr>
            </w:pPr>
            <w:r>
              <w:rPr>
                <w:rFonts w:hint="eastAsia"/>
                <w:color w:val="000000"/>
                <w:sz w:val="22"/>
                <w:szCs w:val="22"/>
              </w:rPr>
              <w:t>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20493</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6247</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807</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4784</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302</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14</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3</w:t>
            </w: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60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126</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2442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824</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439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14</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371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752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736</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16</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ascii="仿宋_GB2312" w:hAnsi="宋体" w:eastAsia="仿宋_GB2312" w:cs="宋体"/>
                <w:kern w:val="0"/>
                <w:sz w:val="24"/>
              </w:rPr>
              <w:t>752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38</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273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23</w:t>
            </w:r>
          </w:p>
        </w:tc>
      </w:tr>
      <w:tr>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54</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302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47</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33</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元</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41.6</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38</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54</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178</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27</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151</w:t>
            </w:r>
          </w:p>
        </w:tc>
      </w:tr>
      <w:tr>
        <w:tblPrEx>
          <w:tblCellMar>
            <w:top w:w="0" w:type="dxa"/>
            <w:left w:w="108" w:type="dxa"/>
            <w:bottom w:w="0" w:type="dxa"/>
            <w:right w:w="108" w:type="dxa"/>
          </w:tblCellMar>
        </w:tblPrEx>
        <w:trPr>
          <w:trHeight w:val="660" w:hRule="atLeast"/>
          <w:jc w:val="center"/>
        </w:trPr>
        <w:tc>
          <w:tcPr>
            <w:tcW w:w="7755" w:type="dxa"/>
            <w:tcBorders>
              <w:top w:val="nil"/>
              <w:left w:val="single" w:color="auto" w:sz="8" w:space="0"/>
              <w:bottom w:val="single" w:color="auto" w:sz="4" w:space="0"/>
              <w:right w:val="single" w:color="auto" w:sz="4" w:space="0"/>
            </w:tcBorders>
            <w:vAlign w:val="center"/>
          </w:tcPr>
          <w:p>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1.695</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100</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99</w:t>
            </w:r>
          </w:p>
        </w:tc>
      </w:tr>
      <w:tr>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8"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nil"/>
              <w:left w:val="nil"/>
              <w:bottom w:val="single" w:color="auto" w:sz="8"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3240</w:t>
            </w:r>
          </w:p>
        </w:tc>
      </w:tr>
    </w:tbl>
    <w:p>
      <w:pPr>
        <w:widowControl/>
        <w:spacing w:line="600" w:lineRule="exact"/>
        <w:ind w:right="640"/>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　　　</w:t>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3C004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11</w:t>
    </w:r>
    <w:r>
      <w:rPr>
        <w:rStyle w:val="8"/>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ZmZjOTc5NTQ5YTFkN2NhZTc2MzE3OWJhYjZhMTYifQ=="/>
    <w:docVar w:name="KSO_WPS_MARK_KEY" w:val="a79783a5-a1dd-4c14-b1a6-5042e6c8ac4e"/>
  </w:docVars>
  <w:rsids>
    <w:rsidRoot w:val="00EF35E7"/>
    <w:rsid w:val="0000534B"/>
    <w:rsid w:val="00007775"/>
    <w:rsid w:val="00007A05"/>
    <w:rsid w:val="00017A54"/>
    <w:rsid w:val="0002022B"/>
    <w:rsid w:val="00021528"/>
    <w:rsid w:val="00023373"/>
    <w:rsid w:val="00032E38"/>
    <w:rsid w:val="00034CC9"/>
    <w:rsid w:val="0004032E"/>
    <w:rsid w:val="00043E85"/>
    <w:rsid w:val="0004722B"/>
    <w:rsid w:val="00047A31"/>
    <w:rsid w:val="00051278"/>
    <w:rsid w:val="00052DF7"/>
    <w:rsid w:val="00053CFD"/>
    <w:rsid w:val="000547AB"/>
    <w:rsid w:val="00055314"/>
    <w:rsid w:val="00064ED9"/>
    <w:rsid w:val="000667E6"/>
    <w:rsid w:val="000668E8"/>
    <w:rsid w:val="00072301"/>
    <w:rsid w:val="0007533A"/>
    <w:rsid w:val="000765C9"/>
    <w:rsid w:val="0008694C"/>
    <w:rsid w:val="0009522B"/>
    <w:rsid w:val="000966F1"/>
    <w:rsid w:val="00096A4C"/>
    <w:rsid w:val="000A448D"/>
    <w:rsid w:val="000B3319"/>
    <w:rsid w:val="000C5862"/>
    <w:rsid w:val="000C6011"/>
    <w:rsid w:val="000C7B45"/>
    <w:rsid w:val="000D61E8"/>
    <w:rsid w:val="000E6291"/>
    <w:rsid w:val="000F1617"/>
    <w:rsid w:val="000F2269"/>
    <w:rsid w:val="000F2E38"/>
    <w:rsid w:val="000F367C"/>
    <w:rsid w:val="00107D97"/>
    <w:rsid w:val="00111B0A"/>
    <w:rsid w:val="0012445F"/>
    <w:rsid w:val="0013736B"/>
    <w:rsid w:val="00137E87"/>
    <w:rsid w:val="0014122A"/>
    <w:rsid w:val="00143608"/>
    <w:rsid w:val="00150F3B"/>
    <w:rsid w:val="00151970"/>
    <w:rsid w:val="001561A2"/>
    <w:rsid w:val="001577EF"/>
    <w:rsid w:val="00162A3C"/>
    <w:rsid w:val="001630B8"/>
    <w:rsid w:val="0017026B"/>
    <w:rsid w:val="001809FF"/>
    <w:rsid w:val="001810E2"/>
    <w:rsid w:val="00190F44"/>
    <w:rsid w:val="001A5877"/>
    <w:rsid w:val="001B415D"/>
    <w:rsid w:val="001B7C34"/>
    <w:rsid w:val="001C3355"/>
    <w:rsid w:val="001C61D5"/>
    <w:rsid w:val="001C6E0E"/>
    <w:rsid w:val="001D0F6C"/>
    <w:rsid w:val="001D5349"/>
    <w:rsid w:val="001D5F90"/>
    <w:rsid w:val="001D6AFD"/>
    <w:rsid w:val="001E6766"/>
    <w:rsid w:val="001F0F0B"/>
    <w:rsid w:val="001F4335"/>
    <w:rsid w:val="00205EC7"/>
    <w:rsid w:val="002105C2"/>
    <w:rsid w:val="002113C7"/>
    <w:rsid w:val="00213361"/>
    <w:rsid w:val="00215C4F"/>
    <w:rsid w:val="00215FAB"/>
    <w:rsid w:val="002213AC"/>
    <w:rsid w:val="00222854"/>
    <w:rsid w:val="00233637"/>
    <w:rsid w:val="00235023"/>
    <w:rsid w:val="00244B72"/>
    <w:rsid w:val="00246B5B"/>
    <w:rsid w:val="00247371"/>
    <w:rsid w:val="002570A6"/>
    <w:rsid w:val="002615B7"/>
    <w:rsid w:val="00266820"/>
    <w:rsid w:val="00266836"/>
    <w:rsid w:val="0026749A"/>
    <w:rsid w:val="00271952"/>
    <w:rsid w:val="00286A3D"/>
    <w:rsid w:val="00295B37"/>
    <w:rsid w:val="002A0D2C"/>
    <w:rsid w:val="002A68C9"/>
    <w:rsid w:val="002A7286"/>
    <w:rsid w:val="002B034B"/>
    <w:rsid w:val="002B45D8"/>
    <w:rsid w:val="002C0D20"/>
    <w:rsid w:val="002C2481"/>
    <w:rsid w:val="002C58AD"/>
    <w:rsid w:val="002C6510"/>
    <w:rsid w:val="002D39FB"/>
    <w:rsid w:val="002D503F"/>
    <w:rsid w:val="002D614D"/>
    <w:rsid w:val="002E24DE"/>
    <w:rsid w:val="002F2CF7"/>
    <w:rsid w:val="00306299"/>
    <w:rsid w:val="003133E0"/>
    <w:rsid w:val="003147B3"/>
    <w:rsid w:val="00326299"/>
    <w:rsid w:val="003353CA"/>
    <w:rsid w:val="00340A57"/>
    <w:rsid w:val="003413A8"/>
    <w:rsid w:val="00354321"/>
    <w:rsid w:val="00356F9A"/>
    <w:rsid w:val="00362A8F"/>
    <w:rsid w:val="0036536F"/>
    <w:rsid w:val="003723F6"/>
    <w:rsid w:val="00376392"/>
    <w:rsid w:val="003849C0"/>
    <w:rsid w:val="00384BCD"/>
    <w:rsid w:val="00387D58"/>
    <w:rsid w:val="003939F9"/>
    <w:rsid w:val="00395604"/>
    <w:rsid w:val="00396504"/>
    <w:rsid w:val="003A075E"/>
    <w:rsid w:val="003A3356"/>
    <w:rsid w:val="003A53B5"/>
    <w:rsid w:val="003A629A"/>
    <w:rsid w:val="003B1A85"/>
    <w:rsid w:val="003B2088"/>
    <w:rsid w:val="003B3609"/>
    <w:rsid w:val="003C0683"/>
    <w:rsid w:val="003C0D83"/>
    <w:rsid w:val="003C4519"/>
    <w:rsid w:val="003C5C13"/>
    <w:rsid w:val="003C5E11"/>
    <w:rsid w:val="003C788B"/>
    <w:rsid w:val="003C7B63"/>
    <w:rsid w:val="003D0515"/>
    <w:rsid w:val="003D051E"/>
    <w:rsid w:val="003D319D"/>
    <w:rsid w:val="003E1116"/>
    <w:rsid w:val="003E19A5"/>
    <w:rsid w:val="003E441B"/>
    <w:rsid w:val="003F2143"/>
    <w:rsid w:val="00407DD0"/>
    <w:rsid w:val="00415B56"/>
    <w:rsid w:val="00415D69"/>
    <w:rsid w:val="00415F95"/>
    <w:rsid w:val="00427A70"/>
    <w:rsid w:val="004327D9"/>
    <w:rsid w:val="00433E1F"/>
    <w:rsid w:val="00437C42"/>
    <w:rsid w:val="004404CD"/>
    <w:rsid w:val="004418A9"/>
    <w:rsid w:val="00446D97"/>
    <w:rsid w:val="00453D93"/>
    <w:rsid w:val="004564E2"/>
    <w:rsid w:val="004607B7"/>
    <w:rsid w:val="004617FD"/>
    <w:rsid w:val="00462836"/>
    <w:rsid w:val="004628BE"/>
    <w:rsid w:val="004637AD"/>
    <w:rsid w:val="004659BA"/>
    <w:rsid w:val="00466343"/>
    <w:rsid w:val="00471E90"/>
    <w:rsid w:val="00475BBE"/>
    <w:rsid w:val="004841EE"/>
    <w:rsid w:val="00486041"/>
    <w:rsid w:val="004863F7"/>
    <w:rsid w:val="00491EE7"/>
    <w:rsid w:val="004930C0"/>
    <w:rsid w:val="00495384"/>
    <w:rsid w:val="004A0860"/>
    <w:rsid w:val="004A2799"/>
    <w:rsid w:val="004A3F61"/>
    <w:rsid w:val="004A4911"/>
    <w:rsid w:val="004B2469"/>
    <w:rsid w:val="004B4FF9"/>
    <w:rsid w:val="004D16F1"/>
    <w:rsid w:val="004D3525"/>
    <w:rsid w:val="004D50A5"/>
    <w:rsid w:val="004D5B17"/>
    <w:rsid w:val="004D5F96"/>
    <w:rsid w:val="004E19F7"/>
    <w:rsid w:val="004E24BB"/>
    <w:rsid w:val="004E76B4"/>
    <w:rsid w:val="004F3B41"/>
    <w:rsid w:val="004F4819"/>
    <w:rsid w:val="004F6BC4"/>
    <w:rsid w:val="0050082A"/>
    <w:rsid w:val="0050695D"/>
    <w:rsid w:val="0051345F"/>
    <w:rsid w:val="0052110E"/>
    <w:rsid w:val="00542252"/>
    <w:rsid w:val="005544E0"/>
    <w:rsid w:val="00561C8D"/>
    <w:rsid w:val="0057144F"/>
    <w:rsid w:val="00581A3B"/>
    <w:rsid w:val="0058210C"/>
    <w:rsid w:val="005854E0"/>
    <w:rsid w:val="00591D29"/>
    <w:rsid w:val="00595048"/>
    <w:rsid w:val="005A7F9C"/>
    <w:rsid w:val="005B25C5"/>
    <w:rsid w:val="005B5595"/>
    <w:rsid w:val="005B5646"/>
    <w:rsid w:val="005B5AA3"/>
    <w:rsid w:val="005B6C8F"/>
    <w:rsid w:val="005B7F77"/>
    <w:rsid w:val="005C0130"/>
    <w:rsid w:val="005C2DB2"/>
    <w:rsid w:val="005C398C"/>
    <w:rsid w:val="005C3A1C"/>
    <w:rsid w:val="005D1ADE"/>
    <w:rsid w:val="005D2595"/>
    <w:rsid w:val="005D3082"/>
    <w:rsid w:val="005D3D6D"/>
    <w:rsid w:val="005E61CF"/>
    <w:rsid w:val="005E6C5F"/>
    <w:rsid w:val="005F4CAD"/>
    <w:rsid w:val="005F71A8"/>
    <w:rsid w:val="00604DFA"/>
    <w:rsid w:val="006100A8"/>
    <w:rsid w:val="00610424"/>
    <w:rsid w:val="00614044"/>
    <w:rsid w:val="00615031"/>
    <w:rsid w:val="00615780"/>
    <w:rsid w:val="006217AE"/>
    <w:rsid w:val="00621973"/>
    <w:rsid w:val="00622B71"/>
    <w:rsid w:val="0062474E"/>
    <w:rsid w:val="00631F2B"/>
    <w:rsid w:val="00634AB7"/>
    <w:rsid w:val="00637445"/>
    <w:rsid w:val="0064256C"/>
    <w:rsid w:val="00642DFC"/>
    <w:rsid w:val="00653DFF"/>
    <w:rsid w:val="00654ED7"/>
    <w:rsid w:val="00657A2E"/>
    <w:rsid w:val="00666D56"/>
    <w:rsid w:val="0067241F"/>
    <w:rsid w:val="0067611D"/>
    <w:rsid w:val="00676525"/>
    <w:rsid w:val="006779DA"/>
    <w:rsid w:val="00680CA8"/>
    <w:rsid w:val="00681B03"/>
    <w:rsid w:val="00681C49"/>
    <w:rsid w:val="00682AF4"/>
    <w:rsid w:val="0068346E"/>
    <w:rsid w:val="00684BE3"/>
    <w:rsid w:val="006855C5"/>
    <w:rsid w:val="006862D0"/>
    <w:rsid w:val="00691CB7"/>
    <w:rsid w:val="006966F5"/>
    <w:rsid w:val="006970CF"/>
    <w:rsid w:val="006A1760"/>
    <w:rsid w:val="006A3D78"/>
    <w:rsid w:val="006A516D"/>
    <w:rsid w:val="006A598D"/>
    <w:rsid w:val="006A745C"/>
    <w:rsid w:val="006B16E1"/>
    <w:rsid w:val="006C43F2"/>
    <w:rsid w:val="006C6271"/>
    <w:rsid w:val="006C67D0"/>
    <w:rsid w:val="006C77C3"/>
    <w:rsid w:val="006D1A78"/>
    <w:rsid w:val="006D39F0"/>
    <w:rsid w:val="006D5704"/>
    <w:rsid w:val="006E04AD"/>
    <w:rsid w:val="006F0729"/>
    <w:rsid w:val="006F1BB0"/>
    <w:rsid w:val="006F270F"/>
    <w:rsid w:val="006F2D4B"/>
    <w:rsid w:val="006F46F5"/>
    <w:rsid w:val="006F4AB9"/>
    <w:rsid w:val="006F72E9"/>
    <w:rsid w:val="007009F5"/>
    <w:rsid w:val="00702934"/>
    <w:rsid w:val="00710164"/>
    <w:rsid w:val="0071059E"/>
    <w:rsid w:val="0072417D"/>
    <w:rsid w:val="0073208B"/>
    <w:rsid w:val="00735700"/>
    <w:rsid w:val="0073635F"/>
    <w:rsid w:val="007439EA"/>
    <w:rsid w:val="00754817"/>
    <w:rsid w:val="00756857"/>
    <w:rsid w:val="00773456"/>
    <w:rsid w:val="00775BAD"/>
    <w:rsid w:val="00777463"/>
    <w:rsid w:val="00780A13"/>
    <w:rsid w:val="00786CAA"/>
    <w:rsid w:val="0079581A"/>
    <w:rsid w:val="007A049F"/>
    <w:rsid w:val="007A3ACC"/>
    <w:rsid w:val="007B1DC6"/>
    <w:rsid w:val="007B6F90"/>
    <w:rsid w:val="007C04C5"/>
    <w:rsid w:val="007C0880"/>
    <w:rsid w:val="007C2957"/>
    <w:rsid w:val="007D2558"/>
    <w:rsid w:val="007D2A10"/>
    <w:rsid w:val="007D2F7D"/>
    <w:rsid w:val="007D6DFA"/>
    <w:rsid w:val="007E5C53"/>
    <w:rsid w:val="007E6144"/>
    <w:rsid w:val="007F0760"/>
    <w:rsid w:val="007F274F"/>
    <w:rsid w:val="007F3B48"/>
    <w:rsid w:val="00800E9C"/>
    <w:rsid w:val="00801FED"/>
    <w:rsid w:val="008047D8"/>
    <w:rsid w:val="00806026"/>
    <w:rsid w:val="00813021"/>
    <w:rsid w:val="008158FF"/>
    <w:rsid w:val="00815AAF"/>
    <w:rsid w:val="00817FDF"/>
    <w:rsid w:val="008203D0"/>
    <w:rsid w:val="008222BA"/>
    <w:rsid w:val="00823A25"/>
    <w:rsid w:val="008306C4"/>
    <w:rsid w:val="008340D1"/>
    <w:rsid w:val="008354AB"/>
    <w:rsid w:val="00845EF9"/>
    <w:rsid w:val="00847F55"/>
    <w:rsid w:val="0085139F"/>
    <w:rsid w:val="00853A67"/>
    <w:rsid w:val="00860302"/>
    <w:rsid w:val="0086164E"/>
    <w:rsid w:val="008648C0"/>
    <w:rsid w:val="00866230"/>
    <w:rsid w:val="00866FB6"/>
    <w:rsid w:val="0087015C"/>
    <w:rsid w:val="008725AE"/>
    <w:rsid w:val="00874383"/>
    <w:rsid w:val="008806E9"/>
    <w:rsid w:val="00882191"/>
    <w:rsid w:val="00890398"/>
    <w:rsid w:val="00891262"/>
    <w:rsid w:val="0089450F"/>
    <w:rsid w:val="008A115F"/>
    <w:rsid w:val="008A2FDD"/>
    <w:rsid w:val="008B5330"/>
    <w:rsid w:val="008B5646"/>
    <w:rsid w:val="008B56A3"/>
    <w:rsid w:val="008C4000"/>
    <w:rsid w:val="008C51A5"/>
    <w:rsid w:val="008D2362"/>
    <w:rsid w:val="008D762E"/>
    <w:rsid w:val="008E481E"/>
    <w:rsid w:val="008E6D12"/>
    <w:rsid w:val="008E7E78"/>
    <w:rsid w:val="008E7E90"/>
    <w:rsid w:val="008F166F"/>
    <w:rsid w:val="00905B37"/>
    <w:rsid w:val="00913BC3"/>
    <w:rsid w:val="00916A97"/>
    <w:rsid w:val="00917D87"/>
    <w:rsid w:val="0092270D"/>
    <w:rsid w:val="009335F3"/>
    <w:rsid w:val="0094500D"/>
    <w:rsid w:val="009450F1"/>
    <w:rsid w:val="00956946"/>
    <w:rsid w:val="009606C5"/>
    <w:rsid w:val="00963010"/>
    <w:rsid w:val="009633DF"/>
    <w:rsid w:val="009652C1"/>
    <w:rsid w:val="00974084"/>
    <w:rsid w:val="00977932"/>
    <w:rsid w:val="00980FB9"/>
    <w:rsid w:val="009912BF"/>
    <w:rsid w:val="009A17A1"/>
    <w:rsid w:val="009A24FA"/>
    <w:rsid w:val="009A5147"/>
    <w:rsid w:val="009A6069"/>
    <w:rsid w:val="009D56B7"/>
    <w:rsid w:val="009D6FBA"/>
    <w:rsid w:val="009E0284"/>
    <w:rsid w:val="009E748F"/>
    <w:rsid w:val="009F3F4F"/>
    <w:rsid w:val="009F6389"/>
    <w:rsid w:val="00A002D2"/>
    <w:rsid w:val="00A13636"/>
    <w:rsid w:val="00A1598B"/>
    <w:rsid w:val="00A27A05"/>
    <w:rsid w:val="00A27C5B"/>
    <w:rsid w:val="00A40A80"/>
    <w:rsid w:val="00A40D4C"/>
    <w:rsid w:val="00A43D4A"/>
    <w:rsid w:val="00A51BB0"/>
    <w:rsid w:val="00A547F2"/>
    <w:rsid w:val="00A557E6"/>
    <w:rsid w:val="00A70BAF"/>
    <w:rsid w:val="00A70C77"/>
    <w:rsid w:val="00A71CA7"/>
    <w:rsid w:val="00A84C9D"/>
    <w:rsid w:val="00A9593E"/>
    <w:rsid w:val="00AA45E0"/>
    <w:rsid w:val="00AA7E62"/>
    <w:rsid w:val="00AB1DAD"/>
    <w:rsid w:val="00AC28A0"/>
    <w:rsid w:val="00AC4CE1"/>
    <w:rsid w:val="00AC51E6"/>
    <w:rsid w:val="00AD58D4"/>
    <w:rsid w:val="00AD5CCD"/>
    <w:rsid w:val="00AD6545"/>
    <w:rsid w:val="00AE3AC2"/>
    <w:rsid w:val="00AE3CAF"/>
    <w:rsid w:val="00B02424"/>
    <w:rsid w:val="00B024CF"/>
    <w:rsid w:val="00B11C70"/>
    <w:rsid w:val="00B12775"/>
    <w:rsid w:val="00B1489E"/>
    <w:rsid w:val="00B21A6F"/>
    <w:rsid w:val="00B27220"/>
    <w:rsid w:val="00B27F99"/>
    <w:rsid w:val="00B30854"/>
    <w:rsid w:val="00B31B48"/>
    <w:rsid w:val="00B33849"/>
    <w:rsid w:val="00B34ABB"/>
    <w:rsid w:val="00B362A2"/>
    <w:rsid w:val="00B37EF6"/>
    <w:rsid w:val="00B40EC0"/>
    <w:rsid w:val="00B42A60"/>
    <w:rsid w:val="00B42D02"/>
    <w:rsid w:val="00B565E0"/>
    <w:rsid w:val="00B6112B"/>
    <w:rsid w:val="00B61FE1"/>
    <w:rsid w:val="00B678A6"/>
    <w:rsid w:val="00B76850"/>
    <w:rsid w:val="00B83229"/>
    <w:rsid w:val="00B83240"/>
    <w:rsid w:val="00B86176"/>
    <w:rsid w:val="00B91386"/>
    <w:rsid w:val="00BA0E49"/>
    <w:rsid w:val="00BB5FB4"/>
    <w:rsid w:val="00BC0B70"/>
    <w:rsid w:val="00BC130C"/>
    <w:rsid w:val="00BC391F"/>
    <w:rsid w:val="00BC5A6D"/>
    <w:rsid w:val="00BC7BF1"/>
    <w:rsid w:val="00BD2886"/>
    <w:rsid w:val="00BD58C3"/>
    <w:rsid w:val="00BD61E3"/>
    <w:rsid w:val="00BD7401"/>
    <w:rsid w:val="00BD7A39"/>
    <w:rsid w:val="00BF45A1"/>
    <w:rsid w:val="00BF471B"/>
    <w:rsid w:val="00BF6835"/>
    <w:rsid w:val="00C11ADA"/>
    <w:rsid w:val="00C16559"/>
    <w:rsid w:val="00C171AA"/>
    <w:rsid w:val="00C212DA"/>
    <w:rsid w:val="00C225FE"/>
    <w:rsid w:val="00C26719"/>
    <w:rsid w:val="00C274CE"/>
    <w:rsid w:val="00C27EF3"/>
    <w:rsid w:val="00C309C8"/>
    <w:rsid w:val="00C32A6F"/>
    <w:rsid w:val="00C32B4C"/>
    <w:rsid w:val="00C40F8D"/>
    <w:rsid w:val="00C42C2C"/>
    <w:rsid w:val="00C44A0C"/>
    <w:rsid w:val="00C45D88"/>
    <w:rsid w:val="00C5736B"/>
    <w:rsid w:val="00C63FD8"/>
    <w:rsid w:val="00C64533"/>
    <w:rsid w:val="00C65EF1"/>
    <w:rsid w:val="00C723AF"/>
    <w:rsid w:val="00C8168B"/>
    <w:rsid w:val="00C84878"/>
    <w:rsid w:val="00C872EA"/>
    <w:rsid w:val="00C970DD"/>
    <w:rsid w:val="00CB051F"/>
    <w:rsid w:val="00CC3184"/>
    <w:rsid w:val="00CC6A5A"/>
    <w:rsid w:val="00CC7083"/>
    <w:rsid w:val="00CD299B"/>
    <w:rsid w:val="00CD5978"/>
    <w:rsid w:val="00CE2F8B"/>
    <w:rsid w:val="00CE52AB"/>
    <w:rsid w:val="00CE59A0"/>
    <w:rsid w:val="00CF11DB"/>
    <w:rsid w:val="00CF2C0E"/>
    <w:rsid w:val="00CF3EC0"/>
    <w:rsid w:val="00CF7295"/>
    <w:rsid w:val="00CF76CB"/>
    <w:rsid w:val="00D02B6E"/>
    <w:rsid w:val="00D07073"/>
    <w:rsid w:val="00D10FCA"/>
    <w:rsid w:val="00D11060"/>
    <w:rsid w:val="00D13E56"/>
    <w:rsid w:val="00D17A8D"/>
    <w:rsid w:val="00D204DB"/>
    <w:rsid w:val="00D217A9"/>
    <w:rsid w:val="00D225C7"/>
    <w:rsid w:val="00D347E1"/>
    <w:rsid w:val="00D34888"/>
    <w:rsid w:val="00D36FCE"/>
    <w:rsid w:val="00D4493C"/>
    <w:rsid w:val="00D45F04"/>
    <w:rsid w:val="00D47BF8"/>
    <w:rsid w:val="00D512B0"/>
    <w:rsid w:val="00D5180B"/>
    <w:rsid w:val="00D54266"/>
    <w:rsid w:val="00D63AF3"/>
    <w:rsid w:val="00D65571"/>
    <w:rsid w:val="00D724DC"/>
    <w:rsid w:val="00D738D0"/>
    <w:rsid w:val="00D81228"/>
    <w:rsid w:val="00D81DCB"/>
    <w:rsid w:val="00D825E0"/>
    <w:rsid w:val="00D917E3"/>
    <w:rsid w:val="00D94C52"/>
    <w:rsid w:val="00D9511C"/>
    <w:rsid w:val="00D96408"/>
    <w:rsid w:val="00D973A0"/>
    <w:rsid w:val="00DA17D7"/>
    <w:rsid w:val="00DA1D1F"/>
    <w:rsid w:val="00DA1FC3"/>
    <w:rsid w:val="00DB3E98"/>
    <w:rsid w:val="00DC6187"/>
    <w:rsid w:val="00DD6F00"/>
    <w:rsid w:val="00DE12E7"/>
    <w:rsid w:val="00DE1406"/>
    <w:rsid w:val="00DE1E1A"/>
    <w:rsid w:val="00DE4651"/>
    <w:rsid w:val="00DE59ED"/>
    <w:rsid w:val="00DF514D"/>
    <w:rsid w:val="00E0266A"/>
    <w:rsid w:val="00E05A9E"/>
    <w:rsid w:val="00E0785E"/>
    <w:rsid w:val="00E17811"/>
    <w:rsid w:val="00E30346"/>
    <w:rsid w:val="00E3153E"/>
    <w:rsid w:val="00E31F2D"/>
    <w:rsid w:val="00E346C7"/>
    <w:rsid w:val="00E40BF6"/>
    <w:rsid w:val="00E42F62"/>
    <w:rsid w:val="00E4544C"/>
    <w:rsid w:val="00E46CFB"/>
    <w:rsid w:val="00E503BD"/>
    <w:rsid w:val="00E5629B"/>
    <w:rsid w:val="00E60714"/>
    <w:rsid w:val="00E62238"/>
    <w:rsid w:val="00E650F6"/>
    <w:rsid w:val="00E66A92"/>
    <w:rsid w:val="00E7094A"/>
    <w:rsid w:val="00E72E04"/>
    <w:rsid w:val="00E77334"/>
    <w:rsid w:val="00E829FF"/>
    <w:rsid w:val="00E82B89"/>
    <w:rsid w:val="00E85010"/>
    <w:rsid w:val="00E93DA1"/>
    <w:rsid w:val="00EA361A"/>
    <w:rsid w:val="00EA3986"/>
    <w:rsid w:val="00EA5B36"/>
    <w:rsid w:val="00EA7231"/>
    <w:rsid w:val="00EA7F02"/>
    <w:rsid w:val="00EB38AD"/>
    <w:rsid w:val="00EB40ED"/>
    <w:rsid w:val="00EB675D"/>
    <w:rsid w:val="00EC45A9"/>
    <w:rsid w:val="00EE0562"/>
    <w:rsid w:val="00EE3B68"/>
    <w:rsid w:val="00EF0D59"/>
    <w:rsid w:val="00EF35E7"/>
    <w:rsid w:val="00EF6B94"/>
    <w:rsid w:val="00F0467E"/>
    <w:rsid w:val="00F136ED"/>
    <w:rsid w:val="00F15BC2"/>
    <w:rsid w:val="00F16325"/>
    <w:rsid w:val="00F2283D"/>
    <w:rsid w:val="00F2739A"/>
    <w:rsid w:val="00F308D6"/>
    <w:rsid w:val="00F30E2D"/>
    <w:rsid w:val="00F34C0B"/>
    <w:rsid w:val="00F455CD"/>
    <w:rsid w:val="00F466A0"/>
    <w:rsid w:val="00F5404C"/>
    <w:rsid w:val="00F5407B"/>
    <w:rsid w:val="00F607EC"/>
    <w:rsid w:val="00F622DF"/>
    <w:rsid w:val="00F6307F"/>
    <w:rsid w:val="00F63CA1"/>
    <w:rsid w:val="00F77737"/>
    <w:rsid w:val="00F93B0B"/>
    <w:rsid w:val="00FA1109"/>
    <w:rsid w:val="00FA1556"/>
    <w:rsid w:val="00FA1AF6"/>
    <w:rsid w:val="00FA2B90"/>
    <w:rsid w:val="00FA58D0"/>
    <w:rsid w:val="00FD024C"/>
    <w:rsid w:val="00FD2761"/>
    <w:rsid w:val="00FD2A37"/>
    <w:rsid w:val="00FD2C21"/>
    <w:rsid w:val="00FD337E"/>
    <w:rsid w:val="00FD712D"/>
    <w:rsid w:val="00FE294A"/>
    <w:rsid w:val="00FE2BB5"/>
    <w:rsid w:val="00FE346A"/>
    <w:rsid w:val="00FE5B9E"/>
    <w:rsid w:val="00FF5980"/>
    <w:rsid w:val="00FF7E7D"/>
    <w:rsid w:val="03F24A85"/>
    <w:rsid w:val="04BF0955"/>
    <w:rsid w:val="07A11D12"/>
    <w:rsid w:val="08DC6217"/>
    <w:rsid w:val="09020655"/>
    <w:rsid w:val="0ED777E6"/>
    <w:rsid w:val="13355B11"/>
    <w:rsid w:val="17920939"/>
    <w:rsid w:val="19FD2FB1"/>
    <w:rsid w:val="1CA86413"/>
    <w:rsid w:val="1DE24E96"/>
    <w:rsid w:val="23DD6465"/>
    <w:rsid w:val="26EE126B"/>
    <w:rsid w:val="2BB611C4"/>
    <w:rsid w:val="304D2ECC"/>
    <w:rsid w:val="307B2717"/>
    <w:rsid w:val="343018AE"/>
    <w:rsid w:val="344714D3"/>
    <w:rsid w:val="3AC44DF5"/>
    <w:rsid w:val="3B651900"/>
    <w:rsid w:val="3B7D6FA7"/>
    <w:rsid w:val="3C277440"/>
    <w:rsid w:val="3C91106D"/>
    <w:rsid w:val="3CAB1C17"/>
    <w:rsid w:val="40903AFC"/>
    <w:rsid w:val="43367252"/>
    <w:rsid w:val="451A3F70"/>
    <w:rsid w:val="45562AD0"/>
    <w:rsid w:val="45D27E9B"/>
    <w:rsid w:val="470F78A3"/>
    <w:rsid w:val="47213040"/>
    <w:rsid w:val="49030FD7"/>
    <w:rsid w:val="4B383175"/>
    <w:rsid w:val="4CEA63BF"/>
    <w:rsid w:val="4D1C4610"/>
    <w:rsid w:val="4D4C2BE0"/>
    <w:rsid w:val="4DCB34AF"/>
    <w:rsid w:val="5B052E61"/>
    <w:rsid w:val="5B607CF8"/>
    <w:rsid w:val="5C7B4640"/>
    <w:rsid w:val="5E130566"/>
    <w:rsid w:val="5E8A14A9"/>
    <w:rsid w:val="62285198"/>
    <w:rsid w:val="63AC2D96"/>
    <w:rsid w:val="680571B7"/>
    <w:rsid w:val="68F02638"/>
    <w:rsid w:val="6A804048"/>
    <w:rsid w:val="6AEC1179"/>
    <w:rsid w:val="6C4D7ABB"/>
    <w:rsid w:val="6D7C272C"/>
    <w:rsid w:val="6F7B7C73"/>
    <w:rsid w:val="70876EAC"/>
    <w:rsid w:val="73FF295B"/>
    <w:rsid w:val="74B0277E"/>
    <w:rsid w:val="7C7D1A4A"/>
    <w:rsid w:val="7EC23E83"/>
    <w:rsid w:val="7F8D2652"/>
    <w:rsid w:val="7FC6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3"/>
    <w:semiHidden/>
    <w:unhideWhenUsed/>
    <w:uiPriority w:val="99"/>
    <w:pPr>
      <w:ind w:left="100" w:leftChars="2500"/>
    </w:pPr>
  </w:style>
  <w:style w:type="paragraph" w:styleId="3">
    <w:name w:val="Balloon Text"/>
    <w:basedOn w:val="1"/>
    <w:link w:val="10"/>
    <w:unhideWhenUsed/>
    <w:uiPriority w:val="99"/>
    <w:rPr>
      <w:sz w:val="18"/>
      <w:szCs w:val="18"/>
    </w:rPr>
  </w:style>
  <w:style w:type="paragraph" w:styleId="4">
    <w:name w:val="footer"/>
    <w:basedOn w:val="1"/>
    <w:link w:val="9"/>
    <w:uiPriority w:val="0"/>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style>
  <w:style w:type="character" w:customStyle="1" w:styleId="9">
    <w:name w:val="页脚 Char"/>
    <w:basedOn w:val="7"/>
    <w:link w:val="4"/>
    <w:uiPriority w:val="0"/>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页眉 Char"/>
    <w:basedOn w:val="7"/>
    <w:link w:val="5"/>
    <w:qFormat/>
    <w:uiPriority w:val="99"/>
    <w:rPr>
      <w:rFonts w:ascii="Times New Roman" w:hAnsi="Times New Roman" w:eastAsia="宋体" w:cs="Times New Roman"/>
      <w:sz w:val="18"/>
      <w:szCs w:val="18"/>
    </w:rPr>
  </w:style>
  <w:style w:type="paragraph" w:customStyle="1" w:styleId="12">
    <w:name w:val="列出段落1"/>
    <w:basedOn w:val="1"/>
    <w:qFormat/>
    <w:uiPriority w:val="34"/>
    <w:pPr>
      <w:ind w:firstLine="420" w:firstLineChars="200"/>
    </w:pPr>
  </w:style>
  <w:style w:type="character" w:customStyle="1" w:styleId="13">
    <w:name w:val="日期 Char"/>
    <w:basedOn w:val="7"/>
    <w:link w:val="2"/>
    <w:semiHidden/>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AnyShare\&#25919;&#24220;&#20449;&#24687;&#20844;&#24320;&#21150;\2016&#24037;&#20316;&#25991;&#20214;\&#36890;&#30693;\&#21306;&#20869;&#36890;&#30693;\&#24180;&#25253;&#24449;&#27714;&#24847;&#35265;\&#21306;&#24180;&#25253;&#37197;&#22270;\&#26032;&#24314;%20Microsoft%20Excel%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nyShare\&#25919;&#24220;&#20449;&#24687;&#20844;&#24320;&#21150;\2016&#24037;&#20316;&#25991;&#20214;\&#36890;&#30693;\&#21306;&#20869;&#36890;&#30693;\&#24180;&#25253;&#24449;&#27714;&#24847;&#35265;\&#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305555555555556"/>
          <c:y val="0.0462962962962963"/>
          <c:w val="0.625556867891514"/>
          <c:h val="0.898148148148148"/>
        </c:manualLayout>
      </c:layout>
      <c:pie3DChart>
        <c:varyColors val="1"/>
        <c:ser>
          <c:idx val="0"/>
          <c:order val="0"/>
          <c:explosion val="25"/>
          <c:dPt>
            <c:idx val="0"/>
            <c:bubble3D val="0"/>
          </c:dPt>
          <c:dPt>
            <c:idx val="1"/>
            <c:bubble3D val="0"/>
          </c:dPt>
          <c:dPt>
            <c:idx val="2"/>
            <c:bubble3D val="0"/>
          </c:dPt>
          <c:dLbls>
            <c:delete val="1"/>
          </c:dLbls>
          <c:cat>
            <c:strRef>
              <c:f>Sheet1!$A$36:$A$38</c:f>
              <c:strCache>
                <c:ptCount val="3"/>
                <c:pt idx="0">
                  <c:v>当面申请53.28%</c:v>
                </c:pt>
                <c:pt idx="1">
                  <c:v>通过互联网申请1.7%</c:v>
                </c:pt>
                <c:pt idx="2">
                  <c:v>信函申请45.02%</c:v>
                </c:pt>
              </c:strCache>
            </c:strRef>
          </c:cat>
          <c:val>
            <c:numRef>
              <c:f>Sheet1!$B$36:$B$38</c:f>
              <c:numCache>
                <c:formatCode>0.00%</c:formatCode>
                <c:ptCount val="3"/>
                <c:pt idx="0">
                  <c:v>0.5328</c:v>
                </c:pt>
                <c:pt idx="1">
                  <c:v>0.017</c:v>
                </c:pt>
                <c:pt idx="2">
                  <c:v>0.4502</c:v>
                </c:pt>
              </c:numCache>
            </c:numRef>
          </c:val>
        </c:ser>
        <c:dLbls>
          <c:showLegendKey val="0"/>
          <c:showVal val="0"/>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elete val="1"/>
          </c:dLbls>
          <c:cat>
            <c:strRef>
              <c:f>Sheet1!$A$67:$A$74</c:f>
              <c:strCache>
                <c:ptCount val="8"/>
                <c:pt idx="0">
                  <c:v>已主动公开5.05%</c:v>
                </c:pt>
                <c:pt idx="1">
                  <c:v>同意公开36.30%</c:v>
                </c:pt>
                <c:pt idx="2">
                  <c:v>同意部分公开0.93%</c:v>
                </c:pt>
                <c:pt idx="3">
                  <c:v>不予公开3.86%</c:v>
                </c:pt>
                <c:pt idx="4">
                  <c:v>非本机关信息7.18%</c:v>
                </c:pt>
                <c:pt idx="5">
                  <c:v>信息不存在40.16%</c:v>
                </c:pt>
                <c:pt idx="6">
                  <c:v>申请内容不明确6.25%</c:v>
                </c:pt>
                <c:pt idx="7">
                  <c:v>告知通过其他途径办理0.27％</c:v>
                </c:pt>
              </c:strCache>
            </c:strRef>
          </c:cat>
          <c:val>
            <c:numRef>
              <c:f>Sheet1!$B$67:$B$74</c:f>
              <c:numCache>
                <c:formatCode>0.00%</c:formatCode>
                <c:ptCount val="8"/>
                <c:pt idx="0">
                  <c:v>0.0505</c:v>
                </c:pt>
                <c:pt idx="1">
                  <c:v>0.363</c:v>
                </c:pt>
                <c:pt idx="2">
                  <c:v>0.0093</c:v>
                </c:pt>
                <c:pt idx="3">
                  <c:v>0.0386</c:v>
                </c:pt>
                <c:pt idx="4">
                  <c:v>0.0718</c:v>
                </c:pt>
                <c:pt idx="5">
                  <c:v>0.4016</c:v>
                </c:pt>
                <c:pt idx="6">
                  <c:v>0.0625</c:v>
                </c:pt>
                <c:pt idx="7">
                  <c:v>0.0027</c:v>
                </c:pt>
              </c:numCache>
            </c:numRef>
          </c:val>
        </c:ser>
        <c:dLbls>
          <c:showLegendKey val="0"/>
          <c:showVal val="0"/>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17</Pages>
  <Words>6383</Words>
  <Characters>6812</Characters>
  <Lines>57</Lines>
  <Paragraphs>16</Paragraphs>
  <TotalTime>283</TotalTime>
  <ScaleCrop>false</ScaleCrop>
  <LinksUpToDate>false</LinksUpToDate>
  <CharactersWithSpaces>7473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2016-01-13T01:12:00Z</dcterms:created>
  <dc:creator>User</dc:creator>
  <cp:lastModifiedBy>血月舞殇</cp:lastModifiedBy>
  <cp:lastPrinted>2016-01-15T07:17:00Z</cp:lastPrinted>
  <dcterms:modified xsi:type="dcterms:W3CDTF">2025-03-12T02:31:05Z</dcterms:modified>
  <cp:revision>1630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91B438A0117245E1A74BCBB06ACA7B86</vt:lpwstr>
  </property>
</Properties>
</file>