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2026年</w:t>
      </w:r>
      <w:bookmarkStart w:id="0" w:name="_GoBack"/>
      <w:bookmarkEnd w:id="0"/>
      <w:r>
        <w:rPr>
          <w:rFonts w:hint="eastAsia" w:ascii="方正小标宋简体" w:eastAsia="方正小标宋简体" w:hAnsiTheme="minorEastAsia"/>
          <w:sz w:val="44"/>
          <w:szCs w:val="44"/>
        </w:rPr>
        <w:t>上半年丰台区经济运行情况</w:t>
      </w:r>
    </w:p>
    <w:p>
      <w:pPr>
        <w:pStyle w:val="2"/>
        <w:jc w:val="center"/>
      </w:pPr>
    </w:p>
    <w:p>
      <w:pPr>
        <w:widowControl/>
        <w:ind w:firstLine="560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上半年，全区认真贯彻落实党中央、国务院决策部署和市、区工作要求，坚持稳中求进工作总基调，</w:t>
      </w:r>
      <w:r>
        <w:rPr>
          <w:rFonts w:hint="eastAsia" w:ascii="仿宋_GB2312" w:hAnsi="Segoe UI" w:eastAsia="仿宋_GB2312" w:cs="Segoe UI"/>
          <w:color w:val="232930"/>
          <w:sz w:val="28"/>
          <w:szCs w:val="28"/>
          <w:shd w:val="clear" w:color="auto" w:fill="FFFFFF"/>
        </w:rPr>
        <w:t>着力稳就业、稳企业、稳市场、稳预期，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全区经济</w:t>
      </w:r>
      <w:r>
        <w:rPr>
          <w:rFonts w:hint="eastAsia" w:ascii="仿宋_GB2312" w:hAnsi="Segoe UI" w:eastAsia="仿宋_GB2312" w:cs="Segoe UI"/>
          <w:color w:val="232930"/>
          <w:sz w:val="28"/>
          <w:szCs w:val="28"/>
          <w:shd w:val="clear" w:color="auto" w:fill="FFFFFF"/>
        </w:rPr>
        <w:t>总体运行平稳，居民收入稳定增加。</w:t>
      </w:r>
    </w:p>
    <w:p>
      <w:pPr>
        <w:pStyle w:val="2"/>
        <w:spacing w:line="600" w:lineRule="exact"/>
        <w:ind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一、农业</w:t>
      </w:r>
    </w:p>
    <w:p>
      <w:pPr>
        <w:pStyle w:val="2"/>
        <w:spacing w:line="600" w:lineRule="exact"/>
        <w:ind w:left="-2" w:firstLine="560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全区实现</w:t>
      </w:r>
      <w:r>
        <w:rPr>
          <w:rFonts w:ascii="仿宋_GB2312" w:eastAsia="仿宋_GB2312"/>
          <w:sz w:val="28"/>
          <w:szCs w:val="28"/>
        </w:rPr>
        <w:t>农</w:t>
      </w:r>
      <w:r>
        <w:rPr>
          <w:rFonts w:hint="eastAsia" w:ascii="仿宋_GB2312" w:eastAsia="仿宋_GB2312"/>
          <w:sz w:val="28"/>
          <w:szCs w:val="28"/>
        </w:rPr>
        <w:t>林牧渔</w:t>
      </w:r>
      <w:r>
        <w:rPr>
          <w:rFonts w:ascii="仿宋_GB2312" w:eastAsia="仿宋_GB2312"/>
          <w:sz w:val="28"/>
          <w:szCs w:val="28"/>
        </w:rPr>
        <w:t>业总产值</w:t>
      </w:r>
      <w:r>
        <w:rPr>
          <w:rFonts w:hint="eastAsia" w:ascii="仿宋_GB2312" w:eastAsia="仿宋_GB2312"/>
          <w:sz w:val="28"/>
          <w:szCs w:val="28"/>
        </w:rPr>
        <w:t>5115.6万元</w:t>
      </w:r>
      <w:r>
        <w:rPr>
          <w:rFonts w:ascii="仿宋_GB2312" w:eastAsia="仿宋_GB2312"/>
          <w:sz w:val="28"/>
          <w:szCs w:val="28"/>
        </w:rPr>
        <w:t>，比上年</w:t>
      </w:r>
      <w:r>
        <w:rPr>
          <w:rFonts w:hint="eastAsia" w:ascii="仿宋_GB2312" w:eastAsia="仿宋_GB2312"/>
          <w:sz w:val="28"/>
          <w:szCs w:val="28"/>
        </w:rPr>
        <w:t>同期增长14.6%</w:t>
      </w:r>
      <w:r>
        <w:rPr>
          <w:rFonts w:ascii="仿宋_GB2312" w:eastAsia="仿宋_GB2312"/>
          <w:sz w:val="28"/>
          <w:szCs w:val="28"/>
        </w:rPr>
        <w:t>。其中</w:t>
      </w:r>
      <w:r>
        <w:rPr>
          <w:rFonts w:hint="eastAsia" w:ascii="仿宋_GB2312" w:eastAsia="仿宋_GB2312"/>
          <w:sz w:val="28"/>
          <w:szCs w:val="28"/>
        </w:rPr>
        <w:t>，农业产值1045.9万元,增长21.2%；林业产值4011.3万元,增长13.2%。</w:t>
      </w:r>
    </w:p>
    <w:p>
      <w:pPr>
        <w:tabs>
          <w:tab w:val="left" w:pos="5760"/>
        </w:tabs>
        <w:spacing w:line="600" w:lineRule="exact"/>
        <w:ind w:right="-15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二、工业生产</w:t>
      </w:r>
    </w:p>
    <w:p>
      <w:pPr>
        <w:tabs>
          <w:tab w:val="left" w:pos="5760"/>
        </w:tabs>
        <w:spacing w:line="600" w:lineRule="exact"/>
        <w:ind w:right="-15" w:firstLine="560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规模以上工业企业实现工业总产值136.7亿元，比上年同期下降0.8%。从主要行业看，电气机械和器材制造业增长15.8%，专用设备制造业增长12.5%，铁路、船舶、航空航天和其他运输设备制造业增长8.4%，非金属矿物制品业下降8%，电力、热力生产和供应业下降5.5%。</w:t>
      </w:r>
    </w:p>
    <w:p>
      <w:pPr>
        <w:tabs>
          <w:tab w:val="left" w:pos="5760"/>
        </w:tabs>
        <w:spacing w:line="600" w:lineRule="exact"/>
        <w:ind w:right="-15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上半年，</w:t>
      </w:r>
      <w:r>
        <w:rPr>
          <w:rFonts w:hint="eastAsia" w:ascii="仿宋_GB2312" w:eastAsia="仿宋_GB2312"/>
          <w:sz w:val="28"/>
          <w:szCs w:val="28"/>
        </w:rPr>
        <w:t>全区规模以上工业企业实现销售产值126.2亿元，比上年同期下降0.4%，其中出口交货值3.8亿元，增长2.5%。</w:t>
      </w:r>
    </w:p>
    <w:p>
      <w:pPr>
        <w:tabs>
          <w:tab w:val="left" w:pos="5760"/>
        </w:tabs>
        <w:spacing w:line="600" w:lineRule="exact"/>
        <w:ind w:right="-15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三、固定资产投资</w:t>
      </w:r>
    </w:p>
    <w:p>
      <w:pPr>
        <w:tabs>
          <w:tab w:val="left" w:pos="5760"/>
        </w:tabs>
        <w:spacing w:line="600" w:lineRule="exact"/>
        <w:ind w:right="-15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全区固定资产投资（不含农户）比上年同期增长5.2%。其中，建安投资增长12.9%；基础设施投资增长22%。</w:t>
      </w:r>
    </w:p>
    <w:p>
      <w:pPr>
        <w:tabs>
          <w:tab w:val="left" w:pos="5760"/>
        </w:tabs>
        <w:spacing w:line="600" w:lineRule="exact"/>
        <w:ind w:right="-15" w:firstLine="560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分产业看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，第二产业投资比上年同期增长1.6倍；第三产业投资增长3.3%。</w:t>
      </w:r>
    </w:p>
    <w:p>
      <w:pPr>
        <w:pStyle w:val="2"/>
        <w:tabs>
          <w:tab w:val="left" w:pos="5520"/>
        </w:tabs>
        <w:spacing w:line="600" w:lineRule="exact"/>
        <w:ind w:right="18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四、房地产开发</w:t>
      </w:r>
    </w:p>
    <w:p>
      <w:pPr>
        <w:pStyle w:val="2"/>
        <w:tabs>
          <w:tab w:val="left" w:pos="5520"/>
        </w:tabs>
        <w:spacing w:line="600" w:lineRule="exact"/>
        <w:ind w:right="18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上半年，全区房地产开发投资比上年同期下降29.2%。其中，住宅投资下降31.5%。</w:t>
      </w:r>
    </w:p>
    <w:p>
      <w:pPr>
        <w:pStyle w:val="2"/>
        <w:tabs>
          <w:tab w:val="left" w:pos="5520"/>
        </w:tabs>
        <w:spacing w:line="600" w:lineRule="exact"/>
        <w:ind w:right="18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，全区房屋施工面积1035.5万平方米，比上年同期下降1.9%。其中，住宅施工面积585.4万平方米，增长1%。全区房屋新开工面积74.3万平方米，增长2.1%。全区房屋竣工面积33.2万平方米，其中住宅竣工面积22.6万平方米。</w:t>
      </w:r>
    </w:p>
    <w:p>
      <w:pPr>
        <w:pStyle w:val="2"/>
        <w:spacing w:line="600" w:lineRule="exact"/>
        <w:ind w:right="18"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全区</w:t>
      </w:r>
      <w:r>
        <w:rPr>
          <w:rFonts w:hint="eastAsia" w:ascii="仿宋_GB2312" w:eastAsia="仿宋_GB2312"/>
          <w:sz w:val="28"/>
          <w:szCs w:val="28"/>
        </w:rPr>
        <w:t>销售商品房75.1万平方米，比上年同期增长38.1%，其中住宅61.2万平方米，增长64.5%。</w:t>
      </w:r>
    </w:p>
    <w:p>
      <w:pPr>
        <w:tabs>
          <w:tab w:val="left" w:pos="5760"/>
        </w:tabs>
        <w:spacing w:line="600" w:lineRule="exact"/>
        <w:ind w:right="-15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五、消费品市场</w:t>
      </w:r>
    </w:p>
    <w:p>
      <w:pPr>
        <w:tabs>
          <w:tab w:val="left" w:pos="5760"/>
        </w:tabs>
        <w:spacing w:line="600" w:lineRule="exact"/>
        <w:ind w:right="-15" w:firstLine="560" w:firstLineChars="200"/>
        <w:rPr>
          <w:rFonts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全区实现社会消费品零售总额404.9亿元，比上年同期下降3.9%。按消费形态分，商品零售344.6亿元，下降4.7%；餐饮收入60.3亿元，增长1.1%。</w:t>
      </w:r>
    </w:p>
    <w:p>
      <w:pPr>
        <w:pStyle w:val="2"/>
        <w:spacing w:line="600" w:lineRule="exact"/>
        <w:ind w:right="18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六、居民收支</w:t>
      </w:r>
    </w:p>
    <w:p>
      <w:pPr>
        <w:pStyle w:val="2"/>
        <w:spacing w:line="600" w:lineRule="exact"/>
        <w:ind w:right="18" w:firstLine="560" w:firstLineChars="200"/>
      </w:pPr>
      <w:r>
        <w:rPr>
          <w:rFonts w:hint="eastAsia" w:ascii="仿宋_GB2312" w:eastAsia="仿宋_GB2312"/>
          <w:sz w:val="28"/>
          <w:szCs w:val="28"/>
        </w:rPr>
        <w:t>上半年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全区居民人均可支配收入46783元，比上年同期增长5.8%。人均消费支出26396元，增长3.9%。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altName w:val="Noto Music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AC"/>
    <w:rsid w:val="0000114E"/>
    <w:rsid w:val="00012C25"/>
    <w:rsid w:val="000147ED"/>
    <w:rsid w:val="000152EF"/>
    <w:rsid w:val="00026A23"/>
    <w:rsid w:val="000332DA"/>
    <w:rsid w:val="00042138"/>
    <w:rsid w:val="000461D8"/>
    <w:rsid w:val="000608DF"/>
    <w:rsid w:val="00061738"/>
    <w:rsid w:val="00072011"/>
    <w:rsid w:val="000745D0"/>
    <w:rsid w:val="000755DC"/>
    <w:rsid w:val="00081D93"/>
    <w:rsid w:val="000835A3"/>
    <w:rsid w:val="000B1DBF"/>
    <w:rsid w:val="000B6B29"/>
    <w:rsid w:val="000B6F51"/>
    <w:rsid w:val="000B7C69"/>
    <w:rsid w:val="000C1C9D"/>
    <w:rsid w:val="000C4C40"/>
    <w:rsid w:val="000D304D"/>
    <w:rsid w:val="000D3EE0"/>
    <w:rsid w:val="00104B41"/>
    <w:rsid w:val="00110412"/>
    <w:rsid w:val="00141144"/>
    <w:rsid w:val="00145693"/>
    <w:rsid w:val="001556E2"/>
    <w:rsid w:val="00157646"/>
    <w:rsid w:val="00172FB4"/>
    <w:rsid w:val="00183C75"/>
    <w:rsid w:val="001A6C3E"/>
    <w:rsid w:val="001C263A"/>
    <w:rsid w:val="001D638A"/>
    <w:rsid w:val="001E438C"/>
    <w:rsid w:val="00200E43"/>
    <w:rsid w:val="00204D8B"/>
    <w:rsid w:val="00221ADA"/>
    <w:rsid w:val="00226041"/>
    <w:rsid w:val="002345CC"/>
    <w:rsid w:val="002431BD"/>
    <w:rsid w:val="00246755"/>
    <w:rsid w:val="00247DCC"/>
    <w:rsid w:val="00277E82"/>
    <w:rsid w:val="002A0F8D"/>
    <w:rsid w:val="002B05F4"/>
    <w:rsid w:val="002B2610"/>
    <w:rsid w:val="002B40BF"/>
    <w:rsid w:val="002C0542"/>
    <w:rsid w:val="002C375E"/>
    <w:rsid w:val="00303E06"/>
    <w:rsid w:val="00316280"/>
    <w:rsid w:val="00322E70"/>
    <w:rsid w:val="00354AD8"/>
    <w:rsid w:val="0037605F"/>
    <w:rsid w:val="00381E7C"/>
    <w:rsid w:val="003833B0"/>
    <w:rsid w:val="003B442B"/>
    <w:rsid w:val="003F7243"/>
    <w:rsid w:val="00400FA9"/>
    <w:rsid w:val="00415211"/>
    <w:rsid w:val="00416616"/>
    <w:rsid w:val="0042194F"/>
    <w:rsid w:val="00422EB0"/>
    <w:rsid w:val="0043019B"/>
    <w:rsid w:val="00445637"/>
    <w:rsid w:val="00450F6B"/>
    <w:rsid w:val="00452E3A"/>
    <w:rsid w:val="00474947"/>
    <w:rsid w:val="00482D3A"/>
    <w:rsid w:val="00496D40"/>
    <w:rsid w:val="004A58D3"/>
    <w:rsid w:val="004B45F2"/>
    <w:rsid w:val="004D1B69"/>
    <w:rsid w:val="004F6259"/>
    <w:rsid w:val="00533798"/>
    <w:rsid w:val="005362E4"/>
    <w:rsid w:val="005429BC"/>
    <w:rsid w:val="00560F7A"/>
    <w:rsid w:val="00562C2C"/>
    <w:rsid w:val="00581FDF"/>
    <w:rsid w:val="005933F1"/>
    <w:rsid w:val="005C6C72"/>
    <w:rsid w:val="005E0B1A"/>
    <w:rsid w:val="00621EAB"/>
    <w:rsid w:val="00622E26"/>
    <w:rsid w:val="00626814"/>
    <w:rsid w:val="00632DC2"/>
    <w:rsid w:val="00640EB6"/>
    <w:rsid w:val="00643F6D"/>
    <w:rsid w:val="00645BC8"/>
    <w:rsid w:val="00657BA0"/>
    <w:rsid w:val="006613BE"/>
    <w:rsid w:val="00694AB4"/>
    <w:rsid w:val="0069665F"/>
    <w:rsid w:val="006D5A51"/>
    <w:rsid w:val="006E0A30"/>
    <w:rsid w:val="006F3162"/>
    <w:rsid w:val="007120FE"/>
    <w:rsid w:val="00717111"/>
    <w:rsid w:val="0072294C"/>
    <w:rsid w:val="00752E86"/>
    <w:rsid w:val="00756776"/>
    <w:rsid w:val="00765135"/>
    <w:rsid w:val="00767F7F"/>
    <w:rsid w:val="0077298A"/>
    <w:rsid w:val="00773E32"/>
    <w:rsid w:val="007925C4"/>
    <w:rsid w:val="007A55AC"/>
    <w:rsid w:val="007A7E1E"/>
    <w:rsid w:val="007B108A"/>
    <w:rsid w:val="007E02AD"/>
    <w:rsid w:val="008045D3"/>
    <w:rsid w:val="00822374"/>
    <w:rsid w:val="00844CE1"/>
    <w:rsid w:val="00846E1A"/>
    <w:rsid w:val="00852E8F"/>
    <w:rsid w:val="00863365"/>
    <w:rsid w:val="00871E1C"/>
    <w:rsid w:val="008A3ED7"/>
    <w:rsid w:val="008B421F"/>
    <w:rsid w:val="008D2B0F"/>
    <w:rsid w:val="008D664D"/>
    <w:rsid w:val="008E3885"/>
    <w:rsid w:val="008F0169"/>
    <w:rsid w:val="008F71CC"/>
    <w:rsid w:val="00930F0B"/>
    <w:rsid w:val="00934C97"/>
    <w:rsid w:val="00946859"/>
    <w:rsid w:val="00953CAF"/>
    <w:rsid w:val="00957F77"/>
    <w:rsid w:val="00962A81"/>
    <w:rsid w:val="00971758"/>
    <w:rsid w:val="00973690"/>
    <w:rsid w:val="00976B9F"/>
    <w:rsid w:val="009928BF"/>
    <w:rsid w:val="00992D32"/>
    <w:rsid w:val="009C54A8"/>
    <w:rsid w:val="009E1727"/>
    <w:rsid w:val="009E7C97"/>
    <w:rsid w:val="009F3A91"/>
    <w:rsid w:val="00A117FF"/>
    <w:rsid w:val="00A363EA"/>
    <w:rsid w:val="00A5652A"/>
    <w:rsid w:val="00A70ED0"/>
    <w:rsid w:val="00A735EA"/>
    <w:rsid w:val="00A8399B"/>
    <w:rsid w:val="00AB5D90"/>
    <w:rsid w:val="00AE1F63"/>
    <w:rsid w:val="00AE5735"/>
    <w:rsid w:val="00AE6CFA"/>
    <w:rsid w:val="00AF376A"/>
    <w:rsid w:val="00AF7140"/>
    <w:rsid w:val="00B00D04"/>
    <w:rsid w:val="00B1536C"/>
    <w:rsid w:val="00B303EA"/>
    <w:rsid w:val="00B36B6E"/>
    <w:rsid w:val="00B719F5"/>
    <w:rsid w:val="00B91259"/>
    <w:rsid w:val="00B91627"/>
    <w:rsid w:val="00B959C7"/>
    <w:rsid w:val="00B96E88"/>
    <w:rsid w:val="00BB1291"/>
    <w:rsid w:val="00BB1DFC"/>
    <w:rsid w:val="00BF46EB"/>
    <w:rsid w:val="00BF5E7F"/>
    <w:rsid w:val="00C02450"/>
    <w:rsid w:val="00C16807"/>
    <w:rsid w:val="00C17935"/>
    <w:rsid w:val="00C51589"/>
    <w:rsid w:val="00C51A35"/>
    <w:rsid w:val="00C562B2"/>
    <w:rsid w:val="00C76B0C"/>
    <w:rsid w:val="00C94A6A"/>
    <w:rsid w:val="00CA3994"/>
    <w:rsid w:val="00CB243C"/>
    <w:rsid w:val="00CB3B21"/>
    <w:rsid w:val="00CB5812"/>
    <w:rsid w:val="00CD0D3E"/>
    <w:rsid w:val="00CD38B4"/>
    <w:rsid w:val="00CD4D4F"/>
    <w:rsid w:val="00CE0D58"/>
    <w:rsid w:val="00CE73F3"/>
    <w:rsid w:val="00CF20ED"/>
    <w:rsid w:val="00CF47FD"/>
    <w:rsid w:val="00D00C28"/>
    <w:rsid w:val="00D07A68"/>
    <w:rsid w:val="00D219F2"/>
    <w:rsid w:val="00D271F5"/>
    <w:rsid w:val="00D47A0C"/>
    <w:rsid w:val="00D547B1"/>
    <w:rsid w:val="00D549DA"/>
    <w:rsid w:val="00D6187B"/>
    <w:rsid w:val="00D7288E"/>
    <w:rsid w:val="00D83A04"/>
    <w:rsid w:val="00DC77A0"/>
    <w:rsid w:val="00DD2BAC"/>
    <w:rsid w:val="00DE08CA"/>
    <w:rsid w:val="00DE2C5E"/>
    <w:rsid w:val="00DE2FD6"/>
    <w:rsid w:val="00DF7BA6"/>
    <w:rsid w:val="00E00EE7"/>
    <w:rsid w:val="00E03C4E"/>
    <w:rsid w:val="00E03DEC"/>
    <w:rsid w:val="00E1616B"/>
    <w:rsid w:val="00E25D33"/>
    <w:rsid w:val="00E36608"/>
    <w:rsid w:val="00E419FE"/>
    <w:rsid w:val="00E93D6C"/>
    <w:rsid w:val="00EB418C"/>
    <w:rsid w:val="00EB4517"/>
    <w:rsid w:val="00ED53DF"/>
    <w:rsid w:val="00F0200B"/>
    <w:rsid w:val="00F40B03"/>
    <w:rsid w:val="00F41DD9"/>
    <w:rsid w:val="00F54A2F"/>
    <w:rsid w:val="00F558B5"/>
    <w:rsid w:val="00F66893"/>
    <w:rsid w:val="00F675D5"/>
    <w:rsid w:val="00F71D96"/>
    <w:rsid w:val="00F76AE8"/>
    <w:rsid w:val="00F87595"/>
    <w:rsid w:val="00F87906"/>
    <w:rsid w:val="00F96D26"/>
    <w:rsid w:val="00FB3E31"/>
    <w:rsid w:val="00FD1970"/>
    <w:rsid w:val="00FF4381"/>
    <w:rsid w:val="F4EF9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744</Characters>
  <Lines>6</Lines>
  <Paragraphs>1</Paragraphs>
  <TotalTime>627</TotalTime>
  <ScaleCrop>false</ScaleCrop>
  <LinksUpToDate>false</LinksUpToDate>
  <CharactersWithSpaces>873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2019-04-24T10:06:00Z</dcterms:created>
  <dc:creator>hp</dc:creator>
  <cp:lastModifiedBy>uos</cp:lastModifiedBy>
  <dcterms:modified xsi:type="dcterms:W3CDTF">2026-07-28T09:32:14Z</dcterms:modified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