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2026年1-5月</w:t>
      </w:r>
    </w:p>
    <w:p>
      <w:pPr>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中关村</w:t>
      </w:r>
      <w:r>
        <w:rPr>
          <w:rFonts w:hint="eastAsia" w:ascii="方正小标宋_GBK" w:hAnsi="方正小标宋_GBK" w:eastAsia="方正小标宋_GBK" w:cs="方正小标宋_GBK"/>
          <w:sz w:val="44"/>
          <w:szCs w:val="44"/>
          <w:lang w:eastAsia="zh-CN"/>
        </w:rPr>
        <w:t>示范区</w:t>
      </w:r>
      <w:r>
        <w:rPr>
          <w:rFonts w:hint="eastAsia" w:ascii="方正小标宋_GBK" w:hAnsi="方正小标宋_GBK" w:eastAsia="方正小标宋_GBK" w:cs="方正小标宋_GBK"/>
          <w:sz w:val="44"/>
          <w:szCs w:val="44"/>
        </w:rPr>
        <w:t>丰台园运行情况月度报告</w:t>
      </w:r>
    </w:p>
    <w:p>
      <w:pPr>
        <w:spacing w:line="600" w:lineRule="exact"/>
        <w:jc w:val="center"/>
        <w:outlineLvl w:val="0"/>
        <w:rPr>
          <w:rFonts w:ascii="楷体_GB2312" w:eastAsia="楷体_GB2312"/>
          <w:sz w:val="32"/>
          <w:szCs w:val="32"/>
        </w:rPr>
      </w:pPr>
      <w:r>
        <w:rPr>
          <w:rFonts w:hint="eastAsia" w:ascii="楷体_GB2312" w:eastAsia="楷体_GB2312"/>
          <w:sz w:val="32"/>
          <w:szCs w:val="32"/>
        </w:rPr>
        <w:t>丰台区统计局调查队园区统计所</w:t>
      </w:r>
    </w:p>
    <w:p>
      <w:pPr>
        <w:jc w:val="center"/>
        <w:outlineLvl w:val="0"/>
        <w:rPr>
          <w:rFonts w:hint="eastAsia" w:ascii="楷体_GB2312" w:eastAsia="楷体_GB2312"/>
          <w:sz w:val="32"/>
          <w:szCs w:val="32"/>
        </w:rPr>
      </w:pPr>
      <w:r>
        <w:rPr>
          <w:rFonts w:hint="eastAsia" w:ascii="楷体_GB2312" w:eastAsia="楷体_GB2312"/>
          <w:sz w:val="32"/>
          <w:szCs w:val="32"/>
        </w:rPr>
        <w:t>（二</w:t>
      </w:r>
      <w:r>
        <w:rPr>
          <w:rFonts w:hint="eastAsia" w:ascii="宋体" w:hAnsi="宋体" w:eastAsia="宋体" w:cs="宋体"/>
          <w:sz w:val="32"/>
          <w:szCs w:val="32"/>
        </w:rPr>
        <w:t>〇</w:t>
      </w:r>
      <w:r>
        <w:rPr>
          <w:rFonts w:hint="eastAsia" w:ascii="楷体_GB2312" w:eastAsia="楷体_GB2312"/>
          <w:sz w:val="32"/>
          <w:szCs w:val="32"/>
        </w:rPr>
        <w:t>二</w:t>
      </w:r>
      <w:r>
        <w:rPr>
          <w:rFonts w:hint="eastAsia" w:ascii="楷体" w:hAnsi="楷体" w:eastAsia="楷体" w:cs="宋体"/>
          <w:sz w:val="32"/>
          <w:szCs w:val="32"/>
          <w:lang w:eastAsia="zh-CN"/>
        </w:rPr>
        <w:t>六</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eastAsia="zh-CN"/>
        </w:rPr>
        <w:t>七</w:t>
      </w:r>
      <w:r>
        <w:rPr>
          <w:rFonts w:hint="eastAsia" w:ascii="楷体_GB2312" w:eastAsia="楷体_GB2312"/>
          <w:sz w:val="32"/>
          <w:szCs w:val="32"/>
        </w:rPr>
        <w:t>月</w:t>
      </w:r>
      <w:r>
        <w:rPr>
          <w:rFonts w:hint="eastAsia" w:ascii="楷体_GB2312" w:eastAsia="楷体_GB2312"/>
          <w:sz w:val="32"/>
          <w:szCs w:val="32"/>
          <w:lang w:eastAsia="zh-CN"/>
        </w:rPr>
        <w:t>九</w:t>
      </w:r>
      <w:r>
        <w:rPr>
          <w:rFonts w:hint="eastAsia" w:ascii="楷体_GB2312" w:eastAsia="楷体_GB2312"/>
          <w:sz w:val="32"/>
          <w:szCs w:val="32"/>
        </w:rPr>
        <w:t>日）</w:t>
      </w:r>
    </w:p>
    <w:p>
      <w:pPr>
        <w:jc w:val="center"/>
        <w:rPr>
          <w:rFonts w:ascii="楷体_GB2312" w:eastAsia="楷体_GB2312"/>
          <w:sz w:val="32"/>
          <w:szCs w:val="32"/>
        </w:rPr>
      </w:pP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2026年1-5月</w:t>
      </w:r>
      <w:r>
        <w:rPr>
          <w:rFonts w:hint="eastAsia" w:ascii="仿宋_GB2312" w:eastAsia="仿宋_GB2312"/>
          <w:sz w:val="32"/>
          <w:szCs w:val="32"/>
        </w:rPr>
        <w:t>，</w:t>
      </w:r>
      <w:r>
        <w:rPr>
          <w:rFonts w:hint="eastAsia" w:ascii="仿宋_GB2312" w:eastAsia="仿宋_GB2312"/>
          <w:sz w:val="32"/>
          <w:szCs w:val="32"/>
          <w:lang w:eastAsia="zh-CN"/>
        </w:rPr>
        <w:t>中关村示范区</w:t>
      </w:r>
      <w:r>
        <w:rPr>
          <w:rFonts w:hint="eastAsia" w:ascii="仿宋_GB2312" w:eastAsia="仿宋_GB2312"/>
          <w:sz w:val="32"/>
          <w:szCs w:val="32"/>
        </w:rPr>
        <w:t>丰台园</w:t>
      </w:r>
      <w:r>
        <w:rPr>
          <w:rFonts w:hint="eastAsia" w:ascii="仿宋_GB2312" w:eastAsia="仿宋_GB2312"/>
          <w:sz w:val="32"/>
          <w:szCs w:val="32"/>
          <w:lang w:val="en-US" w:eastAsia="zh-CN"/>
        </w:rPr>
        <w:t>431</w:t>
      </w:r>
      <w:r>
        <w:rPr>
          <w:rFonts w:ascii="仿宋_GB2312" w:eastAsia="仿宋_GB2312"/>
          <w:sz w:val="32"/>
          <w:szCs w:val="32"/>
        </w:rPr>
        <w:t>家规模</w:t>
      </w:r>
      <w:r>
        <w:rPr>
          <w:rFonts w:hint="eastAsia" w:ascii="仿宋_GB2312" w:eastAsia="仿宋_GB2312"/>
          <w:sz w:val="32"/>
          <w:szCs w:val="32"/>
          <w:lang w:eastAsia="zh-CN"/>
        </w:rPr>
        <w:t>（限额）</w:t>
      </w:r>
      <w:r>
        <w:rPr>
          <w:rFonts w:ascii="仿宋_GB2312" w:eastAsia="仿宋_GB2312"/>
          <w:sz w:val="32"/>
          <w:szCs w:val="32"/>
        </w:rPr>
        <w:t>以上</w:t>
      </w:r>
      <w:r>
        <w:rPr>
          <w:rFonts w:hint="eastAsia" w:ascii="仿宋_GB2312" w:eastAsia="仿宋_GB2312"/>
          <w:sz w:val="32"/>
          <w:szCs w:val="32"/>
          <w:lang w:eastAsia="zh-CN"/>
        </w:rPr>
        <w:t>重点</w:t>
      </w:r>
      <w:r>
        <w:rPr>
          <w:rFonts w:ascii="仿宋_GB2312" w:eastAsia="仿宋_GB2312"/>
          <w:sz w:val="32"/>
          <w:szCs w:val="32"/>
        </w:rPr>
        <w:t>企业</w:t>
      </w:r>
      <w:r>
        <w:rPr>
          <w:rFonts w:hint="eastAsia" w:ascii="仿宋_GB2312" w:eastAsia="仿宋_GB2312"/>
          <w:sz w:val="32"/>
          <w:szCs w:val="32"/>
          <w:lang w:eastAsia="zh-CN"/>
        </w:rPr>
        <w:t>（以下简称中关村丰台园企业）</w:t>
      </w:r>
      <w:r>
        <w:rPr>
          <w:rFonts w:ascii="仿宋_GB2312" w:eastAsia="仿宋_GB2312"/>
          <w:sz w:val="32"/>
          <w:szCs w:val="32"/>
        </w:rPr>
        <w:t>实现</w:t>
      </w:r>
      <w:r>
        <w:rPr>
          <w:rFonts w:hint="eastAsia" w:ascii="仿宋_GB2312" w:eastAsia="仿宋_GB2312"/>
          <w:sz w:val="32"/>
          <w:szCs w:val="32"/>
          <w:lang w:eastAsia="zh-CN"/>
        </w:rPr>
        <w:t>营业收入</w:t>
      </w:r>
      <w:r>
        <w:rPr>
          <w:rFonts w:hint="eastAsia" w:ascii="仿宋_GB2312" w:hAnsi="仿宋_GB2312" w:eastAsia="仿宋_GB2312" w:cs="Times New Roman"/>
          <w:sz w:val="32"/>
          <w:szCs w:val="22"/>
          <w:highlight w:val="none"/>
          <w:lang w:val="en-US" w:eastAsia="zh-CN"/>
        </w:rPr>
        <w:t>1834.2</w:t>
      </w:r>
      <w:r>
        <w:rPr>
          <w:rFonts w:hint="default" w:ascii="仿宋_GB2312" w:hAnsi="仿宋_GB2312" w:eastAsia="仿宋_GB2312" w:cs="Times New Roman"/>
          <w:sz w:val="32"/>
          <w:szCs w:val="22"/>
          <w:highlight w:val="none"/>
          <w:lang w:val="en" w:eastAsia="zh-CN"/>
        </w:rPr>
        <w:t>亿元</w:t>
      </w:r>
      <w:r>
        <w:rPr>
          <w:rFonts w:hint="eastAsia" w:ascii="仿宋_GB2312" w:hAnsi="宋体" w:eastAsia="仿宋_GB2312" w:cs="Times New Roman"/>
          <w:sz w:val="32"/>
          <w:szCs w:val="32"/>
        </w:rPr>
        <w:t>，</w:t>
      </w:r>
      <w:r>
        <w:rPr>
          <w:rFonts w:hint="default" w:ascii="仿宋_GB2312" w:hAnsi="仿宋_GB2312" w:eastAsia="仿宋_GB2312" w:cs="Times New Roman"/>
          <w:sz w:val="32"/>
          <w:szCs w:val="22"/>
          <w:highlight w:val="none"/>
          <w:lang w:val="en" w:eastAsia="zh-CN"/>
        </w:rPr>
        <w:t>同比</w:t>
      </w:r>
      <w:r>
        <w:rPr>
          <w:rFonts w:hint="eastAsia" w:ascii="仿宋_GB2312" w:hAnsi="仿宋_GB2312" w:eastAsia="仿宋_GB2312" w:cs="Times New Roman"/>
          <w:sz w:val="32"/>
          <w:szCs w:val="22"/>
          <w:highlight w:val="none"/>
          <w:lang w:val="en" w:eastAsia="zh-CN"/>
        </w:rPr>
        <w:t>下降</w:t>
      </w:r>
      <w:r>
        <w:rPr>
          <w:rFonts w:hint="eastAsia" w:ascii="仿宋_GB2312" w:hAnsi="仿宋_GB2312" w:eastAsia="仿宋_GB2312" w:cs="Times New Roman"/>
          <w:sz w:val="32"/>
          <w:szCs w:val="22"/>
          <w:highlight w:val="none"/>
          <w:lang w:val="en-US" w:eastAsia="zh-CN"/>
        </w:rPr>
        <w:t>1.5</w:t>
      </w:r>
      <w:r>
        <w:rPr>
          <w:rFonts w:hint="default" w:ascii="仿宋_GB2312" w:hAnsi="仿宋_GB2312" w:eastAsia="仿宋_GB2312" w:cs="Times New Roman"/>
          <w:sz w:val="32"/>
          <w:szCs w:val="22"/>
          <w:highlight w:val="none"/>
          <w:lang w:val="en" w:eastAsia="zh-CN"/>
        </w:rPr>
        <w:t>%</w:t>
      </w:r>
      <w:r>
        <w:rPr>
          <w:rFonts w:hint="eastAsia" w:ascii="仿宋_GB2312" w:eastAsia="仿宋_GB2312"/>
          <w:sz w:val="32"/>
          <w:szCs w:val="32"/>
        </w:rPr>
        <w:t>。与202</w:t>
      </w:r>
      <w:r>
        <w:rPr>
          <w:rFonts w:hint="eastAsia" w:ascii="仿宋_GB2312" w:eastAsia="仿宋_GB2312"/>
          <w:sz w:val="32"/>
          <w:szCs w:val="32"/>
          <w:lang w:val="en-US" w:eastAsia="zh-CN"/>
        </w:rPr>
        <w:t>6</w:t>
      </w:r>
      <w:r>
        <w:rPr>
          <w:rFonts w:hint="eastAsia" w:ascii="仿宋_GB2312" w:eastAsia="仿宋_GB2312"/>
          <w:sz w:val="32"/>
          <w:szCs w:val="32"/>
        </w:rPr>
        <w:t>年1-</w:t>
      </w:r>
      <w:r>
        <w:rPr>
          <w:rFonts w:hint="eastAsia" w:ascii="仿宋_GB2312" w:eastAsia="仿宋_GB2312"/>
          <w:sz w:val="32"/>
          <w:szCs w:val="32"/>
          <w:lang w:val="en-US" w:eastAsia="zh-CN"/>
        </w:rPr>
        <w:t>4</w:t>
      </w:r>
      <w:r>
        <w:rPr>
          <w:rFonts w:hint="eastAsia" w:ascii="仿宋_GB2312" w:eastAsia="仿宋_GB2312"/>
          <w:sz w:val="32"/>
          <w:szCs w:val="32"/>
        </w:rPr>
        <w:t>月相比，</w:t>
      </w:r>
      <w:r>
        <w:rPr>
          <w:rFonts w:hint="eastAsia" w:ascii="仿宋_GB2312" w:eastAsia="仿宋_GB2312"/>
          <w:sz w:val="32"/>
          <w:szCs w:val="32"/>
          <w:lang w:eastAsia="zh-CN"/>
        </w:rPr>
        <w:t>降幅扩大</w:t>
      </w:r>
      <w:r>
        <w:rPr>
          <w:rFonts w:hint="eastAsia" w:ascii="仿宋_GB2312" w:eastAsia="仿宋_GB2312"/>
          <w:sz w:val="32"/>
          <w:szCs w:val="32"/>
          <w:lang w:val="en-US" w:eastAsia="zh-CN"/>
        </w:rPr>
        <w:t>1.9</w:t>
      </w:r>
      <w:r>
        <w:rPr>
          <w:rFonts w:hint="eastAsia" w:ascii="仿宋_GB2312" w:eastAsia="仿宋_GB2312"/>
          <w:sz w:val="32"/>
          <w:szCs w:val="32"/>
        </w:rPr>
        <w:t>个百分点。</w:t>
      </w:r>
      <w:r>
        <w:rPr>
          <w:rFonts w:hint="eastAsia" w:ascii="仿宋_GB2312" w:hAnsi="宋体" w:eastAsia="仿宋_GB2312" w:cs="宋体"/>
          <w:kern w:val="0"/>
          <w:sz w:val="32"/>
          <w:szCs w:val="32"/>
        </w:rPr>
        <w:t>实现技术收入372.0亿元，同比下降0.3%</w:t>
      </w:r>
      <w:r>
        <w:rPr>
          <w:rFonts w:hint="eastAsia" w:ascii="仿宋_GB2312" w:hAnsi="宋体" w:eastAsia="仿宋_GB2312" w:cs="宋体"/>
          <w:kern w:val="0"/>
          <w:sz w:val="32"/>
          <w:szCs w:val="32"/>
          <w:lang w:eastAsia="zh-CN"/>
        </w:rPr>
        <w:t>，</w:t>
      </w:r>
      <w:r>
        <w:rPr>
          <w:rFonts w:hint="eastAsia" w:ascii="仿宋_GB2312" w:eastAsia="仿宋_GB2312"/>
          <w:sz w:val="32"/>
          <w:szCs w:val="32"/>
          <w:lang w:eastAsia="zh-CN"/>
        </w:rPr>
        <w:t>技术收入占营业收入比重为</w:t>
      </w:r>
      <w:r>
        <w:rPr>
          <w:rFonts w:hint="eastAsia" w:ascii="仿宋_GB2312" w:eastAsia="仿宋_GB2312"/>
          <w:sz w:val="32"/>
          <w:szCs w:val="32"/>
          <w:lang w:val="en-US" w:eastAsia="zh-CN"/>
        </w:rPr>
        <w:t>20.3%。</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1-5月，</w:t>
      </w:r>
      <w:r>
        <w:rPr>
          <w:rFonts w:hint="eastAsia" w:ascii="仿宋_GB2312" w:eastAsia="仿宋_GB2312"/>
          <w:sz w:val="32"/>
          <w:szCs w:val="32"/>
          <w:lang w:eastAsia="zh-CN"/>
        </w:rPr>
        <w:t>中关村示范区</w:t>
      </w:r>
      <w:r>
        <w:rPr>
          <w:rFonts w:hint="eastAsia" w:ascii="仿宋_GB2312" w:eastAsia="仿宋_GB2312"/>
          <w:sz w:val="32"/>
          <w:szCs w:val="32"/>
        </w:rPr>
        <w:t>丰台园</w:t>
      </w:r>
      <w:r>
        <w:rPr>
          <w:rFonts w:hint="eastAsia" w:ascii="仿宋_GB2312" w:eastAsia="仿宋_GB2312"/>
          <w:sz w:val="32"/>
          <w:szCs w:val="32"/>
          <w:lang w:val="en-US" w:eastAsia="zh-CN"/>
        </w:rPr>
        <w:t>273</w:t>
      </w:r>
      <w:r>
        <w:rPr>
          <w:rFonts w:ascii="仿宋_GB2312" w:eastAsia="仿宋_GB2312"/>
          <w:sz w:val="32"/>
          <w:szCs w:val="32"/>
        </w:rPr>
        <w:t>家规模</w:t>
      </w:r>
      <w:r>
        <w:rPr>
          <w:rFonts w:hint="eastAsia" w:ascii="仿宋_GB2312" w:eastAsia="仿宋_GB2312"/>
          <w:sz w:val="32"/>
          <w:szCs w:val="32"/>
          <w:lang w:eastAsia="zh-CN"/>
        </w:rPr>
        <w:t>（限额）</w:t>
      </w:r>
      <w:r>
        <w:rPr>
          <w:rFonts w:ascii="仿宋_GB2312" w:eastAsia="仿宋_GB2312"/>
          <w:sz w:val="32"/>
          <w:szCs w:val="32"/>
        </w:rPr>
        <w:t>以上</w:t>
      </w:r>
      <w:r>
        <w:rPr>
          <w:rFonts w:hint="eastAsia" w:ascii="仿宋_GB2312" w:eastAsia="仿宋_GB2312"/>
          <w:sz w:val="32"/>
          <w:szCs w:val="32"/>
          <w:lang w:eastAsia="zh-CN"/>
        </w:rPr>
        <w:t>国家高新技术重点</w:t>
      </w:r>
      <w:r>
        <w:rPr>
          <w:rFonts w:ascii="仿宋_GB2312" w:eastAsia="仿宋_GB2312"/>
          <w:sz w:val="32"/>
          <w:szCs w:val="32"/>
        </w:rPr>
        <w:t>企业</w:t>
      </w:r>
      <w:r>
        <w:rPr>
          <w:rFonts w:hint="eastAsia" w:ascii="仿宋_GB2312" w:eastAsia="仿宋_GB2312"/>
          <w:sz w:val="32"/>
          <w:szCs w:val="32"/>
          <w:lang w:eastAsia="zh-CN"/>
        </w:rPr>
        <w:t>实现营业收入</w:t>
      </w:r>
      <w:r>
        <w:rPr>
          <w:rFonts w:hint="eastAsia" w:ascii="仿宋_GB2312" w:hAnsi="仿宋_GB2312" w:eastAsia="仿宋_GB2312" w:cs="Times New Roman"/>
          <w:color w:val="auto"/>
          <w:sz w:val="32"/>
          <w:szCs w:val="22"/>
          <w:highlight w:val="none"/>
          <w:lang w:val="en-US" w:eastAsia="zh-CN"/>
        </w:rPr>
        <w:t>797.4亿元</w:t>
      </w:r>
      <w:r>
        <w:rPr>
          <w:rFonts w:hint="eastAsia" w:ascii="仿宋_GB2312" w:eastAsia="仿宋_GB2312"/>
          <w:sz w:val="32"/>
          <w:szCs w:val="32"/>
          <w:lang w:eastAsia="zh-CN"/>
        </w:rPr>
        <w:t>，</w:t>
      </w:r>
      <w:r>
        <w:rPr>
          <w:rFonts w:hint="eastAsia" w:ascii="仿宋_GB2312" w:hAnsi="仿宋_GB2312" w:eastAsia="仿宋_GB2312" w:cs="Times New Roman"/>
          <w:color w:val="auto"/>
          <w:sz w:val="32"/>
          <w:szCs w:val="22"/>
          <w:highlight w:val="none"/>
          <w:lang w:val="en-US" w:eastAsia="zh-CN"/>
        </w:rPr>
        <w:t>同比增长5.8%。</w:t>
      </w:r>
      <w:r>
        <w:rPr>
          <w:rFonts w:hint="eastAsia" w:ascii="仿宋_GB2312" w:eastAsia="仿宋_GB2312"/>
          <w:color w:val="auto"/>
          <w:sz w:val="32"/>
          <w:szCs w:val="32"/>
          <w:lang w:eastAsia="zh-CN"/>
        </w:rPr>
        <w:t>与</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年1-</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相比，增幅收窄2.5个百分点。</w:t>
      </w:r>
      <w:r>
        <w:rPr>
          <w:rFonts w:hint="eastAsia" w:ascii="仿宋_GB2312" w:eastAsia="仿宋_GB2312"/>
          <w:sz w:val="32"/>
          <w:szCs w:val="32"/>
          <w:lang w:val="en-US" w:eastAsia="zh-CN"/>
        </w:rPr>
        <w:t>其中，高技术服务领域实现营业收入517.6亿元，同比增长8.4%，占中关村</w:t>
      </w:r>
      <w:r>
        <w:rPr>
          <w:rFonts w:hint="eastAsia" w:ascii="仿宋_GB2312" w:eastAsia="仿宋_GB2312"/>
          <w:sz w:val="32"/>
          <w:szCs w:val="32"/>
        </w:rPr>
        <w:t>丰台园</w:t>
      </w:r>
      <w:r>
        <w:rPr>
          <w:rFonts w:hint="eastAsia" w:ascii="仿宋_GB2312" w:eastAsia="仿宋_GB2312"/>
          <w:sz w:val="32"/>
          <w:szCs w:val="32"/>
          <w:lang w:val="en-US" w:eastAsia="zh-CN"/>
        </w:rPr>
        <w:t>国高新企业营业收入的64.9%。</w:t>
      </w:r>
    </w:p>
    <w:p>
      <w:pPr>
        <w:ind w:firstLine="640" w:firstLineChars="200"/>
        <w:rPr>
          <w:rFonts w:hint="eastAsia" w:ascii="仿宋_GB2312" w:eastAsia="仿宋_GB2312"/>
          <w:color w:val="auto"/>
          <w:sz w:val="32"/>
          <w:szCs w:val="32"/>
          <w:lang w:eastAsia="zh-CN"/>
        </w:rPr>
      </w:pPr>
      <w:r>
        <w:rPr>
          <w:rFonts w:hint="eastAsia" w:ascii="仿宋_GB2312" w:eastAsia="仿宋_GB2312"/>
          <w:sz w:val="32"/>
          <w:szCs w:val="32"/>
          <w:lang w:eastAsia="zh-CN"/>
        </w:rPr>
        <w:t>1-5月</w:t>
      </w:r>
      <w:r>
        <w:rPr>
          <w:rFonts w:hint="eastAsia" w:ascii="仿宋_GB2312" w:eastAsia="仿宋_GB2312"/>
          <w:sz w:val="32"/>
          <w:szCs w:val="32"/>
        </w:rPr>
        <w:t>，</w:t>
      </w:r>
      <w:r>
        <w:rPr>
          <w:rFonts w:hint="eastAsia" w:ascii="仿宋_GB2312" w:eastAsia="仿宋_GB2312"/>
          <w:sz w:val="32"/>
          <w:szCs w:val="32"/>
          <w:lang w:eastAsia="zh-CN"/>
        </w:rPr>
        <w:t>中关村丰台园企业研究开发人员合计</w:t>
      </w:r>
      <w:r>
        <w:rPr>
          <w:rFonts w:hint="eastAsia" w:ascii="仿宋_GB2312" w:eastAsia="仿宋_GB2312"/>
          <w:sz w:val="32"/>
          <w:szCs w:val="32"/>
          <w:lang w:val="en-US" w:eastAsia="zh-CN"/>
        </w:rPr>
        <w:t>2.3万人，同比下降0.02%；研究开发费用合计33.0亿元，同比下降3.2%。</w:t>
      </w:r>
      <w:r>
        <w:rPr>
          <w:rFonts w:hint="eastAsia" w:ascii="仿宋_GB2312" w:eastAsia="仿宋_GB2312"/>
          <w:color w:val="auto"/>
          <w:sz w:val="32"/>
          <w:szCs w:val="32"/>
          <w:lang w:eastAsia="zh-CN"/>
        </w:rPr>
        <w:t>与2026年1-</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eastAsia="zh-CN"/>
        </w:rPr>
        <w:t>月相比，降幅收窄1.</w:t>
      </w:r>
      <w:r>
        <w:rPr>
          <w:rFonts w:hint="eastAsia" w:ascii="仿宋_GB2312" w:eastAsia="仿宋_GB2312"/>
          <w:color w:val="auto"/>
          <w:sz w:val="32"/>
          <w:szCs w:val="32"/>
          <w:lang w:val="en-US" w:eastAsia="zh-CN"/>
        </w:rPr>
        <w:t>7</w:t>
      </w:r>
      <w:r>
        <w:rPr>
          <w:rFonts w:hint="eastAsia" w:ascii="仿宋_GB2312" w:eastAsia="仿宋_GB2312"/>
          <w:color w:val="auto"/>
          <w:sz w:val="32"/>
          <w:szCs w:val="32"/>
          <w:lang w:eastAsia="zh-CN"/>
        </w:rPr>
        <w:t>个百分点。</w:t>
      </w:r>
    </w:p>
    <w:p>
      <w:pP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br w:type="page"/>
      </w:r>
    </w:p>
    <w:p>
      <w:pPr>
        <w:pStyle w:val="2"/>
        <w:rPr>
          <w:rFonts w:hint="eastAsia"/>
          <w:lang w:val="en-US" w:eastAsia="zh-CN"/>
        </w:rPr>
      </w:pPr>
    </w:p>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中关村示范区丰台园规模以上重点企业</w:t>
      </w:r>
      <w:r>
        <w:rPr>
          <w:rFonts w:hint="eastAsia" w:asciiTheme="minorEastAsia" w:hAnsiTheme="minorEastAsia" w:cstheme="minorEastAsia"/>
          <w:sz w:val="24"/>
          <w:szCs w:val="24"/>
          <w:lang w:val="en-US" w:eastAsia="zh-CN"/>
        </w:rPr>
        <w:t>营业</w:t>
      </w:r>
      <w:r>
        <w:rPr>
          <w:rFonts w:hint="eastAsia" w:asciiTheme="minorEastAsia" w:hAnsiTheme="minorEastAsia" w:eastAsiaTheme="minorEastAsia" w:cstheme="minorEastAsia"/>
          <w:sz w:val="24"/>
          <w:szCs w:val="24"/>
          <w:lang w:val="en-US" w:eastAsia="zh-CN"/>
        </w:rPr>
        <w:t>收入、研究开发费用合计同比增速</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单位：%</w:t>
      </w:r>
    </w:p>
    <w:p>
      <w:pPr>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lang w:eastAsia="zh-CN"/>
        </w:rPr>
        <w:drawing>
          <wp:anchor distT="0" distB="0" distL="114300" distR="114300" simplePos="0" relativeHeight="251658240" behindDoc="1" locked="0" layoutInCell="1" allowOverlap="1">
            <wp:simplePos x="0" y="0"/>
            <wp:positionH relativeFrom="column">
              <wp:posOffset>-737870</wp:posOffset>
            </wp:positionH>
            <wp:positionV relativeFrom="paragraph">
              <wp:posOffset>90170</wp:posOffset>
            </wp:positionV>
            <wp:extent cx="6370320" cy="2499360"/>
            <wp:effectExtent l="0" t="0" r="11430" b="34290"/>
            <wp:wrapTight wrapText="bothSides">
              <wp:wrapPolygon>
                <wp:start x="0" y="0"/>
                <wp:lineTo x="0" y="21402"/>
                <wp:lineTo x="21510" y="21402"/>
                <wp:lineTo x="21510"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仿宋_GB2312" w:hAnsi="仿宋_GB2312" w:eastAsia="仿宋_GB2312" w:cs="仿宋_GB2312"/>
          <w:i w:val="0"/>
          <w:caps w:val="0"/>
          <w:color w:val="232930"/>
          <w:spacing w:val="0"/>
          <w:sz w:val="32"/>
          <w:szCs w:val="32"/>
          <w:shd w:val="clear" w:fill="FFFFFF"/>
        </w:rPr>
        <w:t>附注</w:t>
      </w:r>
      <w:bookmarkStart w:id="0" w:name="_GoBack"/>
      <w:bookmarkEnd w:id="0"/>
    </w:p>
    <w:p>
      <w:pPr>
        <w:numPr>
          <w:ilvl w:val="0"/>
          <w:numId w:val="1"/>
        </w:numPr>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统计范围</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采集渠道</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由注册在中关村国家自主创新示范区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内的规模（限额）以上重点企业法人单位通过北京统计联网直报系统报送。</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主要统计指标解释</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lang w:eastAsia="zh-CN"/>
        </w:rPr>
        <w:t>营业</w:t>
      </w:r>
      <w:r>
        <w:rPr>
          <w:rFonts w:hint="eastAsia" w:ascii="仿宋_GB2312" w:hAnsi="仿宋_GB2312" w:eastAsia="仿宋_GB2312" w:cs="仿宋_GB2312"/>
          <w:i w:val="0"/>
          <w:caps w:val="0"/>
          <w:color w:val="232930"/>
          <w:spacing w:val="0"/>
          <w:sz w:val="32"/>
          <w:szCs w:val="32"/>
          <w:shd w:val="clear" w:fill="FFFFFF"/>
        </w:rPr>
        <w:t>收入：指企业全年的生产产品销售收入、技术性收入和与本企业产品相关的商品的销售收入、其他收入等各种收入的总和，等于主营业务收入加上其他业务收入。</w:t>
      </w:r>
      <w:r>
        <w:rPr>
          <w:rFonts w:hint="eastAsia" w:ascii="仿宋_GB2312" w:hAnsi="仿宋_GB2312" w:eastAsia="仿宋_GB2312" w:cs="仿宋_GB2312"/>
          <w:i w:val="0"/>
          <w:caps w:val="0"/>
          <w:color w:val="232930"/>
          <w:spacing w:val="0"/>
          <w:sz w:val="32"/>
          <w:szCs w:val="32"/>
          <w:shd w:val="clear" w:fill="FFFFFF"/>
          <w:lang w:eastAsia="zh-CN"/>
        </w:rPr>
        <w:t>营业收入</w:t>
      </w:r>
      <w:r>
        <w:rPr>
          <w:rFonts w:hint="eastAsia" w:ascii="仿宋_GB2312" w:hAnsi="仿宋_GB2312" w:eastAsia="仿宋_GB2312" w:cs="仿宋_GB2312"/>
          <w:i w:val="0"/>
          <w:caps w:val="0"/>
          <w:color w:val="232930"/>
          <w:spacing w:val="0"/>
          <w:sz w:val="32"/>
          <w:szCs w:val="32"/>
          <w:shd w:val="clear" w:fill="FFFFFF"/>
        </w:rPr>
        <w:t>应按不含增值税的价格计算。</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研究开发费用合计：指报告期内企业用于研究开发活动的费用合计，包括人员人工费用、直接投入费用、折旧费用与长期待摊费用、无形资产摊销费用、设计费用、装备调试费用与试验费用、委托外部研究开发费用及其他费用。该指标应与企业会计账中有关研究开发会计科目或向税务部门提供的有关研究开发辅助账中研究开发费用对应。</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其他</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lang w:val="en-US" w:eastAsia="zh-CN"/>
        </w:rPr>
        <w:t>1.</w:t>
      </w:r>
      <w:r>
        <w:rPr>
          <w:rFonts w:hint="eastAsia" w:ascii="仿宋_GB2312" w:hAnsi="仿宋_GB2312" w:eastAsia="仿宋_GB2312" w:cs="仿宋_GB2312"/>
          <w:i w:val="0"/>
          <w:caps w:val="0"/>
          <w:color w:val="232930"/>
          <w:spacing w:val="0"/>
          <w:sz w:val="32"/>
          <w:szCs w:val="32"/>
          <w:shd w:val="clear" w:fill="FFFFFF"/>
        </w:rPr>
        <w:t>按照工业和信息化部《国家高新区和高新技术企业统计调查制度》规定，国家重点支持的高新技术领域包括电子信息、生物与新医药、航空航天、新材料、高技术服务、新能源与节能、资源与环境、先进制造与自动化。</w:t>
      </w:r>
    </w:p>
    <w:p>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232930"/>
          <w:spacing w:val="0"/>
          <w:sz w:val="32"/>
          <w:szCs w:val="32"/>
          <w:shd w:val="clear" w:fill="FFFFFF"/>
          <w:lang w:val="en-US" w:eastAsia="zh-CN"/>
        </w:rPr>
        <w:t>2.</w:t>
      </w:r>
      <w:r>
        <w:rPr>
          <w:rFonts w:hint="eastAsia" w:ascii="仿宋_GB2312" w:hAnsi="仿宋_GB2312" w:eastAsia="仿宋_GB2312" w:cs="仿宋_GB2312"/>
          <w:i w:val="0"/>
          <w:caps w:val="0"/>
          <w:color w:val="232930"/>
          <w:spacing w:val="0"/>
          <w:sz w:val="32"/>
          <w:szCs w:val="32"/>
          <w:shd w:val="clear" w:fill="FFFFFF"/>
        </w:rPr>
        <w:t>同比增长是利用统计范围内调查单位填报的相关指标“1-本月”及“上年同期”数据计算取得。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A4E45"/>
    <w:multiLevelType w:val="singleLevel"/>
    <w:tmpl w:val="06AA4E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9A"/>
    <w:rsid w:val="000E2F97"/>
    <w:rsid w:val="00367A25"/>
    <w:rsid w:val="003A604B"/>
    <w:rsid w:val="009E0805"/>
    <w:rsid w:val="009E4105"/>
    <w:rsid w:val="00B805C3"/>
    <w:rsid w:val="00DC084F"/>
    <w:rsid w:val="00E20E9A"/>
    <w:rsid w:val="00E24F27"/>
    <w:rsid w:val="00F728A4"/>
    <w:rsid w:val="01CC4CBD"/>
    <w:rsid w:val="03302B60"/>
    <w:rsid w:val="03F9CEF7"/>
    <w:rsid w:val="058B713F"/>
    <w:rsid w:val="07487424"/>
    <w:rsid w:val="074A00FD"/>
    <w:rsid w:val="09B25007"/>
    <w:rsid w:val="0DFB58AA"/>
    <w:rsid w:val="0F107FC8"/>
    <w:rsid w:val="114C2D74"/>
    <w:rsid w:val="13B911F8"/>
    <w:rsid w:val="13DB5C02"/>
    <w:rsid w:val="142619AB"/>
    <w:rsid w:val="150B3B44"/>
    <w:rsid w:val="1764570F"/>
    <w:rsid w:val="1B7F4C13"/>
    <w:rsid w:val="1C8C4AF4"/>
    <w:rsid w:val="1D7E69BC"/>
    <w:rsid w:val="1D9C5F2D"/>
    <w:rsid w:val="229A56BE"/>
    <w:rsid w:val="23DB3995"/>
    <w:rsid w:val="255D09EC"/>
    <w:rsid w:val="2598225C"/>
    <w:rsid w:val="25C73497"/>
    <w:rsid w:val="25EB5C39"/>
    <w:rsid w:val="26385756"/>
    <w:rsid w:val="26995DBC"/>
    <w:rsid w:val="2AD43A1D"/>
    <w:rsid w:val="2D6012E8"/>
    <w:rsid w:val="30F10FA3"/>
    <w:rsid w:val="342F5CC7"/>
    <w:rsid w:val="347519C0"/>
    <w:rsid w:val="34D12F4C"/>
    <w:rsid w:val="38FC7206"/>
    <w:rsid w:val="391B4D13"/>
    <w:rsid w:val="39CB18AB"/>
    <w:rsid w:val="3A113820"/>
    <w:rsid w:val="3B2C7E35"/>
    <w:rsid w:val="3DD4601E"/>
    <w:rsid w:val="3E0F0D4A"/>
    <w:rsid w:val="4096190C"/>
    <w:rsid w:val="423E7660"/>
    <w:rsid w:val="425F7A1B"/>
    <w:rsid w:val="44324D0E"/>
    <w:rsid w:val="44552155"/>
    <w:rsid w:val="482945D8"/>
    <w:rsid w:val="49494FD8"/>
    <w:rsid w:val="4A5629C5"/>
    <w:rsid w:val="4AA34657"/>
    <w:rsid w:val="4B7B7679"/>
    <w:rsid w:val="4D261988"/>
    <w:rsid w:val="51B36046"/>
    <w:rsid w:val="528B441D"/>
    <w:rsid w:val="543E4192"/>
    <w:rsid w:val="547E2B67"/>
    <w:rsid w:val="549A1149"/>
    <w:rsid w:val="57C21666"/>
    <w:rsid w:val="5AAA2E19"/>
    <w:rsid w:val="5FE963B0"/>
    <w:rsid w:val="655321C6"/>
    <w:rsid w:val="66163474"/>
    <w:rsid w:val="661E01B7"/>
    <w:rsid w:val="6D6B5657"/>
    <w:rsid w:val="6E9B7DA0"/>
    <w:rsid w:val="6ECE4627"/>
    <w:rsid w:val="75F7903A"/>
    <w:rsid w:val="78021482"/>
    <w:rsid w:val="793F179E"/>
    <w:rsid w:val="7A3E68B2"/>
    <w:rsid w:val="7B531C40"/>
    <w:rsid w:val="7BBF617E"/>
    <w:rsid w:val="7BDCCB2C"/>
    <w:rsid w:val="7C653980"/>
    <w:rsid w:val="7CD4533D"/>
    <w:rsid w:val="7D9F29E1"/>
    <w:rsid w:val="7DC912FA"/>
    <w:rsid w:val="7DFD2BAA"/>
    <w:rsid w:val="7E4D3779"/>
    <w:rsid w:val="7F754855"/>
    <w:rsid w:val="8F7DF192"/>
    <w:rsid w:val="9E37E0E1"/>
    <w:rsid w:val="9FE7264C"/>
    <w:rsid w:val="B7FF2B47"/>
    <w:rsid w:val="BDEB6C54"/>
    <w:rsid w:val="D5F6FDAD"/>
    <w:rsid w:val="DEE6162D"/>
    <w:rsid w:val="DFE75360"/>
    <w:rsid w:val="DFFF1319"/>
    <w:rsid w:val="FB7F48DC"/>
    <w:rsid w:val="FFBBC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semiHidden/>
    <w:unhideWhenUsed/>
    <w:qFormat/>
    <w:uiPriority w:val="99"/>
    <w:rPr>
      <w:rFonts w:ascii="Arial" w:hAnsi="Arial"/>
      <w:b/>
    </w:rPr>
  </w:style>
  <w:style w:type="paragraph" w:styleId="3">
    <w:name w:val="index 1"/>
    <w:basedOn w:val="1"/>
    <w:next w:val="1"/>
    <w:semiHidden/>
    <w:unhideWhenUsed/>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lineChart>
        <c:grouping val="standard"/>
        <c:varyColors val="false"/>
        <c:ser>
          <c:idx val="0"/>
          <c:order val="0"/>
          <c:tx>
            <c:strRef>
              <c:f>Sheet1!$B$1</c:f>
              <c:strCache>
                <c:ptCount val="1"/>
                <c:pt idx="0">
                  <c:v>营业收入同比增速</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Sheet1!$A$2:$A$12</c:f>
              <c:strCache>
                <c:ptCount val="11"/>
                <c:pt idx="0">
                  <c:v>2025年
1-5月</c:v>
                </c:pt>
                <c:pt idx="1">
                  <c:v>2025年
1-6月</c:v>
                </c:pt>
                <c:pt idx="2">
                  <c:v>2025年
1-7月</c:v>
                </c:pt>
                <c:pt idx="3">
                  <c:v>2025年
1-8月</c:v>
                </c:pt>
                <c:pt idx="4">
                  <c:v>2025年
1-9月</c:v>
                </c:pt>
                <c:pt idx="5">
                  <c:v>2025年
1-10月</c:v>
                </c:pt>
                <c:pt idx="6">
                  <c:v>2025年
1-11月</c:v>
                </c:pt>
                <c:pt idx="7">
                  <c:v>2026年
1-2月</c:v>
                </c:pt>
                <c:pt idx="8">
                  <c:v>2026年
1-3月</c:v>
                </c:pt>
                <c:pt idx="9">
                  <c:v>2026年
1-4月</c:v>
                </c:pt>
                <c:pt idx="10">
                  <c:v>2026年
1-5月</c:v>
                </c:pt>
              </c:strCache>
            </c:strRef>
          </c:cat>
          <c:val>
            <c:numRef>
              <c:f>Sheet1!$B$2:$B$12</c:f>
              <c:numCache>
                <c:formatCode>General</c:formatCode>
                <c:ptCount val="11"/>
                <c:pt idx="0">
                  <c:v>-4.2</c:v>
                </c:pt>
                <c:pt idx="1" c:formatCode="0.0_ ">
                  <c:v>-5</c:v>
                </c:pt>
                <c:pt idx="2" c:formatCode="0.0_ ">
                  <c:v>-6.1</c:v>
                </c:pt>
                <c:pt idx="3" c:formatCode="0.0_ ">
                  <c:v>-0.8</c:v>
                </c:pt>
                <c:pt idx="4" c:formatCode="0.0_ ">
                  <c:v>-0.7</c:v>
                </c:pt>
                <c:pt idx="5">
                  <c:v>-1.5</c:v>
                </c:pt>
                <c:pt idx="6">
                  <c:v>-1.2</c:v>
                </c:pt>
                <c:pt idx="7" c:formatCode="0.0_ ">
                  <c:v>-2</c:v>
                </c:pt>
                <c:pt idx="8" c:formatCode="0.0_ ">
                  <c:v>1.6</c:v>
                </c:pt>
                <c:pt idx="9" c:formatCode="0.0_ ">
                  <c:v>0.4</c:v>
                </c:pt>
                <c:pt idx="10" c:formatCode="0.0_ ">
                  <c:v>-1.5</c:v>
                </c:pt>
              </c:numCache>
            </c:numRef>
          </c:val>
          <c:smooth val="false"/>
        </c:ser>
        <c:ser>
          <c:idx val="1"/>
          <c:order val="1"/>
          <c:tx>
            <c:strRef>
              <c:f>Sheet1!$C$1</c:f>
              <c:strCache>
                <c:ptCount val="1"/>
                <c:pt idx="0">
                  <c:v>研究开发费用合计同比增速</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8"/>
              <c:layout>
                <c:manualLayout>
                  <c:x val="0.00448564593301435"/>
                  <c:y val="0.0584349593495935"/>
                </c:manualLayout>
              </c:layout>
              <c:dLblPos val="b"/>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Sheet1!$A$2:$A$12</c:f>
              <c:strCache>
                <c:ptCount val="11"/>
                <c:pt idx="0">
                  <c:v>2025年
1-5月</c:v>
                </c:pt>
                <c:pt idx="1">
                  <c:v>2025年
1-6月</c:v>
                </c:pt>
                <c:pt idx="2">
                  <c:v>2025年
1-7月</c:v>
                </c:pt>
                <c:pt idx="3">
                  <c:v>2025年
1-8月</c:v>
                </c:pt>
                <c:pt idx="4">
                  <c:v>2025年
1-9月</c:v>
                </c:pt>
                <c:pt idx="5">
                  <c:v>2025年
1-10月</c:v>
                </c:pt>
                <c:pt idx="6">
                  <c:v>2025年
1-11月</c:v>
                </c:pt>
                <c:pt idx="7">
                  <c:v>2026年
1-2月</c:v>
                </c:pt>
                <c:pt idx="8">
                  <c:v>2026年
1-3月</c:v>
                </c:pt>
                <c:pt idx="9">
                  <c:v>2026年
1-4月</c:v>
                </c:pt>
                <c:pt idx="10">
                  <c:v>2026年
1-5月</c:v>
                </c:pt>
              </c:strCache>
            </c:strRef>
          </c:cat>
          <c:val>
            <c:numRef>
              <c:f>Sheet1!$C$2:$C$12</c:f>
              <c:numCache>
                <c:formatCode>General</c:formatCode>
                <c:ptCount val="11"/>
                <c:pt idx="0">
                  <c:v>-5.4</c:v>
                </c:pt>
                <c:pt idx="1">
                  <c:v>-7.3</c:v>
                </c:pt>
                <c:pt idx="2" c:formatCode="0.0_ ">
                  <c:v>-6</c:v>
                </c:pt>
                <c:pt idx="3" c:formatCode="0.0_ ">
                  <c:v>-5.5</c:v>
                </c:pt>
                <c:pt idx="4" c:formatCode="0.0_ ">
                  <c:v>-3.3</c:v>
                </c:pt>
                <c:pt idx="5">
                  <c:v>-4.9</c:v>
                </c:pt>
                <c:pt idx="6">
                  <c:v>-2.2</c:v>
                </c:pt>
                <c:pt idx="7">
                  <c:v>-7.2</c:v>
                </c:pt>
                <c:pt idx="8" c:formatCode="0.00_ ">
                  <c:v>0.02</c:v>
                </c:pt>
                <c:pt idx="9" c:formatCode="0.0_ ">
                  <c:v>-4.9</c:v>
                </c:pt>
                <c:pt idx="10" c:formatCode="0.0_ ">
                  <c:v>-3.2</c:v>
                </c:pt>
              </c:numCache>
            </c:numRef>
          </c:val>
          <c:smooth val="false"/>
        </c:ser>
        <c:dLbls>
          <c:showLegendKey val="false"/>
          <c:showVal val="false"/>
          <c:showCatName val="false"/>
          <c:showSerName val="false"/>
          <c:showPercent val="false"/>
          <c:showBubbleSize val="false"/>
        </c:dLbls>
        <c:marker val="true"/>
        <c:smooth val="false"/>
        <c:axId val="208888119"/>
        <c:axId val="772063503"/>
      </c:lineChart>
      <c:catAx>
        <c:axId val="208888119"/>
        <c:scaling>
          <c:orientation val="minMax"/>
        </c:scaling>
        <c:delete val="false"/>
        <c:axPos val="b"/>
        <c:numFmt formatCode="_ &quot;€&quot;* #,##0.00_ ;_ &quot;€&quot;* \-#,##0.00_ ;_ &quot;€&quot;* &quot;-&quot;??_ ;_ @_ " sourceLinked="false"/>
        <c:majorTickMark val="none"/>
        <c:minorTickMark val="none"/>
        <c:tickLblPos val="low"/>
        <c:spPr>
          <a:noFill/>
          <a:ln w="9525" cap="flat" cmpd="sng" algn="ctr">
            <a:solidFill>
              <a:schemeClr val="bg1"/>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72063503"/>
        <c:crosses val="autoZero"/>
        <c:auto val="true"/>
        <c:lblAlgn val="ctr"/>
        <c:lblOffset val="400"/>
        <c:tickLblSkip val="1"/>
        <c:noMultiLvlLbl val="false"/>
      </c:catAx>
      <c:valAx>
        <c:axId val="772063503"/>
        <c:scaling>
          <c:orientation val="minMax"/>
          <c:min val="-10"/>
        </c:scaling>
        <c:delete val="false"/>
        <c:axPos val="l"/>
        <c:majorGridlines>
          <c:spPr>
            <a:ln w="9525" cap="flat" cmpd="sng" algn="ctr">
              <a:solidFill>
                <a:schemeClr val="bg1"/>
              </a:solidFill>
              <a:round/>
            </a:ln>
            <a:effectLst/>
          </c:spPr>
        </c:majorGridlines>
        <c:numFmt formatCode="General" sourceLinked="true"/>
        <c:majorTickMark val="out"/>
        <c:minorTickMark val="none"/>
        <c:tickLblPos val="nextTo"/>
        <c:spPr>
          <a:noFill/>
          <a:ln w="6350">
            <a:solidFill>
              <a:schemeClr val="tx1"/>
            </a:solid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8888119"/>
        <c:crosses val="autoZero"/>
        <c:crossBetween val="between"/>
        <c:majorUnit val="2"/>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zero"/>
    <c:showDLblsOverMax val="false"/>
  </c:chart>
  <c:spPr>
    <a:solidFill>
      <a:schemeClr val="bg1"/>
    </a:solidFill>
    <a:ln w="9525" cap="flat" cmpd="sng" algn="ctr">
      <a:no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Pages>
  <Words>34</Words>
  <Characters>198</Characters>
  <Lines>1</Lines>
  <Paragraphs>1</Paragraphs>
  <TotalTime>9</TotalTime>
  <ScaleCrop>false</ScaleCrop>
  <LinksUpToDate>false</LinksUpToDate>
  <CharactersWithSpaces>231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2020-04-03T16:48:00Z</dcterms:created>
  <dc:creator>祁晶</dc:creator>
  <cp:lastModifiedBy>uos</cp:lastModifiedBy>
  <dcterms:modified xsi:type="dcterms:W3CDTF">2026-07-03T15:15:17Z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