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2021年政府预算相关情况说明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一、转移支付安排情况说明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一般公共预算共收到上级转移支付888193万元，其中一般转移支付581205万元，专项转移支付306988万元。专项转移支付安排一般公共服务支出356万元，教育支出29214万元，社会保障和就业支出241748万元，卫生健康支出5471万元，节能环保支出17977万元，农林水支出8621万元，交通运输支出1100万元，住房保障支出2501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政府性基金上级转移支付3000万元，其中安排社会保障和就业支出24万元，其他支出2976万元。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我区参照部门模式管理乡镇预算，因此无对下级转移支付。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二、政府债务情况说明</w:t>
      </w:r>
    </w:p>
    <w:p>
      <w:pPr>
        <w:spacing w:line="640" w:lineRule="exact"/>
        <w:ind w:firstLine="696" w:firstLineChars="200"/>
        <w:rPr>
          <w:rFonts w:hint="eastAsia" w:ascii="仿宋_GB2312" w:hAnsi="仿宋" w:eastAsia="仿宋_GB2312" w:cs="Times New Roman"/>
          <w:spacing w:val="1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2020年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申请政府债券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920,422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万元。其中，新增债券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400,000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万元，再融资债券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520,422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万元。经区人大常委会批准，新增债券分类列入一般公共预算和政府性基金预算，用于保障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丰台火车站及周边路网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、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长辛店棚户区改造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等项目建设。</w:t>
      </w:r>
    </w:p>
    <w:p>
      <w:pPr>
        <w:spacing w:line="640" w:lineRule="exact"/>
        <w:ind w:firstLine="696" w:firstLineChars="200"/>
        <w:rPr>
          <w:rFonts w:hint="eastAsia" w:ascii="仿宋_GB2312" w:hAnsi="仿宋" w:eastAsia="仿宋_GB2312" w:cs="Times New Roman"/>
          <w:spacing w:val="14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20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年我区政府债务应还本金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550,000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万元，其中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一般债券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300,000万元，专项债券250,000万元，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使用再融资政府债券偿还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520,422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，自筹资金偿还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29,578万元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。应付一般债务利息及相关手续费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49,384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专项债务利息及相关手续费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62,665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分别使用一般公共预算资金和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政府性基金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预算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资金支付。</w:t>
      </w:r>
    </w:p>
    <w:p>
      <w:pPr>
        <w:spacing w:line="640" w:lineRule="exact"/>
        <w:ind w:firstLine="696" w:firstLineChars="200"/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截至20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年末，我区政府债务余额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3,365,065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万元。其中，一般债务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1,455,065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万元，专项债务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1,910,000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万元。债务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规模保持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</w:rPr>
        <w:t>在限额以内，风险可控。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pacing w:val="14"/>
          <w:sz w:val="32"/>
          <w:szCs w:val="32"/>
          <w:lang w:val="en-US" w:eastAsia="zh-CN"/>
        </w:rPr>
        <w:t>2020年数据均为预计执行情况，可能与最终决算数据存在一定差异</w:t>
      </w:r>
      <w:bookmarkStart w:id="0" w:name="_GoBack"/>
      <w:bookmarkEnd w:id="0"/>
      <w:r>
        <w:rPr>
          <w:rFonts w:hint="eastAsia" w:ascii="仿宋_GB2312" w:hAnsi="仿宋" w:eastAsia="仿宋_GB2312" w:cs="Times New Roman"/>
          <w:spacing w:val="14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2021年，我区到期需还本债务32566万元，全部为一般债务，计划使用一般公共预算收入进行偿还。按照2020年末债务余额进行测算，2021年需付息金额117295万元，已在预算中进行安排，其中一般债券付息金额49255万元，专项债券付息金额68040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三、一般公共预算“三公”经费预算安排说明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年区级党政机关、事业单位的“三公”经费财政拨款支出预算安排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7770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14"/>
          <w:sz w:val="30"/>
          <w:szCs w:val="30"/>
          <w:lang w:eastAsia="zh-CN"/>
        </w:rPr>
        <w:t>与上年持平</w:t>
      </w:r>
      <w:r>
        <w:rPr>
          <w:rFonts w:hint="eastAsia" w:ascii="仿宋_GB2312" w:eastAsia="仿宋_GB2312"/>
          <w:sz w:val="32"/>
          <w:szCs w:val="32"/>
        </w:rPr>
        <w:t>。其中，因公出国（境）费用623万元，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与上年持平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公务接待费263万元，</w:t>
      </w:r>
      <w:r>
        <w:rPr>
          <w:rFonts w:hint="eastAsia" w:ascii="仿宋_GB2312" w:eastAsia="仿宋_GB2312"/>
          <w:sz w:val="32"/>
          <w:szCs w:val="32"/>
          <w:lang w:eastAsia="zh-CN"/>
        </w:rPr>
        <w:t>与上年持平，</w:t>
      </w:r>
      <w:r>
        <w:rPr>
          <w:rFonts w:hint="eastAsia" w:ascii="仿宋_GB2312" w:eastAsia="仿宋_GB2312"/>
          <w:sz w:val="32"/>
          <w:szCs w:val="32"/>
        </w:rPr>
        <w:t>公务用车购置和运行维护费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6884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，与上年持平</w:t>
      </w:r>
      <w:r>
        <w:rPr>
          <w:rFonts w:hint="eastAsia" w:ascii="仿宋_GB2312" w:eastAsia="仿宋_GB2312"/>
          <w:sz w:val="32"/>
          <w:szCs w:val="32"/>
        </w:rPr>
        <w:t>（其中，购置费安排1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万元，运行维护费安排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5862万元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四、扶贫资金安排情况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2021年区财政积极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筹措资金，安排扶贫资金1.16亿元。其中预留上解资金6276万元，用于支持新疆、西藏、青海、内蒙古、河北等贫困地区；安排资金5280万元用于对口支援涞源、治多、扎赉特旗和林西县，</w:t>
      </w:r>
      <w:r>
        <w:rPr>
          <w:rFonts w:hint="eastAsia" w:ascii="仿宋_GB2312" w:hAnsi="黑体" w:eastAsia="仿宋_GB2312"/>
          <w:sz w:val="32"/>
          <w:szCs w:val="32"/>
        </w:rPr>
        <w:t>确保我区扶贫支援工作取得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良好成绩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。其中涞源县2000万元，林西县1240万元，扎赉特旗1600万元，治多县440万元。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53E9"/>
    <w:rsid w:val="039361F4"/>
    <w:rsid w:val="03C83C13"/>
    <w:rsid w:val="05276AA5"/>
    <w:rsid w:val="055C566F"/>
    <w:rsid w:val="05A42FB6"/>
    <w:rsid w:val="05AE6637"/>
    <w:rsid w:val="06324E98"/>
    <w:rsid w:val="079F79AD"/>
    <w:rsid w:val="0BA706CD"/>
    <w:rsid w:val="0BEE53E9"/>
    <w:rsid w:val="0E193041"/>
    <w:rsid w:val="0F8209A3"/>
    <w:rsid w:val="119460C6"/>
    <w:rsid w:val="15AB03A4"/>
    <w:rsid w:val="1BF3137A"/>
    <w:rsid w:val="1D0A04BA"/>
    <w:rsid w:val="1F1F1AB3"/>
    <w:rsid w:val="2196544C"/>
    <w:rsid w:val="22AD10DD"/>
    <w:rsid w:val="22EF771A"/>
    <w:rsid w:val="23A0020B"/>
    <w:rsid w:val="245E1500"/>
    <w:rsid w:val="24A53225"/>
    <w:rsid w:val="263A484B"/>
    <w:rsid w:val="26486F7F"/>
    <w:rsid w:val="27EF2822"/>
    <w:rsid w:val="2B32053A"/>
    <w:rsid w:val="2D3A69A1"/>
    <w:rsid w:val="2D721FC2"/>
    <w:rsid w:val="2D9114F6"/>
    <w:rsid w:val="31276304"/>
    <w:rsid w:val="31877127"/>
    <w:rsid w:val="32522E08"/>
    <w:rsid w:val="345A0E58"/>
    <w:rsid w:val="3976125B"/>
    <w:rsid w:val="39B871E5"/>
    <w:rsid w:val="3B69325C"/>
    <w:rsid w:val="3BE614D7"/>
    <w:rsid w:val="3C1C4CB5"/>
    <w:rsid w:val="3D973C10"/>
    <w:rsid w:val="3E5347E3"/>
    <w:rsid w:val="40D73571"/>
    <w:rsid w:val="43F46378"/>
    <w:rsid w:val="44C034F5"/>
    <w:rsid w:val="45845D98"/>
    <w:rsid w:val="46D93330"/>
    <w:rsid w:val="48992469"/>
    <w:rsid w:val="4AB01EA5"/>
    <w:rsid w:val="4CD93A22"/>
    <w:rsid w:val="50D232A2"/>
    <w:rsid w:val="51903C80"/>
    <w:rsid w:val="5241476A"/>
    <w:rsid w:val="532379DE"/>
    <w:rsid w:val="55945C91"/>
    <w:rsid w:val="55E428E1"/>
    <w:rsid w:val="5B3A64E7"/>
    <w:rsid w:val="5C01544B"/>
    <w:rsid w:val="5DC84E40"/>
    <w:rsid w:val="5DE64CC6"/>
    <w:rsid w:val="5E222A08"/>
    <w:rsid w:val="5EEA1F3D"/>
    <w:rsid w:val="60230AB1"/>
    <w:rsid w:val="60B9149D"/>
    <w:rsid w:val="622620E9"/>
    <w:rsid w:val="656909FB"/>
    <w:rsid w:val="656E003E"/>
    <w:rsid w:val="66DD4B7E"/>
    <w:rsid w:val="69000E31"/>
    <w:rsid w:val="69A66129"/>
    <w:rsid w:val="6E3075F1"/>
    <w:rsid w:val="6EF1023F"/>
    <w:rsid w:val="703E542E"/>
    <w:rsid w:val="723B32A1"/>
    <w:rsid w:val="764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rPr>
      <w:rFonts w:eastAsia="文星仿宋"/>
      <w:sz w:val="32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张运红</cp:lastModifiedBy>
  <cp:lastPrinted>2021-05-31T07:20:00Z</cp:lastPrinted>
  <dcterms:modified xsi:type="dcterms:W3CDTF">2021-06-15T11:13:34Z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