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6979"/>
        </w:tabs>
        <w:spacing w:before="156" w:beforeLines="50" w:after="156" w:afterLines="50"/>
        <w:rPr>
          <w:rFonts w:hint="eastAsia" w:ascii="仿宋_GB2312" w:hAnsi="仿宋" w:eastAsia="仿宋_GB2312" w:cs="宋体"/>
          <w:bCs/>
          <w:spacing w:val="40"/>
          <w:kern w:val="0"/>
          <w:sz w:val="32"/>
          <w:szCs w:val="32"/>
          <w:lang w:eastAsia="zh-CN"/>
        </w:rPr>
      </w:pPr>
      <w:r>
        <w:rPr>
          <w:rFonts w:hint="eastAsia" w:ascii="仿宋_GB2312" w:hAnsi="仿宋" w:eastAsia="仿宋_GB2312" w:cs="宋体"/>
          <w:bCs/>
          <w:spacing w:val="40"/>
          <w:kern w:val="0"/>
          <w:sz w:val="32"/>
          <w:szCs w:val="32"/>
          <w:lang w:eastAsia="zh-CN"/>
        </w:rPr>
        <w:t>附件</w:t>
      </w:r>
      <w:r>
        <w:rPr>
          <w:rFonts w:hint="eastAsia" w:ascii="仿宋_GB2312" w:hAnsi="仿宋" w:eastAsia="仿宋_GB2312" w:cs="宋体"/>
          <w:bCs/>
          <w:spacing w:val="40"/>
          <w:kern w:val="0"/>
          <w:sz w:val="32"/>
          <w:szCs w:val="32"/>
          <w:lang w:val="en-US" w:eastAsia="zh-CN"/>
        </w:rPr>
        <w:t>1</w:t>
      </w:r>
      <w:r>
        <w:rPr>
          <w:rFonts w:hint="eastAsia" w:ascii="仿宋_GB2312" w:hAnsi="仿宋" w:eastAsia="仿宋_GB2312" w:cs="宋体"/>
          <w:bCs/>
          <w:spacing w:val="40"/>
          <w:kern w:val="0"/>
          <w:sz w:val="32"/>
          <w:szCs w:val="32"/>
          <w:lang w:eastAsia="zh-CN"/>
        </w:rPr>
        <w:t>：</w:t>
      </w:r>
    </w:p>
    <w:p>
      <w:pPr>
        <w:tabs>
          <w:tab w:val="center" w:pos="6979"/>
        </w:tabs>
        <w:spacing w:before="156" w:beforeLines="50" w:after="156" w:afterLines="50"/>
        <w:jc w:val="center"/>
        <w:rPr>
          <w:rFonts w:hint="eastAsia" w:ascii="宋体" w:hAnsi="宋体" w:eastAsia="宋体" w:cs="宋体"/>
          <w:b/>
          <w:bCs/>
          <w:spacing w:val="40"/>
          <w:kern w:val="0"/>
          <w:sz w:val="32"/>
          <w:szCs w:val="32"/>
        </w:rPr>
      </w:pPr>
      <w:bookmarkStart w:id="1" w:name="_GoBack"/>
      <w:r>
        <w:rPr>
          <w:rFonts w:hint="eastAsia" w:ascii="宋体" w:hAnsi="宋体" w:eastAsia="宋体" w:cs="宋体"/>
          <w:b/>
          <w:bCs/>
          <w:spacing w:val="40"/>
          <w:kern w:val="0"/>
          <w:sz w:val="32"/>
          <w:szCs w:val="32"/>
          <w:lang w:eastAsia="zh-CN"/>
        </w:rPr>
        <w:t>北京市丰台区城市管理综合行政执法局</w:t>
      </w:r>
      <w:r>
        <w:rPr>
          <w:rFonts w:hint="eastAsia" w:ascii="宋体" w:hAnsi="宋体" w:eastAsia="宋体" w:cs="宋体"/>
          <w:b/>
          <w:bCs/>
          <w:spacing w:val="40"/>
          <w:kern w:val="0"/>
          <w:sz w:val="32"/>
          <w:szCs w:val="32"/>
          <w:lang w:val="en-US" w:eastAsia="zh-CN"/>
        </w:rPr>
        <w:t>2019年度部门决算说明</w:t>
      </w:r>
      <w:bookmarkEnd w:id="1"/>
    </w:p>
    <w:p>
      <w:pPr>
        <w:tabs>
          <w:tab w:val="center" w:pos="6979"/>
        </w:tabs>
        <w:spacing w:before="156" w:beforeLines="50" w:after="156" w:afterLines="50"/>
        <w:jc w:val="center"/>
        <w:rPr>
          <w:rFonts w:hint="eastAsia" w:ascii="宋体" w:hAnsi="宋体" w:eastAsia="宋体"/>
          <w:b/>
          <w:sz w:val="32"/>
          <w:szCs w:val="32"/>
          <w:lang w:eastAsia="zh-CN"/>
        </w:rPr>
      </w:pPr>
      <w:r>
        <w:rPr>
          <w:rFonts w:hint="eastAsia" w:ascii="宋体" w:hAnsi="宋体" w:cs="宋体"/>
          <w:b/>
          <w:bCs/>
          <w:spacing w:val="40"/>
          <w:kern w:val="0"/>
          <w:sz w:val="32"/>
          <w:szCs w:val="32"/>
        </w:rPr>
        <w:t xml:space="preserve">第一部分 </w:t>
      </w:r>
      <w:r>
        <w:rPr>
          <w:rFonts w:hint="eastAsia" w:ascii="宋体" w:hAnsi="宋体"/>
          <w:b/>
          <w:spacing w:val="40"/>
          <w:sz w:val="32"/>
          <w:szCs w:val="32"/>
        </w:rPr>
        <w:t>201</w:t>
      </w:r>
      <w:r>
        <w:rPr>
          <w:rFonts w:ascii="宋体" w:hAnsi="宋体"/>
          <w:b/>
          <w:spacing w:val="40"/>
          <w:sz w:val="32"/>
          <w:szCs w:val="32"/>
        </w:rPr>
        <w:t>9</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一、部门基本情况</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（一）丰台城管执法局部门职能主要为：</w:t>
      </w:r>
    </w:p>
    <w:p>
      <w:pPr>
        <w:keepNext w:val="0"/>
        <w:keepLines w:val="0"/>
        <w:pageBreakBefore w:val="0"/>
        <w:widowControl/>
        <w:kinsoku/>
        <w:wordWrap/>
        <w:overflowPunct/>
        <w:topLinePunct w:val="0"/>
        <w:autoSpaceDE/>
        <w:autoSpaceDN/>
        <w:bidi w:val="0"/>
        <w:adjustRightInd w:val="0"/>
        <w:snapToGrid/>
        <w:spacing w:line="60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1、贯彻落实国家、北京市有关城市管理方面的法律、法规、规章和政策。</w:t>
      </w:r>
    </w:p>
    <w:p>
      <w:pPr>
        <w:keepNext w:val="0"/>
        <w:keepLines w:val="0"/>
        <w:pageBreakBefore w:val="0"/>
        <w:widowControl/>
        <w:kinsoku/>
        <w:wordWrap/>
        <w:overflowPunct/>
        <w:topLinePunct w:val="0"/>
        <w:autoSpaceDE/>
        <w:autoSpaceDN/>
        <w:bidi w:val="0"/>
        <w:adjustRightInd w:val="0"/>
        <w:snapToGrid/>
        <w:spacing w:line="60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2、依据国家及北京市有关城市管理方面的法律、法规及规章，参与研究提出完善本区城市管理综合行政执法体制的意见和措施。</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3、负责依法行使市容环境卫生管理、市政管理、公用事业管理方面的行政处罚权。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4、负责依法行使园林绿化管理、环境保护管理、施工现场管理、城市停车管理、交通运输管理方面的有关行政处罚权。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5、负责依法行使工商行政管理方面对流动无照经营行为的行政处罚权。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6、负责依法行使城市规划管理方面对违法建设的有关行政处罚权。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7、负责依法行使旅游管理方面对无导游证从事导游活动行为的行政处罚权。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8、负责依法行使市人民政府决定由城管执法机关集中行使的其他行政处罚权。</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9、负责本区城管执法监察工作的业务指导、统筹协调和指挥调度。</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10、负责对本区城管执法队伍实行统一管理，并对城管执法队伍进行监督和考核。</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11、负责本区城管执法监察系统的组织建设、作风建设、队伍建设及党风廉政建设工作。</w:t>
      </w:r>
    </w:p>
    <w:p>
      <w:pPr>
        <w:widowControl/>
        <w:adjustRightIn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12、承办区政府交办的其他事项。</w:t>
      </w:r>
    </w:p>
    <w:p>
      <w:pPr>
        <w:tabs>
          <w:tab w:val="center" w:pos="6979"/>
        </w:tabs>
        <w:spacing w:line="580" w:lineRule="exact"/>
        <w:ind w:firstLine="700" w:firstLineChars="2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共包含</w:t>
      </w:r>
      <w:r>
        <w:rPr>
          <w:rFonts w:hint="eastAsia" w:ascii="仿宋_GB2312" w:hAnsi="Times New Roman" w:eastAsia="仿宋_GB2312" w:cs="Times New Roman"/>
          <w:sz w:val="28"/>
          <w:szCs w:val="28"/>
          <w:lang w:val="en-US" w:eastAsia="zh-CN"/>
        </w:rPr>
        <w:t>13</w:t>
      </w:r>
      <w:r>
        <w:rPr>
          <w:rFonts w:hint="eastAsia" w:ascii="仿宋_GB2312" w:hAnsi="Times New Roman" w:eastAsia="仿宋_GB2312" w:cs="Times New Roman"/>
          <w:sz w:val="28"/>
          <w:szCs w:val="28"/>
          <w:lang w:eastAsia="zh-CN"/>
        </w:rPr>
        <w:t>个科室，包括：办公室、法制科、执法业务科、装备财务科、宣教科、政工科、治违办公室、科技信息中心、指挥中心、督察队、机关党委、工会、直属执法队。</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hint="eastAsia" w:ascii="仿宋_GB2312" w:hAnsi="Times New Roman" w:eastAsia="仿宋_GB2312" w:cs="Times New Roman"/>
          <w:b/>
          <w:sz w:val="32"/>
          <w:szCs w:val="32"/>
        </w:rPr>
      </w:pPr>
      <w:r>
        <w:rPr>
          <w:rFonts w:hint="eastAsia" w:ascii="仿宋_GB2312" w:eastAsia="仿宋_GB2312"/>
          <w:kern w:val="0"/>
          <w:sz w:val="28"/>
          <w:szCs w:val="28"/>
        </w:rPr>
        <w:t>本部门行政编制122人，实有人数98人。事业编制0人；离退休人员83人</w:t>
      </w:r>
      <w:r>
        <w:rPr>
          <w:rFonts w:hint="eastAsia" w:ascii="仿宋_GB2312" w:eastAsia="仿宋_GB2312"/>
          <w:kern w:val="0"/>
          <w:sz w:val="28"/>
          <w:szCs w:val="28"/>
          <w:lang w:val="en-US" w:eastAsia="zh-CN"/>
        </w:rPr>
        <w:t>,</w:t>
      </w:r>
      <w:r>
        <w:rPr>
          <w:rFonts w:hint="eastAsia" w:ascii="仿宋_GB2312" w:eastAsia="仿宋_GB2312"/>
          <w:kern w:val="0"/>
          <w:sz w:val="28"/>
          <w:szCs w:val="28"/>
        </w:rPr>
        <w:t>其中：离休</w:t>
      </w:r>
      <w:r>
        <w:rPr>
          <w:rFonts w:hint="eastAsia" w:ascii="仿宋_GB2312" w:eastAsia="仿宋_GB2312"/>
          <w:kern w:val="0"/>
          <w:sz w:val="28"/>
          <w:szCs w:val="28"/>
          <w:lang w:val="en-US" w:eastAsia="zh-CN"/>
        </w:rPr>
        <w:t>0</w:t>
      </w:r>
      <w:r>
        <w:rPr>
          <w:rFonts w:hint="eastAsia" w:ascii="仿宋_GB2312" w:eastAsia="仿宋_GB2312"/>
          <w:kern w:val="0"/>
          <w:sz w:val="28"/>
          <w:szCs w:val="28"/>
        </w:rPr>
        <w:t>人，退休</w:t>
      </w:r>
      <w:r>
        <w:rPr>
          <w:rFonts w:hint="eastAsia" w:ascii="仿宋_GB2312" w:hAnsi="宋体" w:eastAsia="仿宋_GB2312" w:cs="宋体"/>
          <w:color w:val="000000"/>
          <w:spacing w:val="15"/>
          <w:kern w:val="0"/>
          <w:sz w:val="32"/>
          <w:szCs w:val="32"/>
        </w:rPr>
        <w:t>8</w:t>
      </w:r>
      <w:r>
        <w:rPr>
          <w:rFonts w:hint="eastAsia" w:ascii="仿宋_GB2312" w:hAnsi="宋体" w:eastAsia="仿宋_GB2312" w:cs="宋体"/>
          <w:color w:val="000000"/>
          <w:spacing w:val="15"/>
          <w:kern w:val="0"/>
          <w:sz w:val="32"/>
          <w:szCs w:val="32"/>
          <w:lang w:val="en-US" w:eastAsia="zh-CN"/>
        </w:rPr>
        <w:t>3</w:t>
      </w:r>
      <w:r>
        <w:rPr>
          <w:rFonts w:hint="eastAsia" w:ascii="仿宋_GB2312" w:eastAsia="仿宋_GB2312"/>
          <w:kern w:val="0"/>
          <w:sz w:val="28"/>
          <w:szCs w:val="28"/>
        </w:rPr>
        <w:t>人。</w:t>
      </w:r>
    </w:p>
    <w:p>
      <w:pPr>
        <w:tabs>
          <w:tab w:val="center" w:pos="6979"/>
        </w:tabs>
        <w:spacing w:line="580" w:lineRule="exact"/>
        <w:rPr>
          <w:rFonts w:hint="eastAsia" w:ascii="黑体" w:hAnsi="Times New Roman" w:eastAsia="黑体" w:cs="Times New Roman"/>
          <w:b/>
          <w:sz w:val="28"/>
          <w:szCs w:val="28"/>
        </w:rPr>
      </w:pPr>
      <w:r>
        <w:rPr>
          <w:rFonts w:hint="eastAsia" w:ascii="仿宋_GB2312" w:hAnsi="Times New Roman" w:eastAsia="仿宋_GB2312" w:cs="Times New Roman"/>
          <w:b/>
          <w:sz w:val="32"/>
          <w:szCs w:val="32"/>
        </w:rPr>
        <w:t xml:space="preserve">   </w:t>
      </w:r>
      <w:r>
        <w:rPr>
          <w:rFonts w:hint="eastAsia" w:ascii="黑体" w:hAnsi="Times New Roman" w:eastAsia="黑体" w:cs="Times New Roman"/>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val="en-US" w:eastAsia="zh-CN"/>
        </w:rPr>
        <w:t>5999.14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减少3024.46万元，下降</w:t>
      </w:r>
      <w:r>
        <w:rPr>
          <w:rFonts w:hint="eastAsia" w:ascii="仿宋_GB2312" w:eastAsia="仿宋_GB2312"/>
          <w:sz w:val="28"/>
          <w:szCs w:val="28"/>
          <w:lang w:val="en-US" w:eastAsia="zh-CN"/>
        </w:rPr>
        <w:t>33</w:t>
      </w:r>
      <w:r>
        <w:rPr>
          <w:rFonts w:ascii="仿宋_GB2312" w:eastAsia="仿宋_GB2312"/>
          <w:sz w:val="28"/>
          <w:szCs w:val="28"/>
        </w:rPr>
        <w:t>.</w:t>
      </w:r>
      <w:r>
        <w:rPr>
          <w:rFonts w:hint="eastAsia" w:ascii="仿宋_GB2312" w:eastAsia="仿宋_GB2312"/>
          <w:sz w:val="28"/>
          <w:szCs w:val="28"/>
          <w:lang w:val="en-US" w:eastAsia="zh-CN"/>
        </w:rPr>
        <w:t>52</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年度本年收入合计</w:t>
      </w:r>
      <w:r>
        <w:rPr>
          <w:rFonts w:ascii="仿宋_GB2312" w:eastAsia="仿宋_GB2312"/>
          <w:sz w:val="28"/>
          <w:szCs w:val="28"/>
        </w:rPr>
        <w:t>5689.93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ascii="仿宋_GB2312" w:eastAsia="仿宋_GB2312"/>
          <w:sz w:val="28"/>
          <w:szCs w:val="28"/>
        </w:rPr>
        <w:t>3180.42</w:t>
      </w:r>
      <w:r>
        <w:rPr>
          <w:rFonts w:hint="eastAsia" w:ascii="仿宋_GB2312" w:eastAsia="仿宋_GB2312"/>
          <w:sz w:val="28"/>
          <w:szCs w:val="28"/>
        </w:rPr>
        <w:t>万元，下降35.85%，其中：财政拨款收入</w:t>
      </w:r>
      <w:r>
        <w:rPr>
          <w:rFonts w:ascii="仿宋_GB2312" w:eastAsia="仿宋_GB2312"/>
          <w:sz w:val="28"/>
          <w:szCs w:val="28"/>
        </w:rPr>
        <w:t>5689.93</w:t>
      </w:r>
      <w:r>
        <w:rPr>
          <w:rFonts w:hint="eastAsia" w:ascii="仿宋_GB2312" w:eastAsia="仿宋_GB2312"/>
          <w:sz w:val="28"/>
          <w:szCs w:val="28"/>
        </w:rPr>
        <w:t>万元，占收入合计的100%；</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年度本年支出合计</w:t>
      </w:r>
      <w:r>
        <w:rPr>
          <w:rFonts w:ascii="仿宋_GB2312" w:eastAsia="仿宋_GB2312"/>
          <w:sz w:val="28"/>
          <w:szCs w:val="28"/>
        </w:rPr>
        <w:t>5994.9</w:t>
      </w:r>
      <w:r>
        <w:rPr>
          <w:rFonts w:hint="eastAsia" w:ascii="仿宋_GB2312" w:eastAsia="仿宋_GB2312"/>
          <w:sz w:val="28"/>
          <w:szCs w:val="28"/>
          <w:lang w:val="en-US" w:eastAsia="zh-CN"/>
        </w:rPr>
        <w:t>0</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ascii="仿宋_GB2312" w:eastAsia="仿宋_GB2312"/>
          <w:sz w:val="28"/>
          <w:szCs w:val="28"/>
        </w:rPr>
        <w:t>3022.04</w:t>
      </w:r>
      <w:r>
        <w:rPr>
          <w:rFonts w:hint="eastAsia" w:ascii="仿宋_GB2312" w:eastAsia="仿宋_GB2312"/>
          <w:sz w:val="28"/>
          <w:szCs w:val="28"/>
        </w:rPr>
        <w:t>万元，下降33.52%，其中：基本支出</w:t>
      </w:r>
      <w:r>
        <w:rPr>
          <w:rFonts w:ascii="仿宋_GB2312" w:eastAsia="仿宋_GB2312"/>
          <w:sz w:val="28"/>
          <w:szCs w:val="28"/>
        </w:rPr>
        <w:t>4133.76</w:t>
      </w:r>
      <w:r>
        <w:rPr>
          <w:rFonts w:hint="eastAsia" w:ascii="仿宋_GB2312" w:eastAsia="仿宋_GB2312"/>
          <w:sz w:val="28"/>
          <w:szCs w:val="28"/>
        </w:rPr>
        <w:t>万元，占支出合计的68.95%；项目支出</w:t>
      </w:r>
      <w:r>
        <w:rPr>
          <w:rFonts w:ascii="仿宋_GB2312" w:eastAsia="仿宋_GB2312"/>
          <w:sz w:val="28"/>
          <w:szCs w:val="28"/>
        </w:rPr>
        <w:t>1861.14</w:t>
      </w:r>
      <w:r>
        <w:rPr>
          <w:rFonts w:hint="eastAsia" w:ascii="仿宋_GB2312" w:eastAsia="仿宋_GB2312"/>
          <w:sz w:val="28"/>
          <w:szCs w:val="28"/>
        </w:rPr>
        <w:t xml:space="preserve">万元，占支出合计的31.05%。 </w:t>
      </w:r>
    </w:p>
    <w:p>
      <w:pPr>
        <w:tabs>
          <w:tab w:val="center" w:pos="6979"/>
        </w:tabs>
        <w:spacing w:line="580" w:lineRule="exact"/>
        <w:ind w:firstLine="570"/>
        <w:rPr>
          <w:rFonts w:hint="eastAsia" w:ascii="仿宋_GB2312" w:eastAsia="仿宋_GB2312"/>
          <w:sz w:val="28"/>
          <w:szCs w:val="28"/>
        </w:rPr>
      </w:pPr>
      <w:r>
        <w:rPr>
          <w:rFonts w:hint="eastAsia" w:ascii="仿宋_GB2312" w:hAnsi="Times New Roman" w:eastAsia="仿宋_GB2312" w:cs="Times New Roman"/>
          <w:sz w:val="28"/>
          <w:szCs w:val="28"/>
          <w:lang w:val="en-US" w:eastAsia="zh-CN"/>
        </w:rPr>
        <w:t>2019年收入及支出减少主要原因：执法重心下移,我局人员经费减少,项目经费节约开支。</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总计5994.9</w:t>
      </w:r>
      <w:r>
        <w:rPr>
          <w:rFonts w:hint="eastAsia" w:ascii="仿宋_GB2312" w:eastAsia="仿宋_GB2312"/>
          <w:sz w:val="28"/>
          <w:szCs w:val="28"/>
          <w:lang w:val="en-US" w:eastAsia="zh-CN"/>
        </w:rPr>
        <w:t>0</w:t>
      </w:r>
      <w:r>
        <w:rPr>
          <w:rFonts w:hint="eastAsia" w:ascii="仿宋_GB2312" w:eastAsia="仿宋_GB2312"/>
          <w:sz w:val="28"/>
          <w:szCs w:val="28"/>
        </w:rPr>
        <w:t>万元，比上年减少3022.26万元，下降</w:t>
      </w:r>
      <w:r>
        <w:rPr>
          <w:rFonts w:hint="eastAsia" w:ascii="仿宋_GB2312" w:eastAsia="仿宋_GB2312"/>
          <w:sz w:val="28"/>
          <w:szCs w:val="28"/>
          <w:lang w:val="en-US" w:eastAsia="zh-CN"/>
        </w:rPr>
        <w:t>33</w:t>
      </w:r>
      <w:r>
        <w:rPr>
          <w:rFonts w:ascii="仿宋_GB2312" w:eastAsia="仿宋_GB2312"/>
          <w:sz w:val="28"/>
          <w:szCs w:val="28"/>
        </w:rPr>
        <w:t>.</w:t>
      </w:r>
      <w:r>
        <w:rPr>
          <w:rFonts w:hint="eastAsia" w:ascii="仿宋_GB2312" w:eastAsia="仿宋_GB2312"/>
          <w:sz w:val="28"/>
          <w:szCs w:val="28"/>
          <w:lang w:val="en-US" w:eastAsia="zh-CN"/>
        </w:rPr>
        <w:t>52</w:t>
      </w:r>
      <w:r>
        <w:rPr>
          <w:rFonts w:hint="eastAsia" w:ascii="仿宋_GB2312" w:eastAsia="仿宋_GB2312"/>
          <w:sz w:val="28"/>
          <w:szCs w:val="28"/>
        </w:rPr>
        <w:t>%。主要原因：</w:t>
      </w:r>
      <w:r>
        <w:rPr>
          <w:rFonts w:hint="eastAsia" w:ascii="仿宋_GB2312" w:eastAsia="仿宋_GB2312"/>
          <w:sz w:val="28"/>
          <w:szCs w:val="28"/>
          <w:lang w:val="en-US" w:eastAsia="zh-CN"/>
        </w:rPr>
        <w:t>基层执法队下沉，经费支出减少</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年度一般公共预算财政拨款支出</w:t>
      </w:r>
      <w:r>
        <w:rPr>
          <w:rFonts w:ascii="仿宋_GB2312" w:eastAsia="仿宋_GB2312"/>
          <w:sz w:val="28"/>
          <w:szCs w:val="28"/>
        </w:rPr>
        <w:t>5994.9</w:t>
      </w:r>
      <w:r>
        <w:rPr>
          <w:rFonts w:hint="eastAsia" w:ascii="仿宋_GB2312" w:eastAsia="仿宋_GB2312"/>
          <w:sz w:val="28"/>
          <w:szCs w:val="28"/>
        </w:rPr>
        <w:t>万元，主要用于以下方面（按大类）：一般公共服务支出</w:t>
      </w:r>
      <w:r>
        <w:rPr>
          <w:rFonts w:ascii="仿宋_GB2312" w:eastAsia="仿宋_GB2312"/>
          <w:sz w:val="28"/>
          <w:szCs w:val="28"/>
        </w:rPr>
        <w:t>18.18</w:t>
      </w:r>
      <w:r>
        <w:rPr>
          <w:rFonts w:hint="eastAsia" w:ascii="仿宋_GB2312" w:eastAsia="仿宋_GB2312"/>
          <w:sz w:val="28"/>
          <w:szCs w:val="28"/>
        </w:rPr>
        <w:t>万元，占本年财政拨款支出0</w:t>
      </w:r>
      <w:r>
        <w:rPr>
          <w:rFonts w:ascii="仿宋_GB2312" w:eastAsia="仿宋_GB2312"/>
          <w:sz w:val="28"/>
          <w:szCs w:val="28"/>
        </w:rPr>
        <w:t>.</w:t>
      </w:r>
      <w:r>
        <w:rPr>
          <w:rFonts w:hint="eastAsia" w:ascii="仿宋_GB2312" w:eastAsia="仿宋_GB2312"/>
          <w:sz w:val="28"/>
          <w:szCs w:val="28"/>
        </w:rPr>
        <w:t>30%； 教育支出</w:t>
      </w:r>
      <w:r>
        <w:rPr>
          <w:rFonts w:ascii="仿宋_GB2312" w:eastAsia="仿宋_GB2312"/>
          <w:sz w:val="28"/>
          <w:szCs w:val="28"/>
        </w:rPr>
        <w:t>53.3</w:t>
      </w:r>
      <w:r>
        <w:rPr>
          <w:rFonts w:hint="eastAsia" w:ascii="仿宋_GB2312" w:eastAsia="仿宋_GB2312"/>
          <w:sz w:val="28"/>
          <w:szCs w:val="28"/>
        </w:rPr>
        <w:t>5万元，占本年财政拨款支出0</w:t>
      </w:r>
      <w:r>
        <w:rPr>
          <w:rFonts w:ascii="仿宋_GB2312" w:eastAsia="仿宋_GB2312"/>
          <w:sz w:val="28"/>
          <w:szCs w:val="28"/>
        </w:rPr>
        <w:t>.</w:t>
      </w:r>
      <w:r>
        <w:rPr>
          <w:rFonts w:hint="eastAsia" w:ascii="仿宋_GB2312" w:eastAsia="仿宋_GB2312"/>
          <w:sz w:val="28"/>
          <w:szCs w:val="28"/>
        </w:rPr>
        <w:t>89%；社会保障和就业支出</w:t>
      </w:r>
      <w:r>
        <w:rPr>
          <w:rFonts w:ascii="仿宋_GB2312" w:eastAsia="仿宋_GB2312"/>
          <w:sz w:val="28"/>
          <w:szCs w:val="28"/>
        </w:rPr>
        <w:t>432.34</w:t>
      </w:r>
      <w:r>
        <w:rPr>
          <w:rFonts w:hint="eastAsia" w:ascii="仿宋_GB2312" w:eastAsia="仿宋_GB2312"/>
          <w:sz w:val="28"/>
          <w:szCs w:val="28"/>
        </w:rPr>
        <w:t>万元，占本年财政拨款支出7</w:t>
      </w:r>
      <w:r>
        <w:rPr>
          <w:rFonts w:ascii="仿宋_GB2312" w:eastAsia="仿宋_GB2312"/>
          <w:sz w:val="28"/>
          <w:szCs w:val="28"/>
        </w:rPr>
        <w:t>.</w:t>
      </w:r>
      <w:r>
        <w:rPr>
          <w:rFonts w:hint="eastAsia" w:ascii="仿宋_GB2312" w:eastAsia="仿宋_GB2312"/>
          <w:sz w:val="28"/>
          <w:szCs w:val="28"/>
        </w:rPr>
        <w:t>21%；卫生健康支出</w:t>
      </w:r>
      <w:r>
        <w:rPr>
          <w:rFonts w:ascii="仿宋_GB2312" w:eastAsia="仿宋_GB2312"/>
          <w:sz w:val="28"/>
          <w:szCs w:val="28"/>
        </w:rPr>
        <w:t>0.07</w:t>
      </w:r>
      <w:r>
        <w:rPr>
          <w:rFonts w:hint="eastAsia" w:ascii="仿宋_GB2312" w:eastAsia="仿宋_GB2312"/>
          <w:sz w:val="28"/>
          <w:szCs w:val="28"/>
        </w:rPr>
        <w:t>万元，占本年财政拨款支出0</w:t>
      </w:r>
      <w:r>
        <w:rPr>
          <w:rFonts w:ascii="仿宋_GB2312" w:eastAsia="仿宋_GB2312"/>
          <w:sz w:val="28"/>
          <w:szCs w:val="28"/>
        </w:rPr>
        <w:t>.</w:t>
      </w:r>
      <w:r>
        <w:rPr>
          <w:rFonts w:hint="eastAsia" w:ascii="仿宋_GB2312" w:eastAsia="仿宋_GB2312"/>
          <w:sz w:val="28"/>
          <w:szCs w:val="28"/>
        </w:rPr>
        <w:t>01%；城乡社区支出</w:t>
      </w:r>
      <w:r>
        <w:rPr>
          <w:rFonts w:ascii="仿宋_GB2312" w:eastAsia="仿宋_GB2312"/>
          <w:sz w:val="28"/>
          <w:szCs w:val="28"/>
        </w:rPr>
        <w:t>4828.01</w:t>
      </w:r>
      <w:r>
        <w:rPr>
          <w:rFonts w:hint="eastAsia" w:ascii="仿宋_GB2312" w:eastAsia="仿宋_GB2312"/>
          <w:sz w:val="28"/>
          <w:szCs w:val="28"/>
        </w:rPr>
        <w:t>万元，占本年财政拨款支出80</w:t>
      </w:r>
      <w:r>
        <w:rPr>
          <w:rFonts w:ascii="仿宋_GB2312" w:eastAsia="仿宋_GB2312"/>
          <w:sz w:val="28"/>
          <w:szCs w:val="28"/>
        </w:rPr>
        <w:t>.</w:t>
      </w:r>
      <w:r>
        <w:rPr>
          <w:rFonts w:hint="eastAsia" w:ascii="仿宋_GB2312" w:eastAsia="仿宋_GB2312"/>
          <w:sz w:val="28"/>
          <w:szCs w:val="28"/>
        </w:rPr>
        <w:t>54%；住房保障支出</w:t>
      </w:r>
      <w:r>
        <w:rPr>
          <w:rFonts w:ascii="仿宋_GB2312" w:eastAsia="仿宋_GB2312"/>
          <w:sz w:val="28"/>
          <w:szCs w:val="28"/>
        </w:rPr>
        <w:t>603.57</w:t>
      </w:r>
      <w:r>
        <w:rPr>
          <w:rFonts w:hint="eastAsia" w:ascii="仿宋_GB2312" w:eastAsia="仿宋_GB2312"/>
          <w:sz w:val="28"/>
          <w:szCs w:val="28"/>
        </w:rPr>
        <w:t>万元，占本年财政拨款支出10</w:t>
      </w:r>
      <w:r>
        <w:rPr>
          <w:rFonts w:ascii="仿宋_GB2312" w:eastAsia="仿宋_GB2312"/>
          <w:sz w:val="28"/>
          <w:szCs w:val="28"/>
        </w:rPr>
        <w:t>.</w:t>
      </w:r>
      <w:r>
        <w:rPr>
          <w:rFonts w:hint="eastAsia" w:ascii="仿宋_GB2312" w:eastAsia="仿宋_GB2312"/>
          <w:sz w:val="28"/>
          <w:szCs w:val="28"/>
        </w:rPr>
        <w:t>07%；灾害防治及应急管理支出</w:t>
      </w:r>
      <w:r>
        <w:rPr>
          <w:rFonts w:ascii="仿宋_GB2312" w:eastAsia="仿宋_GB2312"/>
          <w:sz w:val="28"/>
          <w:szCs w:val="28"/>
        </w:rPr>
        <w:t>59.38</w:t>
      </w:r>
      <w:r>
        <w:rPr>
          <w:rFonts w:hint="eastAsia" w:ascii="仿宋_GB2312" w:eastAsia="仿宋_GB2312"/>
          <w:sz w:val="28"/>
          <w:szCs w:val="28"/>
        </w:rPr>
        <w:t>万元，占本年财政拨款支出0</w:t>
      </w:r>
      <w:r>
        <w:rPr>
          <w:rFonts w:ascii="仿宋_GB2312" w:eastAsia="仿宋_GB2312"/>
          <w:sz w:val="28"/>
          <w:szCs w:val="28"/>
        </w:rPr>
        <w:t>.</w:t>
      </w:r>
      <w:r>
        <w:rPr>
          <w:rFonts w:hint="eastAsia" w:ascii="仿宋_GB2312" w:eastAsia="仿宋_GB2312"/>
          <w:sz w:val="28"/>
          <w:szCs w:val="28"/>
        </w:rPr>
        <w:t>98%。</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18.18</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年年初预算增加</w:t>
      </w:r>
      <w:r>
        <w:rPr>
          <w:rFonts w:ascii="仿宋_GB2312" w:eastAsia="仿宋_GB2312"/>
          <w:sz w:val="28"/>
          <w:szCs w:val="28"/>
        </w:rPr>
        <w:t>14.43</w:t>
      </w:r>
      <w:r>
        <w:rPr>
          <w:rFonts w:hint="eastAsia" w:ascii="仿宋_GB2312" w:eastAsia="仿宋_GB2312"/>
          <w:sz w:val="28"/>
          <w:szCs w:val="28"/>
        </w:rPr>
        <w:t>万元，增长384</w:t>
      </w:r>
      <w:r>
        <w:rPr>
          <w:rFonts w:ascii="仿宋_GB2312" w:eastAsia="仿宋_GB2312"/>
          <w:sz w:val="28"/>
          <w:szCs w:val="28"/>
        </w:rPr>
        <w:t>.</w:t>
      </w:r>
      <w:r>
        <w:rPr>
          <w:rFonts w:hint="eastAsia" w:ascii="仿宋_GB2312" w:eastAsia="仿宋_GB2312"/>
          <w:sz w:val="28"/>
          <w:szCs w:val="28"/>
        </w:rPr>
        <w:t>80%。其中：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“组织事务”（款，下同）201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3.18</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年年初预算减少</w:t>
      </w:r>
      <w:r>
        <w:rPr>
          <w:rFonts w:ascii="仿宋_GB2312" w:eastAsia="仿宋_GB2312"/>
          <w:sz w:val="28"/>
          <w:szCs w:val="28"/>
        </w:rPr>
        <w:t>0.57</w:t>
      </w:r>
      <w:r>
        <w:rPr>
          <w:rFonts w:hint="eastAsia" w:ascii="仿宋_GB2312" w:eastAsia="仿宋_GB2312"/>
          <w:sz w:val="28"/>
          <w:szCs w:val="28"/>
        </w:rPr>
        <w:t>万元，下降15</w:t>
      </w:r>
      <w:r>
        <w:rPr>
          <w:rFonts w:ascii="仿宋_GB2312" w:eastAsia="仿宋_GB2312"/>
          <w:sz w:val="28"/>
          <w:szCs w:val="28"/>
        </w:rPr>
        <w:t>.</w:t>
      </w:r>
      <w:r>
        <w:rPr>
          <w:rFonts w:hint="eastAsia" w:ascii="仿宋_GB2312" w:eastAsia="仿宋_GB2312"/>
          <w:sz w:val="28"/>
          <w:szCs w:val="28"/>
        </w:rPr>
        <w:t>20%。主要原因：</w:t>
      </w:r>
      <w:r>
        <w:rPr>
          <w:rFonts w:hint="eastAsia" w:ascii="仿宋_GB2312" w:eastAsia="仿宋_GB2312"/>
          <w:sz w:val="28"/>
          <w:szCs w:val="28"/>
          <w:lang w:val="en-US" w:eastAsia="zh-CN"/>
        </w:rPr>
        <w:t>基层执法队下沉，经费划拨至属地</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“其他共产党事务支出”（款）201</w:t>
      </w:r>
      <w:r>
        <w:rPr>
          <w:rFonts w:ascii="仿宋_GB2312" w:eastAsia="仿宋_GB2312"/>
          <w:sz w:val="28"/>
          <w:szCs w:val="28"/>
        </w:rPr>
        <w:t>9</w:t>
      </w:r>
      <w:r>
        <w:rPr>
          <w:rFonts w:hint="eastAsia" w:ascii="仿宋_GB2312" w:eastAsia="仿宋_GB2312"/>
          <w:sz w:val="28"/>
          <w:szCs w:val="28"/>
        </w:rPr>
        <w:t>年度决算15</w:t>
      </w:r>
      <w:r>
        <w:rPr>
          <w:rFonts w:ascii="仿宋_GB2312" w:eastAsia="仿宋_GB2312"/>
          <w:sz w:val="28"/>
          <w:szCs w:val="28"/>
        </w:rPr>
        <w:t>.</w:t>
      </w:r>
      <w:r>
        <w:rPr>
          <w:rFonts w:hint="eastAsia" w:ascii="仿宋_GB2312" w:eastAsia="仿宋_GB2312"/>
          <w:sz w:val="28"/>
          <w:szCs w:val="28"/>
        </w:rPr>
        <w:t>00万元，比201</w:t>
      </w:r>
      <w:r>
        <w:rPr>
          <w:rFonts w:ascii="仿宋_GB2312" w:eastAsia="仿宋_GB2312"/>
          <w:sz w:val="28"/>
          <w:szCs w:val="28"/>
        </w:rPr>
        <w:t>9</w:t>
      </w:r>
      <w:r>
        <w:rPr>
          <w:rFonts w:hint="eastAsia" w:ascii="仿宋_GB2312" w:eastAsia="仿宋_GB2312"/>
          <w:sz w:val="28"/>
          <w:szCs w:val="28"/>
        </w:rPr>
        <w:t>年年初预算增加15</w:t>
      </w:r>
      <w:r>
        <w:rPr>
          <w:rFonts w:ascii="仿宋_GB2312" w:eastAsia="仿宋_GB2312"/>
          <w:sz w:val="28"/>
          <w:szCs w:val="28"/>
        </w:rPr>
        <w:t>.</w:t>
      </w:r>
      <w:r>
        <w:rPr>
          <w:rFonts w:hint="eastAsia" w:ascii="仿宋_GB2312" w:eastAsia="仿宋_GB2312"/>
          <w:sz w:val="28"/>
          <w:szCs w:val="28"/>
        </w:rPr>
        <w:t>00万元，增加100%，主要原因：</w:t>
      </w:r>
      <w:r>
        <w:rPr>
          <w:rFonts w:hint="eastAsia" w:ascii="仿宋_GB2312" w:eastAsia="仿宋_GB2312"/>
          <w:sz w:val="28"/>
          <w:szCs w:val="28"/>
          <w:lang w:val="en-US" w:eastAsia="zh-CN"/>
        </w:rPr>
        <w:t>年中追加的司法救助金</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2、“教育支出”(类)201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53.3</w:t>
      </w:r>
      <w:r>
        <w:rPr>
          <w:rFonts w:hint="eastAsia" w:ascii="仿宋_GB2312" w:eastAsia="仿宋_GB2312"/>
          <w:sz w:val="28"/>
          <w:szCs w:val="28"/>
          <w:lang w:val="en-US" w:eastAsia="zh-CN"/>
        </w:rPr>
        <w:t>5</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年年初预算减少103</w:t>
      </w:r>
      <w:r>
        <w:rPr>
          <w:rFonts w:ascii="仿宋_GB2312" w:eastAsia="仿宋_GB2312"/>
          <w:sz w:val="28"/>
          <w:szCs w:val="28"/>
        </w:rPr>
        <w:t>.</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万元，下降65</w:t>
      </w:r>
      <w:r>
        <w:rPr>
          <w:rFonts w:ascii="仿宋_GB2312" w:eastAsia="仿宋_GB2312"/>
          <w:sz w:val="28"/>
          <w:szCs w:val="28"/>
        </w:rPr>
        <w:t>.</w:t>
      </w:r>
      <w:r>
        <w:rPr>
          <w:rFonts w:hint="eastAsia" w:ascii="仿宋_GB2312" w:eastAsia="仿宋_GB2312"/>
          <w:sz w:val="28"/>
          <w:szCs w:val="28"/>
        </w:rPr>
        <w:t>9</w:t>
      </w:r>
      <w:r>
        <w:rPr>
          <w:rFonts w:hint="eastAsia" w:ascii="仿宋_GB2312" w:eastAsia="仿宋_GB2312"/>
          <w:sz w:val="28"/>
          <w:szCs w:val="28"/>
          <w:lang w:val="en-US" w:eastAsia="zh-CN"/>
        </w:rPr>
        <w:t>1</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“进修及培训”（款）201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53.3</w:t>
      </w:r>
      <w:r>
        <w:rPr>
          <w:rFonts w:hint="eastAsia" w:ascii="仿宋_GB2312" w:eastAsia="仿宋_GB2312"/>
          <w:sz w:val="28"/>
          <w:szCs w:val="28"/>
          <w:lang w:val="en-US" w:eastAsia="zh-CN"/>
        </w:rPr>
        <w:t>5</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年年初预算减少103</w:t>
      </w:r>
      <w:r>
        <w:rPr>
          <w:rFonts w:ascii="仿宋_GB2312" w:eastAsia="仿宋_GB2312"/>
          <w:sz w:val="28"/>
          <w:szCs w:val="28"/>
        </w:rPr>
        <w:t>.</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万元，下降65</w:t>
      </w:r>
      <w:r>
        <w:rPr>
          <w:rFonts w:ascii="仿宋_GB2312" w:eastAsia="仿宋_GB2312"/>
          <w:sz w:val="28"/>
          <w:szCs w:val="28"/>
        </w:rPr>
        <w:t>.</w:t>
      </w:r>
      <w:r>
        <w:rPr>
          <w:rFonts w:hint="eastAsia" w:ascii="仿宋_GB2312" w:eastAsia="仿宋_GB2312"/>
          <w:sz w:val="28"/>
          <w:szCs w:val="28"/>
        </w:rPr>
        <w:t>9</w:t>
      </w:r>
      <w:r>
        <w:rPr>
          <w:rFonts w:hint="eastAsia" w:ascii="仿宋_GB2312" w:eastAsia="仿宋_GB2312"/>
          <w:sz w:val="28"/>
          <w:szCs w:val="28"/>
          <w:lang w:val="en-US" w:eastAsia="zh-CN"/>
        </w:rPr>
        <w:t>1</w:t>
      </w:r>
      <w:r>
        <w:rPr>
          <w:rFonts w:hint="eastAsia" w:ascii="仿宋_GB2312" w:eastAsia="仿宋_GB2312"/>
          <w:sz w:val="28"/>
          <w:szCs w:val="28"/>
        </w:rPr>
        <w:t>%。主要原因：</w:t>
      </w:r>
      <w:r>
        <w:rPr>
          <w:rFonts w:hint="eastAsia" w:ascii="仿宋_GB2312" w:eastAsia="仿宋_GB2312"/>
          <w:sz w:val="28"/>
          <w:szCs w:val="28"/>
          <w:lang w:val="en-US" w:eastAsia="zh-CN"/>
        </w:rPr>
        <w:t>执法重心下沉，执法任务重，组织培训的时间及范围缩小，减少开支</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3、“社会保障和就业支出”(类)201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432.34</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年年初预算减少</w:t>
      </w:r>
      <w:r>
        <w:rPr>
          <w:rFonts w:ascii="仿宋_GB2312" w:eastAsia="仿宋_GB2312"/>
          <w:sz w:val="28"/>
          <w:szCs w:val="28"/>
        </w:rPr>
        <w:t>10.91</w:t>
      </w:r>
      <w:r>
        <w:rPr>
          <w:rFonts w:hint="eastAsia" w:ascii="仿宋_GB2312" w:eastAsia="仿宋_GB2312"/>
          <w:sz w:val="28"/>
          <w:szCs w:val="28"/>
        </w:rPr>
        <w:t>万元，下降2</w:t>
      </w:r>
      <w:r>
        <w:rPr>
          <w:rFonts w:ascii="仿宋_GB2312" w:eastAsia="仿宋_GB2312"/>
          <w:sz w:val="28"/>
          <w:szCs w:val="28"/>
        </w:rPr>
        <w:t>.</w:t>
      </w:r>
      <w:r>
        <w:rPr>
          <w:rFonts w:hint="eastAsia" w:ascii="仿宋_GB2312" w:eastAsia="仿宋_GB2312"/>
          <w:sz w:val="28"/>
          <w:szCs w:val="28"/>
        </w:rPr>
        <w:t>46%。其中：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“行政事业单位离退休”（款）201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432.34</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年年初预算减少</w:t>
      </w:r>
      <w:r>
        <w:rPr>
          <w:rFonts w:ascii="仿宋_GB2312" w:eastAsia="仿宋_GB2312"/>
          <w:sz w:val="28"/>
          <w:szCs w:val="28"/>
        </w:rPr>
        <w:t>10.91</w:t>
      </w:r>
      <w:r>
        <w:rPr>
          <w:rFonts w:hint="eastAsia" w:ascii="仿宋_GB2312" w:eastAsia="仿宋_GB2312"/>
          <w:sz w:val="28"/>
          <w:szCs w:val="28"/>
        </w:rPr>
        <w:t>万元，下降2</w:t>
      </w:r>
      <w:r>
        <w:rPr>
          <w:rFonts w:ascii="仿宋_GB2312" w:eastAsia="仿宋_GB2312"/>
          <w:sz w:val="28"/>
          <w:szCs w:val="28"/>
        </w:rPr>
        <w:t>.</w:t>
      </w:r>
      <w:r>
        <w:rPr>
          <w:rFonts w:hint="eastAsia" w:ascii="仿宋_GB2312" w:eastAsia="仿宋_GB2312"/>
          <w:sz w:val="28"/>
          <w:szCs w:val="28"/>
        </w:rPr>
        <w:t>46%，主要原因：</w:t>
      </w:r>
      <w:r>
        <w:rPr>
          <w:rFonts w:hint="eastAsia" w:ascii="仿宋_GB2312" w:eastAsia="仿宋_GB2312"/>
          <w:sz w:val="28"/>
          <w:szCs w:val="28"/>
          <w:lang w:val="en-US" w:eastAsia="zh-CN"/>
        </w:rPr>
        <w:t>基层执法队下沉，人员经费划拨至属地支出</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4、“卫生健康支出”(类)201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0.07</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年年初预算增加</w:t>
      </w:r>
      <w:r>
        <w:rPr>
          <w:rFonts w:ascii="仿宋_GB2312" w:eastAsia="仿宋_GB2312"/>
          <w:sz w:val="28"/>
          <w:szCs w:val="28"/>
        </w:rPr>
        <w:t>0.07</w:t>
      </w:r>
      <w:r>
        <w:rPr>
          <w:rFonts w:hint="eastAsia" w:ascii="仿宋_GB2312" w:eastAsia="仿宋_GB2312"/>
          <w:sz w:val="28"/>
          <w:szCs w:val="28"/>
        </w:rPr>
        <w:t>万元，增加100%。其中：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“优抚对象医疗”（款）201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0.07</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年年初预算增加</w:t>
      </w:r>
      <w:r>
        <w:rPr>
          <w:rFonts w:ascii="仿宋_GB2312" w:eastAsia="仿宋_GB2312"/>
          <w:sz w:val="28"/>
          <w:szCs w:val="28"/>
        </w:rPr>
        <w:t>0.07</w:t>
      </w:r>
      <w:r>
        <w:rPr>
          <w:rFonts w:hint="eastAsia" w:ascii="仿宋_GB2312" w:eastAsia="仿宋_GB2312"/>
          <w:sz w:val="28"/>
          <w:szCs w:val="28"/>
        </w:rPr>
        <w:t>万元，增加100%，主要原因：</w:t>
      </w:r>
      <w:r>
        <w:rPr>
          <w:rFonts w:hint="eastAsia" w:ascii="仿宋_GB2312" w:eastAsia="仿宋_GB2312"/>
          <w:sz w:val="28"/>
          <w:szCs w:val="28"/>
          <w:lang w:val="en-US" w:eastAsia="zh-CN"/>
        </w:rPr>
        <w:t>年中追加的</w:t>
      </w:r>
      <w:r>
        <w:rPr>
          <w:rFonts w:hint="eastAsia" w:ascii="仿宋_GB2312" w:eastAsia="仿宋_GB2312"/>
          <w:sz w:val="28"/>
          <w:szCs w:val="28"/>
        </w:rPr>
        <w:t>优抚对象医疗</w:t>
      </w:r>
      <w:r>
        <w:rPr>
          <w:rFonts w:hint="eastAsia" w:ascii="仿宋_GB2312" w:eastAsia="仿宋_GB2312"/>
          <w:sz w:val="28"/>
          <w:szCs w:val="28"/>
          <w:lang w:val="en-US" w:eastAsia="zh-CN"/>
        </w:rPr>
        <w:t>补助金</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5、“城乡社区支出”(类)201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4828.01</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年年初预算减少</w:t>
      </w:r>
      <w:r>
        <w:rPr>
          <w:rFonts w:ascii="仿宋_GB2312" w:eastAsia="仿宋_GB2312"/>
          <w:sz w:val="28"/>
          <w:szCs w:val="28"/>
        </w:rPr>
        <w:t>7164.59</w:t>
      </w:r>
      <w:r>
        <w:rPr>
          <w:rFonts w:hint="eastAsia" w:ascii="仿宋_GB2312" w:eastAsia="仿宋_GB2312"/>
          <w:sz w:val="28"/>
          <w:szCs w:val="28"/>
        </w:rPr>
        <w:t>万元，减少59</w:t>
      </w:r>
      <w:r>
        <w:rPr>
          <w:rFonts w:ascii="仿宋_GB2312" w:eastAsia="仿宋_GB2312"/>
          <w:sz w:val="28"/>
          <w:szCs w:val="28"/>
        </w:rPr>
        <w:t>.</w:t>
      </w:r>
      <w:r>
        <w:rPr>
          <w:rFonts w:hint="eastAsia" w:ascii="仿宋_GB2312" w:eastAsia="仿宋_GB2312"/>
          <w:sz w:val="28"/>
          <w:szCs w:val="28"/>
        </w:rPr>
        <w:t>74%。其中：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“城乡社区管理事务”（款）201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4828.01</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年年初预算减少</w:t>
      </w:r>
      <w:r>
        <w:rPr>
          <w:rFonts w:ascii="仿宋_GB2312" w:eastAsia="仿宋_GB2312"/>
          <w:sz w:val="28"/>
          <w:szCs w:val="28"/>
        </w:rPr>
        <w:t>7164.59</w:t>
      </w:r>
      <w:r>
        <w:rPr>
          <w:rFonts w:hint="eastAsia" w:ascii="仿宋_GB2312" w:eastAsia="仿宋_GB2312"/>
          <w:sz w:val="28"/>
          <w:szCs w:val="28"/>
        </w:rPr>
        <w:t>万元，减少59</w:t>
      </w:r>
      <w:r>
        <w:rPr>
          <w:rFonts w:ascii="仿宋_GB2312" w:eastAsia="仿宋_GB2312"/>
          <w:sz w:val="28"/>
          <w:szCs w:val="28"/>
        </w:rPr>
        <w:t>.</w:t>
      </w:r>
      <w:r>
        <w:rPr>
          <w:rFonts w:hint="eastAsia" w:ascii="仿宋_GB2312" w:eastAsia="仿宋_GB2312"/>
          <w:sz w:val="28"/>
          <w:szCs w:val="28"/>
        </w:rPr>
        <w:t>74%，主要原因：</w:t>
      </w:r>
      <w:r>
        <w:rPr>
          <w:rFonts w:hint="eastAsia" w:ascii="仿宋_GB2312" w:eastAsia="仿宋_GB2312"/>
          <w:sz w:val="28"/>
          <w:szCs w:val="28"/>
          <w:lang w:val="en-US" w:eastAsia="zh-CN"/>
        </w:rPr>
        <w:t>年初预算拆违控违补助资金批复我单位，后经区财政收回拨付各街乡支出</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6、“住房保障支出”(类)201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603.57</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年年初预算增加11</w:t>
      </w:r>
      <w:r>
        <w:rPr>
          <w:rFonts w:ascii="仿宋_GB2312" w:eastAsia="仿宋_GB2312"/>
          <w:sz w:val="28"/>
          <w:szCs w:val="28"/>
        </w:rPr>
        <w:t>.</w:t>
      </w:r>
      <w:r>
        <w:rPr>
          <w:rFonts w:hint="eastAsia" w:ascii="仿宋_GB2312" w:eastAsia="仿宋_GB2312"/>
          <w:sz w:val="28"/>
          <w:szCs w:val="28"/>
        </w:rPr>
        <w:t>44万元，增加1</w:t>
      </w:r>
      <w:r>
        <w:rPr>
          <w:rFonts w:ascii="仿宋_GB2312" w:eastAsia="仿宋_GB2312"/>
          <w:sz w:val="28"/>
          <w:szCs w:val="28"/>
        </w:rPr>
        <w:t>.</w:t>
      </w:r>
      <w:r>
        <w:rPr>
          <w:rFonts w:hint="eastAsia" w:ascii="仿宋_GB2312" w:eastAsia="仿宋_GB2312"/>
          <w:sz w:val="28"/>
          <w:szCs w:val="28"/>
        </w:rPr>
        <w:t>93%。其中：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“住房改革支出”（款）201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603.57</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年年初预算增加11</w:t>
      </w:r>
      <w:r>
        <w:rPr>
          <w:rFonts w:ascii="仿宋_GB2312" w:eastAsia="仿宋_GB2312"/>
          <w:sz w:val="28"/>
          <w:szCs w:val="28"/>
        </w:rPr>
        <w:t>.</w:t>
      </w:r>
      <w:r>
        <w:rPr>
          <w:rFonts w:hint="eastAsia" w:ascii="仿宋_GB2312" w:eastAsia="仿宋_GB2312"/>
          <w:sz w:val="28"/>
          <w:szCs w:val="28"/>
        </w:rPr>
        <w:t>44万元，增加1</w:t>
      </w:r>
      <w:r>
        <w:rPr>
          <w:rFonts w:ascii="仿宋_GB2312" w:eastAsia="仿宋_GB2312"/>
          <w:sz w:val="28"/>
          <w:szCs w:val="28"/>
        </w:rPr>
        <w:t>.</w:t>
      </w:r>
      <w:r>
        <w:rPr>
          <w:rFonts w:hint="eastAsia" w:ascii="仿宋_GB2312" w:eastAsia="仿宋_GB2312"/>
          <w:sz w:val="28"/>
          <w:szCs w:val="28"/>
        </w:rPr>
        <w:t>93%，主要原因：</w:t>
      </w:r>
      <w:r>
        <w:rPr>
          <w:rFonts w:hint="eastAsia" w:ascii="仿宋_GB2312" w:eastAsia="仿宋_GB2312"/>
          <w:sz w:val="28"/>
          <w:szCs w:val="28"/>
          <w:lang w:val="en-US" w:eastAsia="zh-CN"/>
        </w:rPr>
        <w:t>人员工资调整追加经费</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7、“灾害防治及应急管理支出”(类)201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59.38</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年年初预算减少4</w:t>
      </w:r>
      <w:r>
        <w:rPr>
          <w:rFonts w:ascii="仿宋_GB2312" w:eastAsia="仿宋_GB2312"/>
          <w:sz w:val="28"/>
          <w:szCs w:val="28"/>
        </w:rPr>
        <w:t>.</w:t>
      </w:r>
      <w:r>
        <w:rPr>
          <w:rFonts w:hint="eastAsia" w:ascii="仿宋_GB2312" w:eastAsia="仿宋_GB2312"/>
          <w:sz w:val="28"/>
          <w:szCs w:val="28"/>
        </w:rPr>
        <w:t>28万元，减少6</w:t>
      </w:r>
      <w:r>
        <w:rPr>
          <w:rFonts w:ascii="仿宋_GB2312" w:eastAsia="仿宋_GB2312"/>
          <w:sz w:val="28"/>
          <w:szCs w:val="28"/>
        </w:rPr>
        <w:t>.</w:t>
      </w:r>
      <w:r>
        <w:rPr>
          <w:rFonts w:hint="eastAsia" w:ascii="仿宋_GB2312" w:eastAsia="仿宋_GB2312"/>
          <w:sz w:val="28"/>
          <w:szCs w:val="28"/>
        </w:rPr>
        <w:t>72%。其中：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“应急管理事务”（款）201</w:t>
      </w:r>
      <w:r>
        <w:rPr>
          <w:rFonts w:ascii="仿宋_GB2312" w:eastAsia="仿宋_GB2312"/>
          <w:sz w:val="28"/>
          <w:szCs w:val="28"/>
        </w:rPr>
        <w:t>9</w:t>
      </w:r>
      <w:r>
        <w:rPr>
          <w:rFonts w:hint="eastAsia" w:ascii="仿宋_GB2312" w:eastAsia="仿宋_GB2312"/>
          <w:sz w:val="28"/>
          <w:szCs w:val="28"/>
        </w:rPr>
        <w:t>年度决算</w:t>
      </w:r>
      <w:r>
        <w:rPr>
          <w:rFonts w:ascii="仿宋_GB2312" w:eastAsia="仿宋_GB2312"/>
          <w:sz w:val="28"/>
          <w:szCs w:val="28"/>
        </w:rPr>
        <w:t>59.38</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年年初预算减少4</w:t>
      </w:r>
      <w:r>
        <w:rPr>
          <w:rFonts w:ascii="仿宋_GB2312" w:eastAsia="仿宋_GB2312"/>
          <w:sz w:val="28"/>
          <w:szCs w:val="28"/>
        </w:rPr>
        <w:t>.</w:t>
      </w:r>
      <w:r>
        <w:rPr>
          <w:rFonts w:hint="eastAsia" w:ascii="仿宋_GB2312" w:eastAsia="仿宋_GB2312"/>
          <w:sz w:val="28"/>
          <w:szCs w:val="28"/>
        </w:rPr>
        <w:t>28万元，减少6</w:t>
      </w:r>
      <w:r>
        <w:rPr>
          <w:rFonts w:ascii="仿宋_GB2312" w:eastAsia="仿宋_GB2312"/>
          <w:sz w:val="28"/>
          <w:szCs w:val="28"/>
        </w:rPr>
        <w:t>.</w:t>
      </w:r>
      <w:r>
        <w:rPr>
          <w:rFonts w:hint="eastAsia" w:ascii="仿宋_GB2312" w:eastAsia="仿宋_GB2312"/>
          <w:sz w:val="28"/>
          <w:szCs w:val="28"/>
        </w:rPr>
        <w:t>72%，主要原因：</w:t>
      </w:r>
      <w:r>
        <w:rPr>
          <w:rFonts w:hint="eastAsia" w:ascii="仿宋_GB2312" w:eastAsia="仿宋_GB2312"/>
          <w:sz w:val="28"/>
          <w:szCs w:val="28"/>
          <w:lang w:val="en-US" w:eastAsia="zh-CN"/>
        </w:rPr>
        <w:t>安全员人员经费支出减少</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 xml:space="preserve">   无政府性基金支出.</w:t>
      </w:r>
    </w:p>
    <w:p>
      <w:pPr>
        <w:spacing w:line="580" w:lineRule="exact"/>
        <w:ind w:firstLine="548" w:firstLineChars="196"/>
        <w:rPr>
          <w:rFonts w:hint="eastAsia" w:ascii="黑体" w:eastAsia="黑体"/>
          <w:sz w:val="28"/>
          <w:szCs w:val="28"/>
        </w:rPr>
      </w:pPr>
      <w:r>
        <w:rPr>
          <w:rFonts w:hint="eastAsia" w:ascii="黑体" w:eastAsia="黑体"/>
          <w:b/>
          <w:sz w:val="28"/>
          <w:szCs w:val="28"/>
        </w:rPr>
        <w:t>六、财政拨款基本支出决算情况说明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年本部门使用一般公共预算财政拨款安排基本支出</w:t>
      </w:r>
      <w:r>
        <w:rPr>
          <w:rFonts w:ascii="仿宋_GB2312" w:eastAsia="仿宋_GB2312"/>
          <w:sz w:val="28"/>
          <w:szCs w:val="28"/>
        </w:rPr>
        <w:t>4133.76</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hint="eastAsia" w:ascii="宋体" w:hAnsi="宋体"/>
          <w:b/>
          <w:spacing w:val="40"/>
          <w:sz w:val="32"/>
          <w:szCs w:val="32"/>
        </w:rPr>
      </w:pPr>
      <w:r>
        <w:rPr>
          <w:rFonts w:ascii="仿宋_GB2312" w:eastAsia="仿宋_GB2312"/>
          <w:sz w:val="28"/>
          <w:szCs w:val="28"/>
        </w:rPr>
        <w:br w:type="page"/>
      </w: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第二部分</w:t>
      </w:r>
      <w:r>
        <w:rPr>
          <w:rFonts w:hint="eastAsia" w:ascii="宋体" w:hAnsi="宋体"/>
          <w:b/>
          <w:spacing w:val="40"/>
          <w:sz w:val="32"/>
          <w:szCs w:val="32"/>
        </w:rPr>
        <w:t>201</w:t>
      </w:r>
      <w:r>
        <w:rPr>
          <w:rFonts w:ascii="宋体" w:hAnsi="宋体"/>
          <w:b/>
          <w:spacing w:val="40"/>
          <w:sz w:val="32"/>
          <w:szCs w:val="32"/>
        </w:rPr>
        <w:t>9</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“三公”经费包括本部门所属</w:t>
      </w:r>
      <w:r>
        <w:rPr>
          <w:rFonts w:hint="eastAsia" w:ascii="仿宋_GB2312" w:eastAsia="仿宋_GB2312"/>
          <w:bCs/>
          <w:sz w:val="28"/>
          <w:szCs w:val="28"/>
        </w:rPr>
        <w:t>1</w:t>
      </w:r>
      <w:r>
        <w:rPr>
          <w:rFonts w:hint="eastAsia" w:ascii="仿宋_GB2312" w:eastAsia="仿宋_GB2312"/>
          <w:sz w:val="28"/>
          <w:szCs w:val="28"/>
        </w:rPr>
        <w:t>个行政单位。201</w:t>
      </w:r>
      <w:r>
        <w:rPr>
          <w:rFonts w:ascii="仿宋_GB2312" w:eastAsia="仿宋_GB2312"/>
          <w:sz w:val="28"/>
          <w:szCs w:val="28"/>
        </w:rPr>
        <w:t>9</w:t>
      </w:r>
      <w:r>
        <w:rPr>
          <w:rFonts w:hint="eastAsia" w:ascii="仿宋_GB2312" w:eastAsia="仿宋_GB2312"/>
          <w:sz w:val="28"/>
          <w:szCs w:val="28"/>
        </w:rPr>
        <w:t>年“三公”经费财政拨款决算数</w:t>
      </w:r>
      <w:r>
        <w:rPr>
          <w:rFonts w:ascii="仿宋_GB2312" w:eastAsia="仿宋_GB2312"/>
          <w:sz w:val="28"/>
          <w:szCs w:val="28"/>
        </w:rPr>
        <w:t>3.19</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年“三公”经费财政拨款年初预算</w:t>
      </w:r>
      <w:r>
        <w:rPr>
          <w:rFonts w:ascii="仿宋_GB2312" w:eastAsia="仿宋_GB2312"/>
          <w:sz w:val="28"/>
          <w:szCs w:val="28"/>
        </w:rPr>
        <w:t>10.65</w:t>
      </w:r>
      <w:r>
        <w:rPr>
          <w:rFonts w:hint="eastAsia" w:ascii="仿宋_GB2312" w:eastAsia="仿宋_GB2312"/>
          <w:sz w:val="28"/>
          <w:szCs w:val="28"/>
        </w:rPr>
        <w:t>万元减少</w:t>
      </w:r>
      <w:r>
        <w:rPr>
          <w:rFonts w:ascii="仿宋_GB2312" w:eastAsia="仿宋_GB2312"/>
          <w:sz w:val="28"/>
          <w:szCs w:val="28"/>
        </w:rPr>
        <w:t>7.46</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1.因公出国（境）费用。201</w:t>
      </w:r>
      <w:r>
        <w:rPr>
          <w:rFonts w:ascii="仿宋_GB2312" w:eastAsia="仿宋_GB2312"/>
          <w:sz w:val="28"/>
          <w:szCs w:val="28"/>
        </w:rPr>
        <w:t>9</w:t>
      </w:r>
      <w:r>
        <w:rPr>
          <w:rFonts w:hint="eastAsia" w:ascii="仿宋_GB2312" w:eastAsia="仿宋_GB2312"/>
          <w:sz w:val="28"/>
          <w:szCs w:val="28"/>
        </w:rPr>
        <w:t>年决算数</w:t>
      </w:r>
      <w:r>
        <w:rPr>
          <w:rFonts w:ascii="仿宋_GB2312" w:eastAsia="仿宋_GB2312"/>
          <w:sz w:val="28"/>
          <w:szCs w:val="28"/>
        </w:rPr>
        <w:t>3.19</w:t>
      </w:r>
      <w:r>
        <w:rPr>
          <w:rFonts w:hint="eastAsia" w:ascii="仿宋_GB2312" w:eastAsia="仿宋_GB2312"/>
          <w:sz w:val="28"/>
          <w:szCs w:val="28"/>
        </w:rPr>
        <w:t>万元，比201</w:t>
      </w:r>
      <w:r>
        <w:rPr>
          <w:rFonts w:ascii="仿宋_GB2312" w:eastAsia="仿宋_GB2312"/>
          <w:sz w:val="28"/>
          <w:szCs w:val="28"/>
        </w:rPr>
        <w:t>9</w:t>
      </w:r>
      <w:r>
        <w:rPr>
          <w:rFonts w:hint="eastAsia" w:ascii="仿宋_GB2312" w:eastAsia="仿宋_GB2312"/>
          <w:sz w:val="28"/>
          <w:szCs w:val="28"/>
        </w:rPr>
        <w:t>年年初预算数0万元增加</w:t>
      </w:r>
      <w:r>
        <w:rPr>
          <w:rFonts w:ascii="仿宋_GB2312" w:eastAsia="仿宋_GB2312"/>
          <w:sz w:val="28"/>
          <w:szCs w:val="28"/>
        </w:rPr>
        <w:t>3.19</w:t>
      </w:r>
      <w:r>
        <w:rPr>
          <w:rFonts w:hint="eastAsia" w:ascii="仿宋_GB2312" w:eastAsia="仿宋_GB2312"/>
          <w:sz w:val="28"/>
          <w:szCs w:val="28"/>
        </w:rPr>
        <w:t>万元。主要原因：按照我区出国经费管理办法，因公出国（境）费用的年初预算数均为0；201</w:t>
      </w:r>
      <w:r>
        <w:rPr>
          <w:rFonts w:ascii="仿宋_GB2312" w:eastAsia="仿宋_GB2312"/>
          <w:sz w:val="28"/>
          <w:szCs w:val="28"/>
        </w:rPr>
        <w:t>9</w:t>
      </w:r>
      <w:r>
        <w:rPr>
          <w:rFonts w:hint="eastAsia" w:ascii="仿宋_GB2312" w:eastAsia="仿宋_GB2312"/>
          <w:sz w:val="28"/>
          <w:szCs w:val="28"/>
        </w:rPr>
        <w:t>年因公出国（境）费用主要用于</w:t>
      </w:r>
      <w:r>
        <w:rPr>
          <w:rFonts w:hint="eastAsia" w:ascii="仿宋_GB2312" w:hAnsi="Times New Roman" w:eastAsia="仿宋_GB2312" w:cs="Times New Roman"/>
          <w:sz w:val="28"/>
          <w:szCs w:val="28"/>
          <w:lang w:val="en-US" w:eastAsia="zh-CN"/>
        </w:rPr>
        <w:t>按照</w:t>
      </w:r>
      <w:r>
        <w:rPr>
          <w:rFonts w:hint="eastAsia" w:ascii="仿宋_GB2312" w:hAnsi="Times New Roman" w:eastAsia="仿宋_GB2312" w:cs="Times New Roman"/>
          <w:sz w:val="28"/>
          <w:szCs w:val="28"/>
        </w:rPr>
        <w:t>北京市城市管理综合行政执法局《关于赴德国城市环境秩序违法形态综合治理与联合执法机制培训的通知》，201</w:t>
      </w:r>
      <w:r>
        <w:rPr>
          <w:rFonts w:hint="eastAsia" w:ascii="仿宋_GB2312" w:hAnsi="Times New Roman" w:eastAsia="仿宋_GB2312" w:cs="Times New Roman"/>
          <w:sz w:val="28"/>
          <w:szCs w:val="28"/>
          <w:lang w:val="en-US" w:eastAsia="zh-CN"/>
        </w:rPr>
        <w:t>9</w:t>
      </w:r>
      <w:r>
        <w:rPr>
          <w:rFonts w:hint="eastAsia" w:ascii="仿宋_GB2312" w:hAnsi="Times New Roman" w:eastAsia="仿宋_GB2312" w:cs="Times New Roman"/>
          <w:sz w:val="28"/>
          <w:szCs w:val="28"/>
        </w:rPr>
        <w:t>年8月</w:t>
      </w:r>
      <w:r>
        <w:rPr>
          <w:rFonts w:hint="eastAsia" w:ascii="仿宋_GB2312" w:hAnsi="Times New Roman" w:eastAsia="仿宋_GB2312" w:cs="Times New Roman"/>
          <w:sz w:val="28"/>
          <w:szCs w:val="28"/>
          <w:lang w:val="en-US" w:eastAsia="zh-CN"/>
        </w:rPr>
        <w:t>18</w:t>
      </w:r>
      <w:r>
        <w:rPr>
          <w:rFonts w:hint="eastAsia" w:ascii="仿宋_GB2312" w:hAnsi="Times New Roman" w:eastAsia="仿宋_GB2312" w:cs="Times New Roman"/>
          <w:sz w:val="28"/>
          <w:szCs w:val="28"/>
        </w:rPr>
        <w:t>日至</w:t>
      </w:r>
      <w:r>
        <w:rPr>
          <w:rFonts w:hint="eastAsia" w:ascii="仿宋_GB2312" w:hAnsi="Times New Roman" w:eastAsia="仿宋_GB2312" w:cs="Times New Roman"/>
          <w:sz w:val="28"/>
          <w:szCs w:val="28"/>
          <w:lang w:val="en-US" w:eastAsia="zh-CN"/>
        </w:rPr>
        <w:t>8</w:t>
      </w:r>
      <w:r>
        <w:rPr>
          <w:rFonts w:hint="eastAsia" w:ascii="仿宋_GB2312" w:hAnsi="Times New Roman" w:eastAsia="仿宋_GB2312" w:cs="Times New Roman"/>
          <w:sz w:val="28"/>
          <w:szCs w:val="28"/>
        </w:rPr>
        <w:t>月</w:t>
      </w:r>
      <w:r>
        <w:rPr>
          <w:rFonts w:hint="eastAsia" w:ascii="仿宋_GB2312" w:hAnsi="Times New Roman" w:eastAsia="仿宋_GB2312" w:cs="Times New Roman"/>
          <w:sz w:val="28"/>
          <w:szCs w:val="28"/>
          <w:lang w:val="en-US" w:eastAsia="zh-CN"/>
        </w:rPr>
        <w:t>31</w:t>
      </w:r>
      <w:r>
        <w:rPr>
          <w:rFonts w:hint="eastAsia" w:ascii="仿宋_GB2312" w:hAnsi="Times New Roman" w:eastAsia="仿宋_GB2312" w:cs="Times New Roman"/>
          <w:sz w:val="28"/>
          <w:szCs w:val="28"/>
        </w:rPr>
        <w:t>日由北京市城市管理综合行政执法局牵头组织培训团赴德国进行为期14天的培训，</w:t>
      </w: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年组织因公出国（境）团组</w:t>
      </w:r>
      <w:r>
        <w:rPr>
          <w:rFonts w:hint="eastAsia" w:ascii="仿宋_GB2312" w:eastAsia="仿宋_GB2312"/>
          <w:sz w:val="28"/>
          <w:szCs w:val="28"/>
          <w:lang w:val="en-US" w:eastAsia="zh-CN"/>
        </w:rPr>
        <w:t>0</w:t>
      </w:r>
      <w:r>
        <w:rPr>
          <w:rFonts w:hint="eastAsia" w:ascii="仿宋_GB2312" w:eastAsia="仿宋_GB2312"/>
          <w:sz w:val="28"/>
          <w:szCs w:val="28"/>
        </w:rPr>
        <w:t>个、1人次，人均因公出国（境）费用</w:t>
      </w:r>
      <w:r>
        <w:rPr>
          <w:rFonts w:ascii="仿宋_GB2312" w:eastAsia="仿宋_GB2312"/>
          <w:sz w:val="28"/>
          <w:szCs w:val="28"/>
        </w:rPr>
        <w:t>3.19</w:t>
      </w:r>
      <w:r>
        <w:rPr>
          <w:rFonts w:hint="eastAsia" w:ascii="仿宋_GB2312" w:eastAsia="仿宋_GB2312"/>
          <w:sz w:val="28"/>
          <w:szCs w:val="28"/>
        </w:rPr>
        <w:t>万元。</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2.公务接待费。201</w:t>
      </w:r>
      <w:r>
        <w:rPr>
          <w:rFonts w:ascii="仿宋_GB2312" w:eastAsia="仿宋_GB2312"/>
          <w:sz w:val="28"/>
          <w:szCs w:val="28"/>
        </w:rPr>
        <w:t>9</w:t>
      </w:r>
      <w:r>
        <w:rPr>
          <w:rFonts w:hint="eastAsia" w:ascii="仿宋_GB2312" w:eastAsia="仿宋_GB2312"/>
          <w:sz w:val="28"/>
          <w:szCs w:val="28"/>
        </w:rPr>
        <w:t>年决算数0万元，比201</w:t>
      </w:r>
      <w:r>
        <w:rPr>
          <w:rFonts w:ascii="仿宋_GB2312" w:eastAsia="仿宋_GB2312"/>
          <w:sz w:val="28"/>
          <w:szCs w:val="28"/>
        </w:rPr>
        <w:t>9</w:t>
      </w:r>
      <w:r>
        <w:rPr>
          <w:rFonts w:hint="eastAsia" w:ascii="仿宋_GB2312" w:eastAsia="仿宋_GB2312"/>
          <w:sz w:val="28"/>
          <w:szCs w:val="28"/>
        </w:rPr>
        <w:t>年年初预算数</w:t>
      </w:r>
      <w:r>
        <w:rPr>
          <w:rFonts w:ascii="仿宋_GB2312" w:eastAsia="仿宋_GB2312"/>
          <w:sz w:val="28"/>
          <w:szCs w:val="28"/>
        </w:rPr>
        <w:t>10.65</w:t>
      </w:r>
      <w:r>
        <w:rPr>
          <w:rFonts w:hint="eastAsia" w:ascii="仿宋_GB2312" w:eastAsia="仿宋_GB2312"/>
          <w:sz w:val="28"/>
          <w:szCs w:val="28"/>
        </w:rPr>
        <w:t>万元减少</w:t>
      </w:r>
      <w:r>
        <w:rPr>
          <w:rFonts w:ascii="仿宋_GB2312" w:eastAsia="仿宋_GB2312"/>
          <w:sz w:val="28"/>
          <w:szCs w:val="28"/>
        </w:rPr>
        <w:t>10.65</w:t>
      </w:r>
      <w:r>
        <w:rPr>
          <w:rFonts w:hint="eastAsia" w:ascii="仿宋_GB2312" w:eastAsia="仿宋_GB2312"/>
          <w:sz w:val="28"/>
          <w:szCs w:val="28"/>
        </w:rPr>
        <w:t>万元。主要原因：201</w:t>
      </w:r>
      <w:r>
        <w:rPr>
          <w:rFonts w:ascii="仿宋_GB2312" w:eastAsia="仿宋_GB2312"/>
          <w:sz w:val="28"/>
          <w:szCs w:val="28"/>
        </w:rPr>
        <w:t>9</w:t>
      </w:r>
      <w:r>
        <w:rPr>
          <w:rFonts w:hint="eastAsia" w:ascii="仿宋_GB2312" w:eastAsia="仿宋_GB2312"/>
          <w:sz w:val="28"/>
          <w:szCs w:val="28"/>
        </w:rPr>
        <w:t>年未发生公务接待费用。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3.公务用车购置及运行维护费。201</w:t>
      </w:r>
      <w:r>
        <w:rPr>
          <w:rFonts w:ascii="仿宋_GB2312" w:eastAsia="仿宋_GB2312"/>
          <w:sz w:val="28"/>
          <w:szCs w:val="28"/>
        </w:rPr>
        <w:t>9</w:t>
      </w:r>
      <w:r>
        <w:rPr>
          <w:rFonts w:hint="eastAsia" w:ascii="仿宋_GB2312" w:eastAsia="仿宋_GB2312"/>
          <w:sz w:val="28"/>
          <w:szCs w:val="28"/>
        </w:rPr>
        <w:t>年决算数0万元，比201</w:t>
      </w:r>
      <w:r>
        <w:rPr>
          <w:rFonts w:ascii="仿宋_GB2312" w:eastAsia="仿宋_GB2312"/>
          <w:sz w:val="28"/>
          <w:szCs w:val="28"/>
        </w:rPr>
        <w:t>9</w:t>
      </w:r>
      <w:r>
        <w:rPr>
          <w:rFonts w:hint="eastAsia" w:ascii="仿宋_GB2312" w:eastAsia="仿宋_GB2312"/>
          <w:sz w:val="28"/>
          <w:szCs w:val="28"/>
        </w:rPr>
        <w:t>年年初预算数0万元无增减。201</w:t>
      </w:r>
      <w:r>
        <w:rPr>
          <w:rFonts w:hint="eastAsia" w:ascii="仿宋_GB2312" w:eastAsia="仿宋_GB2312"/>
          <w:sz w:val="28"/>
          <w:szCs w:val="28"/>
          <w:lang w:val="en-US" w:eastAsia="zh-CN"/>
        </w:rPr>
        <w:t>9</w:t>
      </w:r>
      <w:r>
        <w:rPr>
          <w:rFonts w:hint="eastAsia" w:ascii="仿宋_GB2312" w:eastAsia="仿宋_GB2312"/>
          <w:sz w:val="28"/>
          <w:szCs w:val="28"/>
        </w:rPr>
        <w:t>年公务用车保有量</w:t>
      </w:r>
      <w:r>
        <w:rPr>
          <w:rFonts w:hint="eastAsia" w:ascii="仿宋_GB2312" w:eastAsia="仿宋_GB2312"/>
          <w:sz w:val="28"/>
          <w:szCs w:val="28"/>
          <w:lang w:val="en-US" w:eastAsia="zh-CN"/>
        </w:rPr>
        <w:t>0</w:t>
      </w:r>
      <w:r>
        <w:rPr>
          <w:rFonts w:hint="eastAsia" w:ascii="仿宋_GB2312" w:eastAsia="仿宋_GB2312"/>
          <w:sz w:val="28"/>
          <w:szCs w:val="28"/>
        </w:rPr>
        <w:t>辆，车均运行维护费</w:t>
      </w:r>
      <w:r>
        <w:rPr>
          <w:rFonts w:hint="eastAsia" w:ascii="仿宋_GB2312" w:eastAsia="仿宋_GB2312"/>
          <w:sz w:val="28"/>
          <w:szCs w:val="28"/>
          <w:lang w:val="en-US" w:eastAsia="zh-CN"/>
        </w:rPr>
        <w:t>0</w:t>
      </w:r>
      <w:r>
        <w:rPr>
          <w:rFonts w:hint="eastAsia" w:ascii="仿宋_GB2312" w:eastAsia="仿宋_GB2312"/>
          <w:sz w:val="28"/>
          <w:szCs w:val="28"/>
        </w:rPr>
        <w:t>万元。</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年本部门行政单位（含参照公务员法管理事业单位）使用一般公共预算财政拨款安排的基本支出中的日常公用经费支出，合计227.22万元，比上年减少198.14万元，减少原因：</w:t>
      </w:r>
      <w:r>
        <w:rPr>
          <w:rFonts w:hint="eastAsia" w:ascii="仿宋_GB2312" w:eastAsia="仿宋_GB2312"/>
          <w:sz w:val="28"/>
          <w:szCs w:val="28"/>
          <w:lang w:val="en-US" w:eastAsia="zh-CN"/>
        </w:rPr>
        <w:t>执法人员下沉，人员减少，经费由各属地支出</w:t>
      </w: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年本部门政府采购支出总额</w:t>
      </w:r>
      <w:r>
        <w:rPr>
          <w:rFonts w:ascii="仿宋_GB2312" w:eastAsia="仿宋_GB2312"/>
          <w:sz w:val="28"/>
          <w:szCs w:val="28"/>
        </w:rPr>
        <w:t>1299.67</w:t>
      </w:r>
      <w:r>
        <w:rPr>
          <w:rFonts w:hint="eastAsia" w:ascii="仿宋_GB2312" w:eastAsia="仿宋_GB2312"/>
          <w:sz w:val="28"/>
          <w:szCs w:val="28"/>
        </w:rPr>
        <w:t>万元，其中：政府采购货物支出</w:t>
      </w:r>
      <w:r>
        <w:rPr>
          <w:rFonts w:ascii="仿宋_GB2312" w:eastAsia="仿宋_GB2312"/>
          <w:sz w:val="28"/>
          <w:szCs w:val="28"/>
        </w:rPr>
        <w:t>750.41</w:t>
      </w:r>
      <w:r>
        <w:rPr>
          <w:rFonts w:hint="eastAsia" w:ascii="仿宋_GB2312" w:eastAsia="仿宋_GB2312"/>
          <w:sz w:val="28"/>
          <w:szCs w:val="28"/>
        </w:rPr>
        <w:t>万元，政府采购工程支出0万元，政府采购服务支出</w:t>
      </w:r>
      <w:r>
        <w:rPr>
          <w:rFonts w:ascii="仿宋_GB2312" w:eastAsia="仿宋_GB2312"/>
          <w:sz w:val="28"/>
          <w:szCs w:val="28"/>
        </w:rPr>
        <w:t>549.2</w:t>
      </w:r>
      <w:r>
        <w:rPr>
          <w:rFonts w:hint="eastAsia" w:ascii="仿宋_GB2312" w:eastAsia="仿宋_GB2312"/>
          <w:sz w:val="28"/>
          <w:szCs w:val="28"/>
        </w:rPr>
        <w:t>6万元。授予中小企业合同金额1292.92万元，占政府采购支出总额的</w:t>
      </w:r>
      <w:r>
        <w:rPr>
          <w:rFonts w:hint="eastAsia" w:ascii="仿宋_GB2312" w:eastAsia="仿宋_GB2312"/>
          <w:sz w:val="28"/>
          <w:szCs w:val="28"/>
          <w:lang w:val="en-US" w:eastAsia="zh-CN"/>
        </w:rPr>
        <w:t>99.48</w:t>
      </w:r>
      <w:r>
        <w:rPr>
          <w:rFonts w:hint="eastAsia" w:ascii="仿宋_GB2312" w:eastAsia="仿宋_GB2312"/>
          <w:sz w:val="28"/>
          <w:szCs w:val="28"/>
        </w:rPr>
        <w:t>%，其中：授予小微企业合同金额776.71万元，占政府采购支出总额的</w:t>
      </w:r>
      <w:r>
        <w:rPr>
          <w:rFonts w:hint="eastAsia" w:ascii="仿宋_GB2312" w:eastAsia="仿宋_GB2312"/>
          <w:sz w:val="28"/>
          <w:szCs w:val="28"/>
          <w:lang w:val="en-US" w:eastAsia="zh-CN"/>
        </w:rPr>
        <w:t>59.76</w:t>
      </w:r>
      <w:r>
        <w:rPr>
          <w:rFonts w:hint="eastAsia" w:ascii="仿宋_GB2312" w:eastAsia="仿宋_GB2312"/>
          <w:sz w:val="28"/>
          <w:szCs w:val="28"/>
        </w:rPr>
        <w:t>%。</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w:t>
      </w:r>
      <w:r>
        <w:rPr>
          <w:rFonts w:ascii="仿宋_GB2312" w:eastAsia="仿宋_GB2312"/>
          <w:sz w:val="28"/>
          <w:szCs w:val="28"/>
        </w:rPr>
        <w:t>019</w:t>
      </w:r>
      <w:r>
        <w:rPr>
          <w:rFonts w:hint="eastAsia" w:ascii="仿宋_GB2312" w:eastAsia="仿宋_GB2312"/>
          <w:sz w:val="28"/>
          <w:szCs w:val="28"/>
        </w:rPr>
        <w:t>年本部门车辆7台，65.99万元；单位价值50万元以上的通用设备0台（套），单位价值100万元以上的专用设备0台（套）。</w:t>
      </w:r>
    </w:p>
    <w:p>
      <w:pPr>
        <w:ind w:firstLine="560" w:firstLineChars="200"/>
        <w:rPr>
          <w:rFonts w:hint="eastAsia" w:ascii="黑体" w:eastAsia="黑体"/>
          <w:sz w:val="28"/>
          <w:szCs w:val="28"/>
        </w:rPr>
      </w:pPr>
      <w:r>
        <w:rPr>
          <w:rFonts w:hint="eastAsia" w:ascii="黑体" w:eastAsia="黑体"/>
          <w:sz w:val="28"/>
          <w:szCs w:val="28"/>
        </w:rPr>
        <w:t>五、国有资本经营预算财</w:t>
      </w:r>
      <w:r>
        <w:rPr>
          <w:rFonts w:ascii="黑体" w:eastAsia="黑体"/>
          <w:sz w:val="28"/>
          <w:szCs w:val="28"/>
        </w:rPr>
        <w:t>政拨款</w:t>
      </w:r>
      <w:r>
        <w:rPr>
          <w:rFonts w:hint="eastAsia" w:ascii="黑体" w:eastAsia="黑体"/>
          <w:sz w:val="28"/>
          <w:szCs w:val="28"/>
        </w:rPr>
        <w:t>收支情况</w:t>
      </w:r>
    </w:p>
    <w:p>
      <w:pPr>
        <w:keepNext w:val="0"/>
        <w:keepLines w:val="0"/>
        <w:pageBreakBefore w:val="0"/>
        <w:widowControl w:val="0"/>
        <w:kinsoku/>
        <w:wordWrap/>
        <w:overflowPunct/>
        <w:topLinePunct w:val="0"/>
        <w:autoSpaceDE/>
        <w:autoSpaceDN/>
        <w:bidi w:val="0"/>
        <w:adjustRightInd/>
        <w:snapToGrid/>
        <w:ind w:firstLine="534" w:firstLineChars="191"/>
        <w:textAlignment w:val="auto"/>
        <w:rPr>
          <w:rFonts w:ascii="仿宋_GB2312" w:eastAsia="仿宋_GB2312"/>
          <w:sz w:val="28"/>
          <w:szCs w:val="28"/>
        </w:rPr>
      </w:pPr>
      <w:r>
        <w:rPr>
          <w:rFonts w:hint="eastAsia" w:ascii="仿宋_GB2312" w:eastAsia="仿宋_GB2312"/>
          <w:sz w:val="28"/>
          <w:szCs w:val="28"/>
        </w:rPr>
        <w:t>无此情况</w:t>
      </w:r>
    </w:p>
    <w:p>
      <w:pPr>
        <w:ind w:firstLine="537" w:firstLineChars="192"/>
        <w:rPr>
          <w:rFonts w:ascii="黑体" w:eastAsia="黑体"/>
          <w:sz w:val="28"/>
          <w:szCs w:val="28"/>
        </w:rPr>
      </w:pPr>
      <w:r>
        <w:rPr>
          <w:rFonts w:hint="eastAsia" w:ascii="黑体" w:eastAsia="黑体"/>
          <w:sz w:val="28"/>
          <w:szCs w:val="28"/>
        </w:rPr>
        <w:t>六</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ascii="仿宋_GB2312" w:eastAsia="仿宋_GB2312"/>
          <w:sz w:val="28"/>
          <w:szCs w:val="28"/>
        </w:rPr>
        <w:t>2019</w:t>
      </w:r>
      <w:r>
        <w:rPr>
          <w:rFonts w:hint="eastAsia" w:ascii="仿宋_GB2312" w:eastAsia="仿宋_GB2312"/>
          <w:sz w:val="28"/>
          <w:szCs w:val="28"/>
        </w:rPr>
        <w:t>年</w:t>
      </w:r>
      <w:r>
        <w:rPr>
          <w:rFonts w:ascii="仿宋_GB2312" w:eastAsia="仿宋_GB2312"/>
          <w:sz w:val="28"/>
          <w:szCs w:val="28"/>
        </w:rPr>
        <w:t>本部门政府购买服务决算549.2</w:t>
      </w:r>
      <w:r>
        <w:rPr>
          <w:rFonts w:hint="eastAsia" w:ascii="仿宋_GB2312" w:eastAsia="仿宋_GB2312"/>
          <w:sz w:val="28"/>
          <w:szCs w:val="28"/>
          <w:lang w:val="en-US" w:eastAsia="zh-CN"/>
        </w:rPr>
        <w:t>6</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七、</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420" w:firstLineChars="15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2.</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hint="eastAsia"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420" w:firstLineChars="150"/>
        <w:rPr>
          <w:rFonts w:hint="eastAsia"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b/>
          <w:bCs/>
          <w:sz w:val="32"/>
          <w:szCs w:val="32"/>
        </w:rPr>
        <w:t xml:space="preserve"> </w:t>
      </w:r>
      <w:r>
        <w:rPr>
          <w:rFonts w:hint="eastAsia" w:ascii="仿宋_GB2312" w:eastAsia="仿宋_GB2312"/>
          <w:sz w:val="28"/>
          <w:szCs w:val="28"/>
        </w:rPr>
        <w:t>预算绩效管理：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rPr>
          <w:rFonts w:ascii="黑体" w:eastAsia="黑体"/>
          <w:sz w:val="32"/>
          <w:szCs w:val="32"/>
        </w:rPr>
      </w:pPr>
    </w:p>
    <w:p>
      <w:pPr>
        <w:rPr>
          <w:rFonts w:hint="eastAsia" w:ascii="黑体" w:eastAsia="黑体"/>
          <w:sz w:val="32"/>
          <w:szCs w:val="32"/>
        </w:rPr>
      </w:pPr>
    </w:p>
    <w:p>
      <w:pPr>
        <w:rPr>
          <w:rFonts w:hint="eastAsia" w:ascii="黑体" w:eastAsia="黑体"/>
          <w:sz w:val="32"/>
          <w:szCs w:val="32"/>
        </w:rPr>
      </w:pPr>
    </w:p>
    <w:p>
      <w:pPr>
        <w:jc w:val="both"/>
        <w:rPr>
          <w:rFonts w:hint="eastAsia" w:ascii="黑体" w:eastAsia="黑体"/>
          <w:sz w:val="32"/>
          <w:szCs w:val="32"/>
        </w:rPr>
      </w:pPr>
    </w:p>
    <w:p>
      <w:pPr>
        <w:ind w:firstLine="640" w:firstLineChars="200"/>
        <w:jc w:val="center"/>
        <w:rPr>
          <w:rFonts w:hint="eastAsia" w:ascii="黑体" w:eastAsia="黑体"/>
          <w:sz w:val="28"/>
          <w:szCs w:val="28"/>
          <w:highlight w:val="yellow"/>
        </w:rPr>
      </w:pPr>
      <w:r>
        <w:rPr>
          <w:rFonts w:hint="eastAsia" w:ascii="黑体" w:eastAsia="黑体"/>
          <w:sz w:val="32"/>
          <w:szCs w:val="32"/>
        </w:rPr>
        <w:t>第三部分  201</w:t>
      </w:r>
      <w:r>
        <w:rPr>
          <w:rFonts w:ascii="黑体" w:eastAsia="黑体"/>
          <w:sz w:val="32"/>
          <w:szCs w:val="32"/>
        </w:rPr>
        <w:t>9</w:t>
      </w:r>
      <w:r>
        <w:rPr>
          <w:rFonts w:hint="eastAsia" w:ascii="黑体" w:eastAsia="黑体"/>
          <w:sz w:val="32"/>
          <w:szCs w:val="32"/>
        </w:rPr>
        <w:t>年度部门绩效评价情况</w:t>
      </w:r>
    </w:p>
    <w:p>
      <w:pPr>
        <w:ind w:firstLine="560" w:firstLineChars="200"/>
        <w:rPr>
          <w:rFonts w:ascii="黑体" w:eastAsia="黑体"/>
          <w:sz w:val="28"/>
          <w:szCs w:val="28"/>
        </w:rPr>
      </w:pPr>
      <w:r>
        <w:rPr>
          <w:rFonts w:hint="eastAsia" w:ascii="黑体" w:eastAsia="黑体"/>
          <w:sz w:val="28"/>
          <w:szCs w:val="28"/>
        </w:rPr>
        <w:t>一、绩效评价工作开展情况</w:t>
      </w:r>
    </w:p>
    <w:p>
      <w:pPr>
        <w:keepNext w:val="0"/>
        <w:keepLines w:val="0"/>
        <w:pageBreakBefore w:val="0"/>
        <w:widowControl w:val="0"/>
        <w:kinsoku/>
        <w:wordWrap/>
        <w:overflowPunct/>
        <w:topLinePunct w:val="0"/>
        <w:autoSpaceDE/>
        <w:autoSpaceDN/>
        <w:bidi w:val="0"/>
        <w:adjustRightInd/>
        <w:snapToGrid/>
        <w:spacing w:line="560" w:lineRule="exact"/>
        <w:ind w:firstLine="1088"/>
        <w:textAlignment w:val="auto"/>
        <w:rPr>
          <w:rFonts w:hint="eastAsia" w:ascii="仿宋_GB2312" w:eastAsia="仿宋_GB2312"/>
          <w:sz w:val="28"/>
          <w:szCs w:val="28"/>
          <w:lang w:eastAsia="zh-CN"/>
        </w:rPr>
      </w:pPr>
      <w:r>
        <w:rPr>
          <w:rFonts w:hint="eastAsia" w:ascii="仿宋_GB2312" w:eastAsia="仿宋_GB2312"/>
          <w:sz w:val="28"/>
          <w:szCs w:val="28"/>
          <w:lang w:eastAsia="zh-CN"/>
        </w:rPr>
        <w:t>北京市丰台区城市管理综合行政执法局对2019年度部门项目支出实施绩效评价，评价项目</w:t>
      </w:r>
      <w:r>
        <w:rPr>
          <w:rFonts w:hint="eastAsia" w:ascii="仿宋_GB2312" w:eastAsia="仿宋_GB2312"/>
          <w:sz w:val="28"/>
          <w:szCs w:val="28"/>
          <w:lang w:val="en-US" w:eastAsia="zh-CN"/>
        </w:rPr>
        <w:t>7</w:t>
      </w:r>
      <w:r>
        <w:rPr>
          <w:rFonts w:hint="eastAsia" w:ascii="仿宋_GB2312" w:eastAsia="仿宋_GB2312"/>
          <w:sz w:val="28"/>
          <w:szCs w:val="28"/>
          <w:lang w:eastAsia="zh-CN"/>
        </w:rPr>
        <w:t>个，占部门项目总数的</w:t>
      </w:r>
      <w:r>
        <w:rPr>
          <w:rFonts w:hint="eastAsia" w:ascii="仿宋_GB2312" w:eastAsia="仿宋_GB2312"/>
          <w:sz w:val="28"/>
          <w:szCs w:val="28"/>
          <w:lang w:val="en-US" w:eastAsia="zh-CN"/>
        </w:rPr>
        <w:t>33.3</w:t>
      </w:r>
      <w:r>
        <w:rPr>
          <w:rFonts w:hint="eastAsia" w:ascii="仿宋_GB2312" w:eastAsia="仿宋_GB2312"/>
          <w:sz w:val="28"/>
          <w:szCs w:val="28"/>
          <w:lang w:eastAsia="zh-CN"/>
        </w:rPr>
        <w:t>%，涉及金额</w:t>
      </w:r>
      <w:r>
        <w:rPr>
          <w:rFonts w:hint="eastAsia" w:ascii="仿宋_GB2312" w:eastAsia="仿宋_GB2312"/>
          <w:sz w:val="28"/>
          <w:szCs w:val="28"/>
          <w:lang w:val="en-US" w:eastAsia="zh-CN"/>
        </w:rPr>
        <w:t>1466.7</w:t>
      </w:r>
      <w:r>
        <w:rPr>
          <w:rFonts w:hint="eastAsia" w:ascii="仿宋_GB2312" w:eastAsia="仿宋_GB2312"/>
          <w:sz w:val="28"/>
          <w:szCs w:val="28"/>
          <w:lang w:eastAsia="zh-CN"/>
        </w:rPr>
        <w:t>万元。其中，普通程序评价项目</w:t>
      </w:r>
      <w:r>
        <w:rPr>
          <w:rFonts w:hint="eastAsia" w:ascii="仿宋_GB2312" w:eastAsia="仿宋_GB2312"/>
          <w:sz w:val="28"/>
          <w:szCs w:val="28"/>
          <w:lang w:val="en-US" w:eastAsia="zh-CN"/>
        </w:rPr>
        <w:t>1</w:t>
      </w:r>
      <w:r>
        <w:rPr>
          <w:rFonts w:hint="eastAsia" w:ascii="仿宋_GB2312" w:eastAsia="仿宋_GB2312"/>
          <w:sz w:val="28"/>
          <w:szCs w:val="28"/>
          <w:lang w:eastAsia="zh-CN"/>
        </w:rPr>
        <w:t>个，涉及金额</w:t>
      </w:r>
      <w:r>
        <w:rPr>
          <w:rFonts w:hint="eastAsia" w:ascii="仿宋_GB2312" w:eastAsia="仿宋_GB2312"/>
          <w:sz w:val="28"/>
          <w:szCs w:val="28"/>
          <w:lang w:val="en-US" w:eastAsia="zh-CN"/>
        </w:rPr>
        <w:t>310.6</w:t>
      </w:r>
      <w:r>
        <w:rPr>
          <w:rFonts w:hint="eastAsia" w:ascii="仿宋_GB2312" w:eastAsia="仿宋_GB2312"/>
          <w:sz w:val="28"/>
          <w:szCs w:val="28"/>
          <w:lang w:eastAsia="zh-CN"/>
        </w:rPr>
        <w:t>万元，评价得分在75-90分（含75分）的</w:t>
      </w:r>
      <w:r>
        <w:rPr>
          <w:rFonts w:hint="eastAsia" w:ascii="仿宋_GB2312" w:eastAsia="仿宋_GB2312"/>
          <w:sz w:val="28"/>
          <w:szCs w:val="28"/>
          <w:lang w:val="en-US" w:eastAsia="zh-CN"/>
        </w:rPr>
        <w:t>1</w:t>
      </w:r>
      <w:r>
        <w:rPr>
          <w:rFonts w:hint="eastAsia" w:ascii="仿宋_GB2312" w:eastAsia="仿宋_GB2312"/>
          <w:sz w:val="28"/>
          <w:szCs w:val="28"/>
          <w:lang w:eastAsia="zh-CN"/>
        </w:rPr>
        <w:t>个；简易程序评价项目</w:t>
      </w:r>
      <w:r>
        <w:rPr>
          <w:rFonts w:hint="eastAsia" w:ascii="仿宋_GB2312" w:eastAsia="仿宋_GB2312"/>
          <w:sz w:val="28"/>
          <w:szCs w:val="28"/>
          <w:lang w:val="en-US" w:eastAsia="zh-CN"/>
        </w:rPr>
        <w:t>6</w:t>
      </w:r>
      <w:r>
        <w:rPr>
          <w:rFonts w:hint="eastAsia" w:ascii="仿宋_GB2312" w:eastAsia="仿宋_GB2312"/>
          <w:sz w:val="28"/>
          <w:szCs w:val="28"/>
          <w:lang w:eastAsia="zh-CN"/>
        </w:rPr>
        <w:t>个，涉及</w:t>
      </w:r>
      <w:r>
        <w:rPr>
          <w:rFonts w:hint="eastAsia" w:ascii="仿宋_GB2312" w:eastAsia="仿宋_GB2312"/>
          <w:sz w:val="28"/>
          <w:szCs w:val="28"/>
          <w:lang w:val="en-US" w:eastAsia="zh-CN"/>
        </w:rPr>
        <w:t>1156.1</w:t>
      </w:r>
      <w:r>
        <w:rPr>
          <w:rFonts w:hint="eastAsia" w:ascii="仿宋_GB2312" w:eastAsia="仿宋_GB2312"/>
          <w:sz w:val="28"/>
          <w:szCs w:val="28"/>
          <w:lang w:eastAsia="zh-CN"/>
        </w:rPr>
        <w:t>万元，评价得分在90分（含90分）以上的</w:t>
      </w:r>
      <w:r>
        <w:rPr>
          <w:rFonts w:hint="eastAsia" w:ascii="仿宋_GB2312" w:eastAsia="仿宋_GB2312"/>
          <w:sz w:val="28"/>
          <w:szCs w:val="28"/>
          <w:lang w:val="en-US" w:eastAsia="zh-CN"/>
        </w:rPr>
        <w:t>6</w:t>
      </w:r>
      <w:r>
        <w:rPr>
          <w:rFonts w:hint="eastAsia" w:ascii="仿宋_GB2312" w:eastAsia="仿宋_GB2312"/>
          <w:sz w:val="28"/>
          <w:szCs w:val="28"/>
          <w:lang w:eastAsia="zh-CN"/>
        </w:rPr>
        <w:t>个。</w:t>
      </w:r>
    </w:p>
    <w:p>
      <w:pPr>
        <w:ind w:firstLine="560" w:firstLineChars="200"/>
        <w:rPr>
          <w:rFonts w:hint="eastAsia" w:ascii="黑体" w:eastAsia="黑体"/>
          <w:sz w:val="28"/>
          <w:szCs w:val="28"/>
        </w:rPr>
      </w:pPr>
      <w:r>
        <w:rPr>
          <w:rFonts w:hint="eastAsia" w:ascii="黑体" w:eastAsia="黑体"/>
          <w:sz w:val="28"/>
          <w:szCs w:val="28"/>
        </w:rPr>
        <w:t>二、项目绩效评价报告</w:t>
      </w:r>
    </w:p>
    <w:p>
      <w:pPr>
        <w:spacing w:line="360" w:lineRule="auto"/>
        <w:ind w:firstLine="560" w:firstLineChars="200"/>
        <w:outlineLvl w:val="0"/>
        <w:rPr>
          <w:rFonts w:hint="eastAsia" w:ascii="仿宋_GB2312" w:eastAsia="仿宋_GB2312"/>
          <w:sz w:val="28"/>
          <w:szCs w:val="28"/>
        </w:rPr>
      </w:pPr>
      <w:r>
        <w:rPr>
          <w:rFonts w:hint="eastAsia" w:ascii="仿宋_GB2312" w:eastAsia="仿宋_GB2312"/>
          <w:sz w:val="28"/>
          <w:szCs w:val="28"/>
        </w:rPr>
        <w:t>（一）评价对象概况</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1、项目立项情况</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丰台区城市管理综合行政执法局根据丰台区领导对“全区违法建设细化工作”的要求以及2018年195次区长专题会会议立项，项目包括实地摸排与数据入库两部分，利用2018年丰台区违法用地违法建设清查项目成果，按疑似违法建设的建筑面积划分，对建筑面积500平方米以上的疑似违法建设进行实地摸排调查,摸清建筑物的建成年代、现状用途、权利人等各类信息，按照疑似违法建设的区域、违法类型、建成时间进行划分，形成基地库；利用辅助摸排系统进行数据管理、分析，实现违法建设上报、拆除、拆后利用统一管理。</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2、项目实施主体情况</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违法建设摸排调查经费项目由北京市丰台区城市管理综合行政执法局组织实施。</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评价结论</w:t>
      </w:r>
    </w:p>
    <w:p>
      <w:pPr>
        <w:spacing w:line="560" w:lineRule="exact"/>
        <w:ind w:firstLine="641"/>
        <w:rPr>
          <w:rFonts w:hint="eastAsia" w:ascii="仿宋_GB2312" w:eastAsia="仿宋_GB2312"/>
          <w:sz w:val="28"/>
          <w:szCs w:val="28"/>
        </w:rPr>
      </w:pPr>
      <w:r>
        <w:rPr>
          <w:rFonts w:hint="eastAsia" w:ascii="仿宋_GB2312" w:eastAsia="仿宋_GB2312"/>
          <w:sz w:val="28"/>
          <w:szCs w:val="28"/>
          <w:lang w:eastAsia="zh-CN"/>
        </w:rPr>
        <w:t>该项目绩效目标比较明确，产出指标达到了绩效目标要求。需要改进的是：应根据绩效评价的要求，进一步完善和规范相关材料，做到程序规范、管理留痕，提高绩效管理水平，使绩效考评依据充分。“违法建设摸排调查经费”项目绩效评价综合得分83.99分，项目综合绩效评定结论为“良好”。</w:t>
      </w:r>
    </w:p>
    <w:p>
      <w:pPr>
        <w:numPr>
          <w:ilvl w:val="0"/>
          <w:numId w:val="1"/>
        </w:numPr>
        <w:spacing w:line="360" w:lineRule="auto"/>
        <w:ind w:left="0" w:leftChars="0" w:firstLine="560" w:firstLineChars="200"/>
        <w:outlineLvl w:val="0"/>
        <w:rPr>
          <w:rFonts w:hint="eastAsia" w:ascii="仿宋_GB2312" w:eastAsia="仿宋_GB2312"/>
          <w:sz w:val="28"/>
          <w:szCs w:val="28"/>
        </w:rPr>
      </w:pPr>
      <w:bookmarkStart w:id="0" w:name="_Toc454875004"/>
      <w:r>
        <w:rPr>
          <w:rFonts w:hint="eastAsia" w:ascii="仿宋_GB2312" w:eastAsia="仿宋_GB2312"/>
          <w:sz w:val="28"/>
          <w:szCs w:val="28"/>
        </w:rPr>
        <w:t>存在问题</w:t>
      </w:r>
      <w:bookmarkEnd w:id="0"/>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1、绩效目标比较明确，但产出指标缺乏合理性与实施内容的对应性，过于宽泛，无法考量。如产出质量指标设定缺乏明确标准，产出数据成果质量和图集图册质量，应该是经专业验收合格，数据准确率和制作质量标准；产出效益指标，如社会效益指标“集中连片对违法建设进行拆除，腾退土地，留白增绿，助推区域协调发展。”项目的实施效果很难体现，应该是促进作用；可持续性影响指标与项目内容缺乏针对性，过于宽泛。</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2、项目未经可行性研究论证，与前期相关工作界限不清晰、重点内容不明确。且招标程序有瑕疵，3月1日开展的竞争性磋商，2月12日的项目实施方案已确定由北京测绘院具体实施；</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3、项目管理存在不规范，项目单位未制定项目管理制度、项目实施方案，仅提供服务方实施方案，缺乏项目单位的项目立项、决策、执行、监督、绩效管理责任和措施，以及项目实施目标、内容、组织机构和职责分工及实施风险预期和相关管理措施等。未建立无形资产管理制度，项目形成无形资产应按规定进行核算。</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4、项目过程管控未见过程管理和监督检查资料，且参与项目验收专家资质不明确，缺乏专业性证明资料。</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5、项目效果资料提供不充分，无法对应预期社会效益和可持续影响的目标实现程度，可衡量性、可考核性不足。</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6、服务对象满意度调查表设计过于专业，调查内容在业务操作层面与项目实施结果的服务对象满意度效果脱节。</w:t>
      </w:r>
    </w:p>
    <w:p>
      <w:pPr>
        <w:numPr>
          <w:ilvl w:val="0"/>
          <w:numId w:val="1"/>
        </w:numPr>
        <w:spacing w:line="360" w:lineRule="auto"/>
        <w:ind w:left="0" w:leftChars="0" w:firstLine="560" w:firstLineChars="200"/>
        <w:outlineLvl w:val="0"/>
        <w:rPr>
          <w:rFonts w:hint="eastAsia" w:ascii="仿宋_GB2312" w:eastAsia="仿宋_GB2312"/>
          <w:sz w:val="28"/>
          <w:szCs w:val="28"/>
        </w:rPr>
      </w:pPr>
      <w:r>
        <w:rPr>
          <w:rFonts w:hint="eastAsia" w:ascii="仿宋_GB2312" w:eastAsia="仿宋_GB2312"/>
          <w:sz w:val="28"/>
          <w:szCs w:val="28"/>
        </w:rPr>
        <w:t>建议</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1、提高对绩效目标和产出指标对应关系的认识，产出指标根据实施内容合理设置，保持与实施内容的对应性，避免过于宽泛，超出实施内容所能达到的预期，应做到细化、可考量。</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2、项目应进行可行性研究论证，结合项目前期工作进行有效衔接，突出年度工作内容和特点。服务采购应严格规范招标采购程序。</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3、规范项目过程管理，制定项目管理制度，从立项、决策、执行、监督、绩效管理明确责任和管理措施，保证项目有效实施；建立健全无形资产管理制度，形成无形资产按规定进行核算。</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4、项目单位应制定项目实施方案，明确项目目标、内容、组织机构和职责分工及实施风险预期和管理措施等，并注重实施方案的指导性作用。</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5、加强项目过程管控，过程管理和监督检查资料应有记录和留痕，且参与项目验收专家资质应体现专业性。</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6、注重项目效果资料收集，对应预期社会效益和可持续影响的目标，充分证明其实现程度，应具有可衡量性、可考核性。</w:t>
      </w:r>
    </w:p>
    <w:p>
      <w:pPr>
        <w:spacing w:line="560" w:lineRule="exact"/>
        <w:ind w:firstLine="641"/>
        <w:rPr>
          <w:rFonts w:hint="eastAsia" w:ascii="仿宋_GB2312" w:eastAsia="仿宋_GB2312"/>
          <w:sz w:val="28"/>
          <w:szCs w:val="28"/>
          <w:lang w:eastAsia="zh-CN"/>
        </w:rPr>
      </w:pPr>
      <w:r>
        <w:rPr>
          <w:rFonts w:hint="eastAsia" w:ascii="仿宋_GB2312" w:eastAsia="仿宋_GB2312"/>
          <w:sz w:val="28"/>
          <w:szCs w:val="28"/>
          <w:lang w:eastAsia="zh-CN"/>
        </w:rPr>
        <w:t>7、服务对象满意度调查表对应服务对象，覆盖项目涉及的违建建设、使用单位以及项目实施结果运用对象，调查范围数量和调查内容与项目实施满意度预期效果保持一致。</w:t>
      </w:r>
    </w:p>
    <w:p>
      <w:pPr>
        <w:numPr>
          <w:ilvl w:val="0"/>
          <w:numId w:val="0"/>
        </w:numPr>
        <w:spacing w:line="360" w:lineRule="auto"/>
        <w:ind w:leftChars="200"/>
        <w:outlineLvl w:val="0"/>
        <w:rPr>
          <w:rFonts w:hint="eastAsia" w:ascii="仿宋_GB2312" w:eastAsia="仿宋_GB2312"/>
          <w:sz w:val="28"/>
          <w:szCs w:val="28"/>
        </w:rPr>
      </w:pPr>
    </w:p>
    <w:p>
      <w:pPr>
        <w:numPr>
          <w:ilvl w:val="0"/>
          <w:numId w:val="2"/>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p>
    <w:p>
      <w:pPr>
        <w:keepNext w:val="0"/>
        <w:keepLines w:val="0"/>
        <w:pageBreakBefore w:val="0"/>
        <w:widowControl w:val="0"/>
        <w:numPr>
          <w:ilvl w:val="0"/>
          <w:numId w:val="0"/>
        </w:numPr>
        <w:kinsoku/>
        <w:wordWrap/>
        <w:overflowPunct/>
        <w:topLinePunct w:val="0"/>
        <w:autoSpaceDE/>
        <w:autoSpaceDN/>
        <w:bidi w:val="0"/>
        <w:adjustRightInd/>
        <w:snapToGrid/>
        <w:ind w:leftChars="112"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一</w:t>
      </w:r>
      <w:r>
        <w:rPr>
          <w:rFonts w:hint="eastAsia" w:ascii="仿宋_GB2312" w:hAnsi="Times New Roman" w:eastAsia="仿宋_GB2312" w:cs="Times New Roman"/>
          <w:sz w:val="28"/>
          <w:szCs w:val="28"/>
          <w:lang w:eastAsia="zh-CN"/>
        </w:rPr>
        <w:t>）以奖促治奖励资金</w:t>
      </w:r>
    </w:p>
    <w:p>
      <w:pPr>
        <w:numPr>
          <w:ilvl w:val="0"/>
          <w:numId w:val="0"/>
        </w:numPr>
        <w:ind w:left="735" w:leftChars="0"/>
        <w:rPr>
          <w:rFonts w:hint="default" w:ascii="仿宋_GB2312" w:hAnsi="Times New Roman" w:eastAsia="仿宋_GB2312" w:cs="Times New Roman"/>
          <w:sz w:val="28"/>
          <w:szCs w:val="28"/>
          <w:lang w:val="en-US" w:eastAsia="zh-CN"/>
        </w:rPr>
      </w:pPr>
      <w:r>
        <w:rPr>
          <w:rFonts w:hint="default" w:ascii="宋体" w:hAnsi="宋体" w:cs="宋体"/>
          <w:color w:val="000000"/>
          <w:kern w:val="0"/>
          <w:sz w:val="24"/>
          <w:lang w:val="en-US" w:eastAsia="zh-CN"/>
        </w:rPr>
        <w:drawing>
          <wp:anchor distT="0" distB="0" distL="114300" distR="114300" simplePos="0" relativeHeight="251658240" behindDoc="0" locked="0" layoutInCell="1" allowOverlap="1">
            <wp:simplePos x="0" y="0"/>
            <wp:positionH relativeFrom="column">
              <wp:posOffset>1434465</wp:posOffset>
            </wp:positionH>
            <wp:positionV relativeFrom="paragraph">
              <wp:posOffset>114300</wp:posOffset>
            </wp:positionV>
            <wp:extent cx="5612130" cy="5345430"/>
            <wp:effectExtent l="0" t="0" r="7620" b="7620"/>
            <wp:wrapSquare wrapText="bothSides"/>
            <wp:docPr id="1" name="图片 4" descr="以奖促治奖励资金"/>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4" descr="以奖促治奖励资金"/>
                    <pic:cNvPicPr>
                      <a:picLocks noChangeAspect="true"/>
                    </pic:cNvPicPr>
                  </pic:nvPicPr>
                  <pic:blipFill>
                    <a:blip r:embed="rId6"/>
                    <a:stretch>
                      <a:fillRect/>
                    </a:stretch>
                  </pic:blipFill>
                  <pic:spPr>
                    <a:xfrm>
                      <a:off x="0" y="0"/>
                      <a:ext cx="5612130" cy="5345430"/>
                    </a:xfrm>
                    <a:prstGeom prst="rect">
                      <a:avLst/>
                    </a:prstGeom>
                    <a:noFill/>
                    <a:ln>
                      <a:noFill/>
                    </a:ln>
                  </pic:spPr>
                </pic:pic>
              </a:graphicData>
            </a:graphic>
          </wp:anchor>
        </w:drawing>
      </w: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二</w:t>
      </w:r>
      <w:r>
        <w:rPr>
          <w:rFonts w:hint="eastAsia" w:ascii="仿宋_GB2312" w:hAnsi="Times New Roman" w:eastAsia="仿宋_GB2312" w:cs="Times New Roman"/>
          <w:sz w:val="28"/>
          <w:szCs w:val="28"/>
          <w:lang w:eastAsia="zh-CN"/>
        </w:rPr>
        <w:t>）拆违办工作经费</w:t>
      </w:r>
    </w:p>
    <w:p>
      <w:pPr>
        <w:ind w:firstLine="420" w:firstLineChars="200"/>
        <w:rPr>
          <w:rFonts w:hint="eastAsia" w:ascii="黑体" w:eastAsia="黑体"/>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834390</wp:posOffset>
            </wp:positionH>
            <wp:positionV relativeFrom="paragraph">
              <wp:posOffset>159385</wp:posOffset>
            </wp:positionV>
            <wp:extent cx="6473825" cy="4777740"/>
            <wp:effectExtent l="0" t="0" r="3175" b="3810"/>
            <wp:wrapSquare wrapText="bothSides"/>
            <wp:docPr id="2" name="图片 3" descr="拆违办工作经费"/>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3" descr="拆违办工作经费"/>
                    <pic:cNvPicPr>
                      <a:picLocks noChangeAspect="true"/>
                    </pic:cNvPicPr>
                  </pic:nvPicPr>
                  <pic:blipFill>
                    <a:blip r:embed="rId7"/>
                    <a:stretch>
                      <a:fillRect/>
                    </a:stretch>
                  </pic:blipFill>
                  <pic:spPr>
                    <a:xfrm>
                      <a:off x="0" y="0"/>
                      <a:ext cx="6473825" cy="4777740"/>
                    </a:xfrm>
                    <a:prstGeom prst="rect">
                      <a:avLst/>
                    </a:prstGeom>
                    <a:noFill/>
                    <a:ln>
                      <a:noFill/>
                    </a:ln>
                  </pic:spPr>
                </pic:pic>
              </a:graphicData>
            </a:graphic>
          </wp:anchor>
        </w:drawing>
      </w: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三</w:t>
      </w:r>
      <w:r>
        <w:rPr>
          <w:rFonts w:hint="eastAsia" w:ascii="仿宋_GB2312" w:hAnsi="Times New Roman" w:eastAsia="仿宋_GB2312" w:cs="Times New Roman"/>
          <w:sz w:val="28"/>
          <w:szCs w:val="28"/>
          <w:lang w:eastAsia="zh-CN"/>
        </w:rPr>
        <w:t>）暂扣车辆费用</w:t>
      </w:r>
    </w:p>
    <w:p>
      <w:pPr>
        <w:ind w:firstLine="420" w:firstLineChars="200"/>
        <w:rPr>
          <w:rFonts w:hint="eastAsia" w:ascii="黑体" w:eastAsia="黑体"/>
          <w:sz w:val="32"/>
          <w:szCs w:val="3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1136015</wp:posOffset>
            </wp:positionH>
            <wp:positionV relativeFrom="paragraph">
              <wp:posOffset>167640</wp:posOffset>
            </wp:positionV>
            <wp:extent cx="6125210" cy="4587240"/>
            <wp:effectExtent l="0" t="0" r="8890" b="3810"/>
            <wp:wrapSquare wrapText="bothSides"/>
            <wp:docPr id="3" name="图片 5" descr="暂扣车辆费用"/>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5" descr="暂扣车辆费用"/>
                    <pic:cNvPicPr>
                      <a:picLocks noChangeAspect="true"/>
                    </pic:cNvPicPr>
                  </pic:nvPicPr>
                  <pic:blipFill>
                    <a:blip r:embed="rId8"/>
                    <a:stretch>
                      <a:fillRect/>
                    </a:stretch>
                  </pic:blipFill>
                  <pic:spPr>
                    <a:xfrm>
                      <a:off x="0" y="0"/>
                      <a:ext cx="6125210" cy="4587240"/>
                    </a:xfrm>
                    <a:prstGeom prst="rect">
                      <a:avLst/>
                    </a:prstGeom>
                    <a:noFill/>
                    <a:ln>
                      <a:noFill/>
                    </a:ln>
                  </pic:spPr>
                </pic:pic>
              </a:graphicData>
            </a:graphic>
          </wp:anchor>
        </w:drawing>
      </w: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四</w:t>
      </w:r>
      <w:r>
        <w:rPr>
          <w:rFonts w:hint="eastAsia" w:ascii="仿宋_GB2312" w:hAnsi="Times New Roman" w:eastAsia="仿宋_GB2312" w:cs="Times New Roman"/>
          <w:sz w:val="28"/>
          <w:szCs w:val="28"/>
          <w:lang w:eastAsia="zh-CN"/>
        </w:rPr>
        <w:t>）专职安全员经费</w:t>
      </w:r>
    </w:p>
    <w:p>
      <w:pPr>
        <w:rPr>
          <w:rFonts w:hint="eastAsia" w:ascii="黑体" w:eastAsia="黑体"/>
          <w:sz w:val="32"/>
          <w:szCs w:val="32"/>
        </w:rPr>
      </w:pPr>
      <w:r>
        <w:drawing>
          <wp:anchor distT="0" distB="0" distL="114300" distR="114300" simplePos="0" relativeHeight="251661312" behindDoc="0" locked="0" layoutInCell="1" allowOverlap="1">
            <wp:simplePos x="0" y="0"/>
            <wp:positionH relativeFrom="column">
              <wp:posOffset>1463040</wp:posOffset>
            </wp:positionH>
            <wp:positionV relativeFrom="paragraph">
              <wp:posOffset>76200</wp:posOffset>
            </wp:positionV>
            <wp:extent cx="5950585" cy="4808855"/>
            <wp:effectExtent l="0" t="0" r="12065" b="10795"/>
            <wp:wrapSquare wrapText="bothSides"/>
            <wp:docPr id="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true"/>
                    </pic:cNvPicPr>
                  </pic:nvPicPr>
                  <pic:blipFill>
                    <a:blip r:embed="rId9"/>
                    <a:stretch>
                      <a:fillRect/>
                    </a:stretch>
                  </pic:blipFill>
                  <pic:spPr>
                    <a:xfrm>
                      <a:off x="0" y="0"/>
                      <a:ext cx="5950585" cy="4808855"/>
                    </a:xfrm>
                    <a:prstGeom prst="rect">
                      <a:avLst/>
                    </a:prstGeom>
                    <a:noFill/>
                    <a:ln>
                      <a:noFill/>
                    </a:ln>
                  </pic:spPr>
                </pic:pic>
              </a:graphicData>
            </a:graphic>
          </wp:anchor>
        </w:drawing>
      </w: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五</w:t>
      </w:r>
      <w:r>
        <w:rPr>
          <w:rFonts w:hint="eastAsia" w:ascii="仿宋_GB2312" w:hAnsi="Times New Roman" w:eastAsia="仿宋_GB2312" w:cs="Times New Roman"/>
          <w:sz w:val="28"/>
          <w:szCs w:val="28"/>
          <w:lang w:eastAsia="zh-CN"/>
        </w:rPr>
        <w:t>）罚没物品场租</w:t>
      </w:r>
    </w:p>
    <w:p>
      <w:pPr>
        <w:rPr>
          <w:rFonts w:hint="eastAsia" w:ascii="黑体" w:eastAsia="黑体"/>
          <w:sz w:val="32"/>
          <w:szCs w:val="32"/>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1440180</wp:posOffset>
            </wp:positionH>
            <wp:positionV relativeFrom="paragraph">
              <wp:posOffset>50800</wp:posOffset>
            </wp:positionV>
            <wp:extent cx="5364480" cy="4580255"/>
            <wp:effectExtent l="0" t="0" r="7620" b="10795"/>
            <wp:wrapSquare wrapText="bothSides"/>
            <wp:docPr id="5" name="图片 7" descr="罚没物品场租"/>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7" descr="罚没物品场租"/>
                    <pic:cNvPicPr>
                      <a:picLocks noChangeAspect="true"/>
                    </pic:cNvPicPr>
                  </pic:nvPicPr>
                  <pic:blipFill>
                    <a:blip r:embed="rId10"/>
                    <a:stretch>
                      <a:fillRect/>
                    </a:stretch>
                  </pic:blipFill>
                  <pic:spPr>
                    <a:xfrm>
                      <a:off x="0" y="0"/>
                      <a:ext cx="5364480" cy="4580255"/>
                    </a:xfrm>
                    <a:prstGeom prst="rect">
                      <a:avLst/>
                    </a:prstGeom>
                    <a:noFill/>
                    <a:ln>
                      <a:noFill/>
                    </a:ln>
                  </pic:spPr>
                </pic:pic>
              </a:graphicData>
            </a:graphic>
          </wp:anchor>
        </w:drawing>
      </w: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numPr>
          <w:ilvl w:val="0"/>
          <w:numId w:val="0"/>
        </w:numPr>
        <w:rPr>
          <w:rFonts w:hint="eastAsia" w:ascii="仿宋_GB2312" w:hAnsi="Times New Roman" w:eastAsia="仿宋_GB2312" w:cs="Times New Roman"/>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六</w:t>
      </w:r>
      <w:r>
        <w:rPr>
          <w:rFonts w:hint="eastAsia" w:ascii="仿宋_GB2312" w:hAnsi="Times New Roman" w:eastAsia="仿宋_GB2312" w:cs="Times New Roman"/>
          <w:sz w:val="28"/>
          <w:szCs w:val="28"/>
          <w:lang w:eastAsia="zh-CN"/>
        </w:rPr>
        <w:t>）信息化设备服务费</w:t>
      </w:r>
    </w:p>
    <w:p>
      <w:pPr>
        <w:rPr>
          <w:rFonts w:hint="eastAsia" w:ascii="黑体" w:eastAsia="黑体"/>
          <w:sz w:val="32"/>
          <w:szCs w:val="32"/>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1546860</wp:posOffset>
            </wp:positionH>
            <wp:positionV relativeFrom="paragraph">
              <wp:posOffset>38100</wp:posOffset>
            </wp:positionV>
            <wp:extent cx="5356860" cy="5165725"/>
            <wp:effectExtent l="0" t="0" r="15240" b="15875"/>
            <wp:wrapSquare wrapText="bothSides"/>
            <wp:docPr id="6" name="图片 8" descr="信息化设备服务费"/>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8" descr="信息化设备服务费"/>
                    <pic:cNvPicPr>
                      <a:picLocks noChangeAspect="true"/>
                    </pic:cNvPicPr>
                  </pic:nvPicPr>
                  <pic:blipFill>
                    <a:blip r:embed="rId11"/>
                    <a:stretch>
                      <a:fillRect/>
                    </a:stretch>
                  </pic:blipFill>
                  <pic:spPr>
                    <a:xfrm>
                      <a:off x="0" y="0"/>
                      <a:ext cx="5356860" cy="5165725"/>
                    </a:xfrm>
                    <a:prstGeom prst="rect">
                      <a:avLst/>
                    </a:prstGeom>
                    <a:noFill/>
                    <a:ln>
                      <a:noFill/>
                    </a:ln>
                  </pic:spPr>
                </pic:pic>
              </a:graphicData>
            </a:graphic>
          </wp:anchor>
        </w:drawing>
      </w: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Tahoma">
    <w:altName w:val="DejaVu Sans"/>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Arial Unicode MS"/>
    <w:panose1 w:val="02010609060101010101"/>
    <w:charset w:val="00"/>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lang/>
      </w:rPr>
      <w:t>10</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lang/>
      </w:rPr>
      <w:t>11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A0149"/>
    <w:multiLevelType w:val="singleLevel"/>
    <w:tmpl w:val="B25A0149"/>
    <w:lvl w:ilvl="0" w:tentative="0">
      <w:start w:val="3"/>
      <w:numFmt w:val="chineseCounting"/>
      <w:suff w:val="nothing"/>
      <w:lvlText w:val="%1、"/>
      <w:lvlJc w:val="left"/>
      <w:rPr>
        <w:rFonts w:hint="eastAsia"/>
      </w:rPr>
    </w:lvl>
  </w:abstractNum>
  <w:abstractNum w:abstractNumId="1">
    <w:nsid w:val="656D3D15"/>
    <w:multiLevelType w:val="singleLevel"/>
    <w:tmpl w:val="656D3D1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3DA0"/>
    <w:rsid w:val="000040E6"/>
    <w:rsid w:val="00011D72"/>
    <w:rsid w:val="00017A69"/>
    <w:rsid w:val="00027CD5"/>
    <w:rsid w:val="00031B8E"/>
    <w:rsid w:val="00033EC1"/>
    <w:rsid w:val="00034224"/>
    <w:rsid w:val="00040275"/>
    <w:rsid w:val="00041D50"/>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6504"/>
    <w:rsid w:val="00096B86"/>
    <w:rsid w:val="000A1770"/>
    <w:rsid w:val="000A283C"/>
    <w:rsid w:val="000B15B7"/>
    <w:rsid w:val="000C4611"/>
    <w:rsid w:val="000D6854"/>
    <w:rsid w:val="000E0B26"/>
    <w:rsid w:val="000E3291"/>
    <w:rsid w:val="000E72C0"/>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62C22"/>
    <w:rsid w:val="0017111F"/>
    <w:rsid w:val="00173CF6"/>
    <w:rsid w:val="00180DAD"/>
    <w:rsid w:val="0018370E"/>
    <w:rsid w:val="001852E1"/>
    <w:rsid w:val="00187AAC"/>
    <w:rsid w:val="00191568"/>
    <w:rsid w:val="001A4277"/>
    <w:rsid w:val="001A7D2E"/>
    <w:rsid w:val="001B1DF9"/>
    <w:rsid w:val="001B1E93"/>
    <w:rsid w:val="001B375E"/>
    <w:rsid w:val="001B5E87"/>
    <w:rsid w:val="001B5E91"/>
    <w:rsid w:val="001B7988"/>
    <w:rsid w:val="001C2207"/>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5574A"/>
    <w:rsid w:val="0026479D"/>
    <w:rsid w:val="002673C4"/>
    <w:rsid w:val="0027112B"/>
    <w:rsid w:val="00271C3F"/>
    <w:rsid w:val="00272460"/>
    <w:rsid w:val="0027394A"/>
    <w:rsid w:val="00274D50"/>
    <w:rsid w:val="002760D5"/>
    <w:rsid w:val="00276289"/>
    <w:rsid w:val="0028081D"/>
    <w:rsid w:val="0028458C"/>
    <w:rsid w:val="002911BD"/>
    <w:rsid w:val="00291C98"/>
    <w:rsid w:val="00294DE9"/>
    <w:rsid w:val="002A1488"/>
    <w:rsid w:val="002A4C2B"/>
    <w:rsid w:val="002B19D0"/>
    <w:rsid w:val="002B3682"/>
    <w:rsid w:val="002B5372"/>
    <w:rsid w:val="002B5464"/>
    <w:rsid w:val="002B6C28"/>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1E5B"/>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354CB"/>
    <w:rsid w:val="00341D8E"/>
    <w:rsid w:val="003502B9"/>
    <w:rsid w:val="00351B8F"/>
    <w:rsid w:val="00353226"/>
    <w:rsid w:val="00353717"/>
    <w:rsid w:val="00354630"/>
    <w:rsid w:val="00365A24"/>
    <w:rsid w:val="003712DB"/>
    <w:rsid w:val="00373DDC"/>
    <w:rsid w:val="00382A86"/>
    <w:rsid w:val="00383BCC"/>
    <w:rsid w:val="00385243"/>
    <w:rsid w:val="003925D4"/>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B7548"/>
    <w:rsid w:val="003C030C"/>
    <w:rsid w:val="003C55FC"/>
    <w:rsid w:val="003D0EC3"/>
    <w:rsid w:val="003D3572"/>
    <w:rsid w:val="003D7274"/>
    <w:rsid w:val="003E4D82"/>
    <w:rsid w:val="003E5BC1"/>
    <w:rsid w:val="003F0D1B"/>
    <w:rsid w:val="003F1DD6"/>
    <w:rsid w:val="00401087"/>
    <w:rsid w:val="00402E26"/>
    <w:rsid w:val="00404238"/>
    <w:rsid w:val="004110BC"/>
    <w:rsid w:val="0041271F"/>
    <w:rsid w:val="0041688E"/>
    <w:rsid w:val="0042093C"/>
    <w:rsid w:val="004233DD"/>
    <w:rsid w:val="00424405"/>
    <w:rsid w:val="00425D24"/>
    <w:rsid w:val="00426A4D"/>
    <w:rsid w:val="00427687"/>
    <w:rsid w:val="00433231"/>
    <w:rsid w:val="004334CA"/>
    <w:rsid w:val="0043506A"/>
    <w:rsid w:val="00435830"/>
    <w:rsid w:val="0043619C"/>
    <w:rsid w:val="0044475D"/>
    <w:rsid w:val="00444D1E"/>
    <w:rsid w:val="0044571A"/>
    <w:rsid w:val="0045090E"/>
    <w:rsid w:val="00453E36"/>
    <w:rsid w:val="00457286"/>
    <w:rsid w:val="00461FA5"/>
    <w:rsid w:val="00463566"/>
    <w:rsid w:val="00464182"/>
    <w:rsid w:val="00471C52"/>
    <w:rsid w:val="0047460C"/>
    <w:rsid w:val="00474FF2"/>
    <w:rsid w:val="00480098"/>
    <w:rsid w:val="00485E12"/>
    <w:rsid w:val="004865DA"/>
    <w:rsid w:val="0048779C"/>
    <w:rsid w:val="00487AB7"/>
    <w:rsid w:val="00487ED0"/>
    <w:rsid w:val="0049682C"/>
    <w:rsid w:val="004A054E"/>
    <w:rsid w:val="004A168E"/>
    <w:rsid w:val="004A4EC7"/>
    <w:rsid w:val="004B0003"/>
    <w:rsid w:val="004C020A"/>
    <w:rsid w:val="004C03A3"/>
    <w:rsid w:val="004C385F"/>
    <w:rsid w:val="004C44B8"/>
    <w:rsid w:val="004C57FF"/>
    <w:rsid w:val="004C7629"/>
    <w:rsid w:val="004D0D5D"/>
    <w:rsid w:val="004E27DD"/>
    <w:rsid w:val="004E3350"/>
    <w:rsid w:val="004E5292"/>
    <w:rsid w:val="004F2C5B"/>
    <w:rsid w:val="004F641B"/>
    <w:rsid w:val="004F71F3"/>
    <w:rsid w:val="005052FA"/>
    <w:rsid w:val="005069E1"/>
    <w:rsid w:val="00507E59"/>
    <w:rsid w:val="005122B5"/>
    <w:rsid w:val="0052381C"/>
    <w:rsid w:val="00532FD6"/>
    <w:rsid w:val="005346B3"/>
    <w:rsid w:val="0054051C"/>
    <w:rsid w:val="00546A84"/>
    <w:rsid w:val="00547BE2"/>
    <w:rsid w:val="0055353D"/>
    <w:rsid w:val="0056187C"/>
    <w:rsid w:val="00576B03"/>
    <w:rsid w:val="00591655"/>
    <w:rsid w:val="00591BEC"/>
    <w:rsid w:val="005940EA"/>
    <w:rsid w:val="00594448"/>
    <w:rsid w:val="005A1D6F"/>
    <w:rsid w:val="005A52A6"/>
    <w:rsid w:val="005B0DEC"/>
    <w:rsid w:val="005B368E"/>
    <w:rsid w:val="005B6E69"/>
    <w:rsid w:val="005C0015"/>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5F79FA"/>
    <w:rsid w:val="00611BE4"/>
    <w:rsid w:val="0061219B"/>
    <w:rsid w:val="00621419"/>
    <w:rsid w:val="00626446"/>
    <w:rsid w:val="00626BE8"/>
    <w:rsid w:val="0063126D"/>
    <w:rsid w:val="00632804"/>
    <w:rsid w:val="006376DA"/>
    <w:rsid w:val="006459DA"/>
    <w:rsid w:val="006502E8"/>
    <w:rsid w:val="0065675C"/>
    <w:rsid w:val="0065793F"/>
    <w:rsid w:val="0066263B"/>
    <w:rsid w:val="0067195C"/>
    <w:rsid w:val="006724F7"/>
    <w:rsid w:val="0067511A"/>
    <w:rsid w:val="0067539B"/>
    <w:rsid w:val="00675543"/>
    <w:rsid w:val="00677396"/>
    <w:rsid w:val="00677AD9"/>
    <w:rsid w:val="00681970"/>
    <w:rsid w:val="00690641"/>
    <w:rsid w:val="00691844"/>
    <w:rsid w:val="00693DDF"/>
    <w:rsid w:val="00696F9E"/>
    <w:rsid w:val="006A374A"/>
    <w:rsid w:val="006A505E"/>
    <w:rsid w:val="006A513E"/>
    <w:rsid w:val="006A5265"/>
    <w:rsid w:val="006B0CB9"/>
    <w:rsid w:val="006B2609"/>
    <w:rsid w:val="006B2750"/>
    <w:rsid w:val="006B3350"/>
    <w:rsid w:val="006B3678"/>
    <w:rsid w:val="006B69BE"/>
    <w:rsid w:val="006B7390"/>
    <w:rsid w:val="006C0084"/>
    <w:rsid w:val="006C107D"/>
    <w:rsid w:val="006C3600"/>
    <w:rsid w:val="006C4534"/>
    <w:rsid w:val="006C5205"/>
    <w:rsid w:val="006C75F6"/>
    <w:rsid w:val="006D3F53"/>
    <w:rsid w:val="006D4EF9"/>
    <w:rsid w:val="006D60AF"/>
    <w:rsid w:val="00701651"/>
    <w:rsid w:val="00704581"/>
    <w:rsid w:val="007049BF"/>
    <w:rsid w:val="00704E79"/>
    <w:rsid w:val="00707A26"/>
    <w:rsid w:val="0071120F"/>
    <w:rsid w:val="00716380"/>
    <w:rsid w:val="00722165"/>
    <w:rsid w:val="00724B1C"/>
    <w:rsid w:val="00731A37"/>
    <w:rsid w:val="007428F0"/>
    <w:rsid w:val="007512EF"/>
    <w:rsid w:val="00753D7E"/>
    <w:rsid w:val="007551AC"/>
    <w:rsid w:val="0076101C"/>
    <w:rsid w:val="00763D87"/>
    <w:rsid w:val="007670B2"/>
    <w:rsid w:val="00771795"/>
    <w:rsid w:val="00774925"/>
    <w:rsid w:val="0079279F"/>
    <w:rsid w:val="00793E69"/>
    <w:rsid w:val="007A063C"/>
    <w:rsid w:val="007A16B0"/>
    <w:rsid w:val="007A19EA"/>
    <w:rsid w:val="007A6092"/>
    <w:rsid w:val="007A64A6"/>
    <w:rsid w:val="007A7C89"/>
    <w:rsid w:val="007B1487"/>
    <w:rsid w:val="007B2A43"/>
    <w:rsid w:val="007B326F"/>
    <w:rsid w:val="007B6A58"/>
    <w:rsid w:val="007B6C06"/>
    <w:rsid w:val="007B7B78"/>
    <w:rsid w:val="007C32B1"/>
    <w:rsid w:val="007C7A22"/>
    <w:rsid w:val="007C7C62"/>
    <w:rsid w:val="007D082A"/>
    <w:rsid w:val="007D1076"/>
    <w:rsid w:val="007D12B7"/>
    <w:rsid w:val="007D1CD1"/>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5F57"/>
    <w:rsid w:val="0081760B"/>
    <w:rsid w:val="008218AC"/>
    <w:rsid w:val="00825359"/>
    <w:rsid w:val="00825E13"/>
    <w:rsid w:val="00826F07"/>
    <w:rsid w:val="0083211D"/>
    <w:rsid w:val="008337CB"/>
    <w:rsid w:val="00834A3C"/>
    <w:rsid w:val="00837658"/>
    <w:rsid w:val="00837CD4"/>
    <w:rsid w:val="008400EE"/>
    <w:rsid w:val="00840791"/>
    <w:rsid w:val="00845576"/>
    <w:rsid w:val="00850708"/>
    <w:rsid w:val="00851024"/>
    <w:rsid w:val="008526D7"/>
    <w:rsid w:val="0086238C"/>
    <w:rsid w:val="008655DC"/>
    <w:rsid w:val="0086732D"/>
    <w:rsid w:val="00870183"/>
    <w:rsid w:val="00870C20"/>
    <w:rsid w:val="00874AF9"/>
    <w:rsid w:val="00875726"/>
    <w:rsid w:val="00877F10"/>
    <w:rsid w:val="0088225D"/>
    <w:rsid w:val="00882F8D"/>
    <w:rsid w:val="00884FB0"/>
    <w:rsid w:val="008853A5"/>
    <w:rsid w:val="008944DA"/>
    <w:rsid w:val="00894D78"/>
    <w:rsid w:val="008A1951"/>
    <w:rsid w:val="008A6A18"/>
    <w:rsid w:val="008B033F"/>
    <w:rsid w:val="008B4003"/>
    <w:rsid w:val="008B7443"/>
    <w:rsid w:val="008C179E"/>
    <w:rsid w:val="008C2379"/>
    <w:rsid w:val="008C4FF7"/>
    <w:rsid w:val="008C5C4C"/>
    <w:rsid w:val="008C7056"/>
    <w:rsid w:val="008C706D"/>
    <w:rsid w:val="008D0FFC"/>
    <w:rsid w:val="008D3145"/>
    <w:rsid w:val="008E1A54"/>
    <w:rsid w:val="008E1F95"/>
    <w:rsid w:val="008E36B6"/>
    <w:rsid w:val="008E4267"/>
    <w:rsid w:val="008E4847"/>
    <w:rsid w:val="008E5FF1"/>
    <w:rsid w:val="008E6E14"/>
    <w:rsid w:val="008F1528"/>
    <w:rsid w:val="008F1AE5"/>
    <w:rsid w:val="008F55D9"/>
    <w:rsid w:val="009057DE"/>
    <w:rsid w:val="00905F97"/>
    <w:rsid w:val="00906FA3"/>
    <w:rsid w:val="0091239D"/>
    <w:rsid w:val="00912825"/>
    <w:rsid w:val="009129B8"/>
    <w:rsid w:val="00912B99"/>
    <w:rsid w:val="00912C78"/>
    <w:rsid w:val="00917FCB"/>
    <w:rsid w:val="009351E9"/>
    <w:rsid w:val="00937862"/>
    <w:rsid w:val="00942279"/>
    <w:rsid w:val="00942723"/>
    <w:rsid w:val="009524EB"/>
    <w:rsid w:val="00962013"/>
    <w:rsid w:val="00963942"/>
    <w:rsid w:val="00966BC2"/>
    <w:rsid w:val="0096716C"/>
    <w:rsid w:val="009672B2"/>
    <w:rsid w:val="00971C66"/>
    <w:rsid w:val="0098419C"/>
    <w:rsid w:val="009843EF"/>
    <w:rsid w:val="009867F2"/>
    <w:rsid w:val="00991347"/>
    <w:rsid w:val="0099294A"/>
    <w:rsid w:val="00996018"/>
    <w:rsid w:val="0099738E"/>
    <w:rsid w:val="009A493E"/>
    <w:rsid w:val="009A531F"/>
    <w:rsid w:val="009A6931"/>
    <w:rsid w:val="009B1F9A"/>
    <w:rsid w:val="009B1FA9"/>
    <w:rsid w:val="009B349F"/>
    <w:rsid w:val="009B4293"/>
    <w:rsid w:val="009B6715"/>
    <w:rsid w:val="009D0BE2"/>
    <w:rsid w:val="009D114E"/>
    <w:rsid w:val="009D210F"/>
    <w:rsid w:val="009D309C"/>
    <w:rsid w:val="009D37B1"/>
    <w:rsid w:val="009D4717"/>
    <w:rsid w:val="009D694D"/>
    <w:rsid w:val="009E264E"/>
    <w:rsid w:val="009F0F81"/>
    <w:rsid w:val="009F2543"/>
    <w:rsid w:val="009F256D"/>
    <w:rsid w:val="009F341E"/>
    <w:rsid w:val="009F57CE"/>
    <w:rsid w:val="00A0130C"/>
    <w:rsid w:val="00A117CA"/>
    <w:rsid w:val="00A12225"/>
    <w:rsid w:val="00A14C18"/>
    <w:rsid w:val="00A25898"/>
    <w:rsid w:val="00A3071D"/>
    <w:rsid w:val="00A3182E"/>
    <w:rsid w:val="00A31A89"/>
    <w:rsid w:val="00A32F06"/>
    <w:rsid w:val="00A34EFE"/>
    <w:rsid w:val="00A36546"/>
    <w:rsid w:val="00A4069C"/>
    <w:rsid w:val="00A429CB"/>
    <w:rsid w:val="00A44E87"/>
    <w:rsid w:val="00A5063C"/>
    <w:rsid w:val="00A51B71"/>
    <w:rsid w:val="00A52749"/>
    <w:rsid w:val="00A5422E"/>
    <w:rsid w:val="00A56EC1"/>
    <w:rsid w:val="00A6350C"/>
    <w:rsid w:val="00A6370B"/>
    <w:rsid w:val="00A63A73"/>
    <w:rsid w:val="00A6655C"/>
    <w:rsid w:val="00A66CBB"/>
    <w:rsid w:val="00A6704E"/>
    <w:rsid w:val="00A67EA4"/>
    <w:rsid w:val="00A8169B"/>
    <w:rsid w:val="00A83AA1"/>
    <w:rsid w:val="00A9343A"/>
    <w:rsid w:val="00A9706C"/>
    <w:rsid w:val="00A97B34"/>
    <w:rsid w:val="00AA1B5C"/>
    <w:rsid w:val="00AA7A27"/>
    <w:rsid w:val="00AB3FB0"/>
    <w:rsid w:val="00AB465D"/>
    <w:rsid w:val="00AC114C"/>
    <w:rsid w:val="00AC1478"/>
    <w:rsid w:val="00AC6705"/>
    <w:rsid w:val="00AC6C2D"/>
    <w:rsid w:val="00AC6E17"/>
    <w:rsid w:val="00AD2FF3"/>
    <w:rsid w:val="00AD7764"/>
    <w:rsid w:val="00AD7FE2"/>
    <w:rsid w:val="00AE1284"/>
    <w:rsid w:val="00AE4182"/>
    <w:rsid w:val="00AE7339"/>
    <w:rsid w:val="00AF1B0B"/>
    <w:rsid w:val="00AF242C"/>
    <w:rsid w:val="00AF3CC4"/>
    <w:rsid w:val="00B009C4"/>
    <w:rsid w:val="00B05903"/>
    <w:rsid w:val="00B059B2"/>
    <w:rsid w:val="00B12C7A"/>
    <w:rsid w:val="00B12E10"/>
    <w:rsid w:val="00B22BC3"/>
    <w:rsid w:val="00B24D07"/>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31A9"/>
    <w:rsid w:val="00C04CA2"/>
    <w:rsid w:val="00C0623C"/>
    <w:rsid w:val="00C06A07"/>
    <w:rsid w:val="00C132B6"/>
    <w:rsid w:val="00C24A10"/>
    <w:rsid w:val="00C27003"/>
    <w:rsid w:val="00C27597"/>
    <w:rsid w:val="00C32131"/>
    <w:rsid w:val="00C32BD4"/>
    <w:rsid w:val="00C33E48"/>
    <w:rsid w:val="00C3618B"/>
    <w:rsid w:val="00C403FB"/>
    <w:rsid w:val="00C4316E"/>
    <w:rsid w:val="00C441A2"/>
    <w:rsid w:val="00C462A5"/>
    <w:rsid w:val="00C5076B"/>
    <w:rsid w:val="00C512D4"/>
    <w:rsid w:val="00C51CF4"/>
    <w:rsid w:val="00C531E2"/>
    <w:rsid w:val="00C57E34"/>
    <w:rsid w:val="00C60500"/>
    <w:rsid w:val="00C64659"/>
    <w:rsid w:val="00C662E9"/>
    <w:rsid w:val="00C66C2D"/>
    <w:rsid w:val="00C7190B"/>
    <w:rsid w:val="00C76852"/>
    <w:rsid w:val="00C77210"/>
    <w:rsid w:val="00C777FA"/>
    <w:rsid w:val="00C77989"/>
    <w:rsid w:val="00C81E51"/>
    <w:rsid w:val="00C87B73"/>
    <w:rsid w:val="00C92444"/>
    <w:rsid w:val="00C92FBB"/>
    <w:rsid w:val="00C93327"/>
    <w:rsid w:val="00CA5602"/>
    <w:rsid w:val="00CA5CA9"/>
    <w:rsid w:val="00CA78E2"/>
    <w:rsid w:val="00CB1BBE"/>
    <w:rsid w:val="00CB5F41"/>
    <w:rsid w:val="00CB65DB"/>
    <w:rsid w:val="00CB6BD9"/>
    <w:rsid w:val="00CC293A"/>
    <w:rsid w:val="00CE19F6"/>
    <w:rsid w:val="00CF366B"/>
    <w:rsid w:val="00CF5D9D"/>
    <w:rsid w:val="00CF606C"/>
    <w:rsid w:val="00CF7423"/>
    <w:rsid w:val="00D03E80"/>
    <w:rsid w:val="00D15B9F"/>
    <w:rsid w:val="00D15DD6"/>
    <w:rsid w:val="00D25548"/>
    <w:rsid w:val="00D2601F"/>
    <w:rsid w:val="00D27759"/>
    <w:rsid w:val="00D30028"/>
    <w:rsid w:val="00D325D3"/>
    <w:rsid w:val="00D408D6"/>
    <w:rsid w:val="00D511DD"/>
    <w:rsid w:val="00D55C2A"/>
    <w:rsid w:val="00D56EB4"/>
    <w:rsid w:val="00D571C1"/>
    <w:rsid w:val="00D602F4"/>
    <w:rsid w:val="00D6457E"/>
    <w:rsid w:val="00D742E2"/>
    <w:rsid w:val="00D7580E"/>
    <w:rsid w:val="00D87DAF"/>
    <w:rsid w:val="00D9446D"/>
    <w:rsid w:val="00DA2994"/>
    <w:rsid w:val="00DB08E8"/>
    <w:rsid w:val="00DB0DED"/>
    <w:rsid w:val="00DB0E27"/>
    <w:rsid w:val="00DB3073"/>
    <w:rsid w:val="00DB3BA9"/>
    <w:rsid w:val="00DB50FE"/>
    <w:rsid w:val="00DB5EDA"/>
    <w:rsid w:val="00DC18AA"/>
    <w:rsid w:val="00DC2349"/>
    <w:rsid w:val="00DC3026"/>
    <w:rsid w:val="00DD57AA"/>
    <w:rsid w:val="00DE1578"/>
    <w:rsid w:val="00DE7F67"/>
    <w:rsid w:val="00DF0529"/>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22B31"/>
    <w:rsid w:val="00E24371"/>
    <w:rsid w:val="00E25028"/>
    <w:rsid w:val="00E26641"/>
    <w:rsid w:val="00E2778F"/>
    <w:rsid w:val="00E33023"/>
    <w:rsid w:val="00E331F3"/>
    <w:rsid w:val="00E3498D"/>
    <w:rsid w:val="00E4061C"/>
    <w:rsid w:val="00E42425"/>
    <w:rsid w:val="00E43E55"/>
    <w:rsid w:val="00E4554E"/>
    <w:rsid w:val="00E46D22"/>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41E8"/>
    <w:rsid w:val="00F7642B"/>
    <w:rsid w:val="00F76A43"/>
    <w:rsid w:val="00F80334"/>
    <w:rsid w:val="00F83DF9"/>
    <w:rsid w:val="00F85DA0"/>
    <w:rsid w:val="00F930AF"/>
    <w:rsid w:val="00F9352C"/>
    <w:rsid w:val="00F975B0"/>
    <w:rsid w:val="00FA15F1"/>
    <w:rsid w:val="00FA19F5"/>
    <w:rsid w:val="00FA4A69"/>
    <w:rsid w:val="00FA649A"/>
    <w:rsid w:val="00FB014D"/>
    <w:rsid w:val="00FB1248"/>
    <w:rsid w:val="00FB208D"/>
    <w:rsid w:val="00FB3CF4"/>
    <w:rsid w:val="00FB4A27"/>
    <w:rsid w:val="00FB4A49"/>
    <w:rsid w:val="00FB63FB"/>
    <w:rsid w:val="00FB69B3"/>
    <w:rsid w:val="00FC6FBE"/>
    <w:rsid w:val="00FD1162"/>
    <w:rsid w:val="00FD2232"/>
    <w:rsid w:val="00FD4AE7"/>
    <w:rsid w:val="00FD65A9"/>
    <w:rsid w:val="00FD7508"/>
    <w:rsid w:val="00FE1E51"/>
    <w:rsid w:val="00FE2496"/>
    <w:rsid w:val="00FE6A2B"/>
    <w:rsid w:val="00FF0275"/>
    <w:rsid w:val="00FF07B3"/>
    <w:rsid w:val="00FF1E37"/>
    <w:rsid w:val="048B1777"/>
    <w:rsid w:val="07E45457"/>
    <w:rsid w:val="0E187FAA"/>
    <w:rsid w:val="116347CE"/>
    <w:rsid w:val="13DC189D"/>
    <w:rsid w:val="18211DD8"/>
    <w:rsid w:val="18D57D5B"/>
    <w:rsid w:val="196D677E"/>
    <w:rsid w:val="1AC54A0A"/>
    <w:rsid w:val="1F1F284E"/>
    <w:rsid w:val="23777228"/>
    <w:rsid w:val="2AA05B3E"/>
    <w:rsid w:val="344211B7"/>
    <w:rsid w:val="3DBE0B74"/>
    <w:rsid w:val="3FF6BDE1"/>
    <w:rsid w:val="448505DA"/>
    <w:rsid w:val="45CC3244"/>
    <w:rsid w:val="473F62D4"/>
    <w:rsid w:val="47A30E1C"/>
    <w:rsid w:val="4CB04B3A"/>
    <w:rsid w:val="4EA41076"/>
    <w:rsid w:val="4EF179F5"/>
    <w:rsid w:val="4FCF12E5"/>
    <w:rsid w:val="56DE6369"/>
    <w:rsid w:val="57691A2A"/>
    <w:rsid w:val="58AE30B4"/>
    <w:rsid w:val="5CD60B28"/>
    <w:rsid w:val="681E24E2"/>
    <w:rsid w:val="68FC5E57"/>
    <w:rsid w:val="6CE410A6"/>
    <w:rsid w:val="71EA2495"/>
    <w:rsid w:val="726A2357"/>
    <w:rsid w:val="72770534"/>
    <w:rsid w:val="79E167E8"/>
    <w:rsid w:val="7B3948B7"/>
    <w:rsid w:val="7BF5A5AD"/>
    <w:rsid w:val="7D08410F"/>
    <w:rsid w:val="7E2E4E56"/>
    <w:rsid w:val="DF7D8258"/>
    <w:rsid w:val="E3FF60D1"/>
    <w:rsid w:val="F75B3D61"/>
    <w:rsid w:val="F7DE6F84"/>
    <w:rsid w:val="FFBEE7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Indent"/>
    <w:basedOn w:val="1"/>
    <w:uiPriority w:val="0"/>
    <w:pPr>
      <w:ind w:firstLine="645"/>
    </w:pPr>
    <w:rPr>
      <w:rFonts w:ascii="仿宋_GB2312" w:hAnsi="Calibri" w:eastAsia="仿宋_GB2312"/>
      <w:sz w:val="32"/>
      <w:szCs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uiPriority w:val="0"/>
    <w:pPr>
      <w:spacing w:before="100" w:beforeAutospacing="1" w:after="100" w:afterAutospacing="1"/>
      <w:ind w:right="238"/>
      <w:jc w:val="left"/>
    </w:pPr>
    <w:rPr>
      <w:b/>
      <w:kern w:val="0"/>
      <w:sz w:val="24"/>
      <w:szCs w:val="20"/>
    </w:rPr>
  </w:style>
  <w:style w:type="character" w:styleId="10">
    <w:name w:val="Strong"/>
    <w:qFormat/>
    <w:uiPriority w:val="0"/>
    <w:rPr>
      <w:b/>
    </w:rPr>
  </w:style>
  <w:style w:type="character" w:styleId="11">
    <w:name w:val="page number"/>
    <w:basedOn w:val="9"/>
    <w:uiPriority w:val="0"/>
  </w:style>
  <w:style w:type="character" w:customStyle="1" w:styleId="12">
    <w:name w:val="页脚 Char"/>
    <w:link w:val="5"/>
    <w:uiPriority w:val="0"/>
    <w:rPr>
      <w:rFonts w:eastAsia="宋体"/>
      <w:kern w:val="2"/>
      <w:sz w:val="18"/>
      <w:szCs w:val="18"/>
      <w:lang w:val="en-US" w:eastAsia="zh-CN" w:bidi="ar-SA"/>
    </w:rPr>
  </w:style>
  <w:style w:type="character" w:customStyle="1" w:styleId="13">
    <w:name w:val="页眉 Char"/>
    <w:link w:val="6"/>
    <w:uiPriority w:val="0"/>
    <w:rPr>
      <w:rFonts w:ascii="Calibri" w:hAnsi="Calibri" w:eastAsia="宋体"/>
      <w:kern w:val="2"/>
      <w:sz w:val="18"/>
      <w:szCs w:val="18"/>
      <w:lang w:val="en-US" w:eastAsia="zh-CN" w:bidi="ar-SA"/>
    </w:rPr>
  </w:style>
  <w:style w:type="paragraph" w:customStyle="1" w:styleId="14">
    <w:name w:val="Char1 Char Char Char"/>
    <w:basedOn w:val="1"/>
    <w:uiPriority w:val="0"/>
    <w:pPr>
      <w:widowControl/>
      <w:spacing w:after="160" w:line="240" w:lineRule="exact"/>
      <w:jc w:val="left"/>
    </w:pPr>
    <w:rPr>
      <w:szCs w:val="20"/>
    </w:rPr>
  </w:style>
  <w:style w:type="paragraph" w:customStyle="1" w:styleId="15">
    <w:name w:val=" Char Char Char Char Char Char Char"/>
    <w:basedOn w:val="1"/>
    <w:uiPriority w:val="0"/>
    <w:rPr>
      <w:rFonts w:ascii="Tahoma" w:hAnsi="Tahoma"/>
      <w:sz w:val="24"/>
      <w:szCs w:val="20"/>
    </w:rPr>
  </w:style>
  <w:style w:type="paragraph" w:customStyle="1" w:styleId="16">
    <w:name w:val="Char"/>
    <w:basedOn w:val="1"/>
    <w:uiPriority w:val="0"/>
    <w:rPr>
      <w:rFonts w:ascii="Tahoma" w:hAnsi="Tahoma"/>
      <w:sz w:val="24"/>
      <w:szCs w:val="20"/>
    </w:rPr>
  </w:style>
  <w:style w:type="paragraph" w:customStyle="1" w:styleId="17">
    <w:name w:val="Char Char3 Char Char"/>
    <w:basedOn w:val="1"/>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664</Words>
  <Characters>3790</Characters>
  <Lines>31</Lines>
  <Paragraphs>8</Paragraphs>
  <TotalTime>8</TotalTime>
  <ScaleCrop>false</ScaleCrop>
  <LinksUpToDate>false</LinksUpToDate>
  <CharactersWithSpaces>4446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2020-06-23T10:46:00Z</dcterms:created>
  <dc:creator>常程</dc:creator>
  <cp:lastModifiedBy>uos</cp:lastModifiedBy>
  <cp:lastPrinted>2020-06-04T09:20:00Z</cp:lastPrinted>
  <dcterms:modified xsi:type="dcterms:W3CDTF">2021-06-16T07:40:29Z</dcterms:modified>
  <dc:title>北京市财政局关于做好向市人大常委会报送2015年度市级部门决算（草案）</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