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2"/>
          <w:szCs w:val="32"/>
        </w:rPr>
      </w:pPr>
    </w:p>
    <w:p>
      <w:pPr>
        <w:jc w:val="center"/>
        <w:rPr>
          <w:rFonts w:hint="eastAsia" w:ascii="黑体" w:eastAsia="黑体"/>
          <w:sz w:val="72"/>
          <w:szCs w:val="72"/>
        </w:rPr>
      </w:pPr>
    </w:p>
    <w:p>
      <w:pPr>
        <w:jc w:val="center"/>
        <w:rPr>
          <w:rFonts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北京市丰台区土地储备所</w:t>
      </w:r>
    </w:p>
    <w:p>
      <w:pPr>
        <w:jc w:val="center"/>
        <w:rPr>
          <w:rFonts w:hint="eastAsia" w:ascii="黑体" w:eastAsia="黑体"/>
          <w:sz w:val="72"/>
          <w:szCs w:val="72"/>
        </w:rPr>
      </w:pPr>
      <w:r>
        <w:rPr>
          <w:rFonts w:hint="eastAsia" w:ascii="黑体" w:eastAsia="黑体"/>
          <w:sz w:val="72"/>
          <w:szCs w:val="72"/>
        </w:rPr>
        <w:t>2019年度部门决算(草案)说明</w:t>
      </w:r>
    </w:p>
    <w:p>
      <w:pPr>
        <w:jc w:val="center"/>
        <w:rPr>
          <w:rFonts w:hint="eastAsia" w:ascii="黑体" w:eastAsia="黑体"/>
          <w:sz w:val="72"/>
          <w:szCs w:val="7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第三部分 201</w:t>
      </w:r>
      <w:r>
        <w:rPr>
          <w:rFonts w:ascii="宋体" w:hAnsi="宋体" w:cs="宋体"/>
          <w:spacing w:val="40"/>
          <w:kern w:val="0"/>
          <w:sz w:val="32"/>
          <w:szCs w:val="32"/>
        </w:rPr>
        <w:t>9</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pPr>
        <w:pStyle w:val="7"/>
        <w:keepNext w:val="0"/>
        <w:keepLines w:val="0"/>
        <w:pageBreakBefore w:val="0"/>
        <w:widowControl w:val="0"/>
        <w:shd w:val="clear" w:color="auto" w:fill="FFFFFF"/>
        <w:kinsoku/>
        <w:wordWrap/>
        <w:overflowPunct/>
        <w:topLinePunct w:val="0"/>
        <w:autoSpaceDE/>
        <w:autoSpaceDN/>
        <w:bidi w:val="0"/>
        <w:adjustRightInd/>
        <w:snapToGrid/>
        <w:ind w:right="238" w:firstLine="560" w:firstLineChars="200"/>
        <w:textAlignment w:val="auto"/>
        <w:rPr>
          <w:rFonts w:hint="eastAsia" w:ascii="仿宋_GB2312" w:eastAsia="仿宋_GB2312"/>
          <w:b w:val="0"/>
          <w:kern w:val="2"/>
          <w:sz w:val="28"/>
          <w:szCs w:val="28"/>
          <w:lang w:val="en-US" w:eastAsia="zh-CN" w:bidi="ar-SA"/>
        </w:rPr>
      </w:pPr>
      <w:r>
        <w:rPr>
          <w:rFonts w:hint="eastAsia" w:ascii="仿宋_GB2312" w:eastAsia="仿宋_GB2312"/>
          <w:b w:val="0"/>
          <w:kern w:val="2"/>
          <w:sz w:val="28"/>
          <w:szCs w:val="28"/>
          <w:lang w:val="en-US" w:eastAsia="zh-CN" w:bidi="ar-SA"/>
        </w:rPr>
        <w:t>部门机构设置：本部门所属单位1家：北京市丰台区土地储备所；</w:t>
      </w:r>
    </w:p>
    <w:p>
      <w:pPr>
        <w:pStyle w:val="7"/>
        <w:keepNext w:val="0"/>
        <w:keepLines w:val="0"/>
        <w:pageBreakBefore w:val="0"/>
        <w:widowControl w:val="0"/>
        <w:shd w:val="clear" w:color="auto" w:fill="FFFFFF"/>
        <w:kinsoku/>
        <w:wordWrap/>
        <w:overflowPunct/>
        <w:topLinePunct w:val="0"/>
        <w:autoSpaceDE/>
        <w:autoSpaceDN/>
        <w:bidi w:val="0"/>
        <w:adjustRightInd/>
        <w:snapToGrid/>
        <w:ind w:right="238" w:firstLine="560" w:firstLineChars="200"/>
        <w:textAlignment w:val="auto"/>
        <w:rPr>
          <w:rFonts w:hint="eastAsia" w:ascii="仿宋_GB2312" w:eastAsia="仿宋_GB2312"/>
          <w:sz w:val="28"/>
          <w:szCs w:val="28"/>
        </w:rPr>
      </w:pPr>
      <w:r>
        <w:rPr>
          <w:rFonts w:hint="eastAsia" w:ascii="仿宋_GB2312" w:eastAsia="仿宋_GB2312"/>
          <w:b w:val="0"/>
          <w:kern w:val="2"/>
          <w:sz w:val="28"/>
          <w:szCs w:val="28"/>
          <w:lang w:val="en-US" w:eastAsia="zh-CN" w:bidi="ar-SA"/>
        </w:rPr>
        <w:t>部门职责：1.协助市土地整理储备中心丰台区分中心履行相关职责2.承担市土地整理储备中心丰台区分中心和市国土分局丰台分局交办的其他事项。</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本部门行政编制0人，实有人数0人；事业编制20人，实有人数1</w:t>
      </w:r>
      <w:r>
        <w:rPr>
          <w:rFonts w:hint="eastAsia" w:ascii="仿宋_GB2312" w:eastAsia="仿宋_GB2312"/>
          <w:sz w:val="28"/>
          <w:szCs w:val="28"/>
          <w:lang w:val="en-US" w:eastAsia="zh-CN"/>
        </w:rPr>
        <w:t>8</w:t>
      </w:r>
      <w:r>
        <w:rPr>
          <w:rFonts w:hint="eastAsia" w:ascii="仿宋_GB2312" w:eastAsia="仿宋_GB2312"/>
          <w:sz w:val="28"/>
          <w:szCs w:val="28"/>
        </w:rPr>
        <w:t>人。</w:t>
      </w:r>
    </w:p>
    <w:p>
      <w:pPr>
        <w:tabs>
          <w:tab w:val="center" w:pos="6979"/>
        </w:tabs>
        <w:spacing w:line="580" w:lineRule="exact"/>
        <w:ind w:firstLine="560" w:firstLineChars="200"/>
        <w:rPr>
          <w:rFonts w:ascii="仿宋_GB2312" w:eastAsia="仿宋_GB2312"/>
          <w:kern w:val="0"/>
          <w:sz w:val="28"/>
          <w:szCs w:val="28"/>
        </w:rPr>
      </w:pP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526.30</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增加</w:t>
      </w:r>
      <w:r>
        <w:rPr>
          <w:rFonts w:hint="eastAsia" w:ascii="仿宋_GB2312" w:eastAsia="仿宋_GB2312"/>
          <w:sz w:val="28"/>
          <w:szCs w:val="28"/>
          <w:lang w:val="en-US" w:eastAsia="zh-CN"/>
        </w:rPr>
        <w:t>52.25</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11.02</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年度本年收入合计</w:t>
      </w:r>
      <w:r>
        <w:rPr>
          <w:rFonts w:hint="eastAsia" w:ascii="仿宋_GB2312" w:eastAsia="仿宋_GB2312"/>
          <w:sz w:val="28"/>
          <w:szCs w:val="28"/>
          <w:lang w:val="en-US" w:eastAsia="zh-CN"/>
        </w:rPr>
        <w:t>464.53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4.14</w:t>
      </w:r>
      <w:r>
        <w:rPr>
          <w:rFonts w:hint="eastAsia" w:ascii="仿宋_GB2312" w:eastAsia="仿宋_GB2312"/>
          <w:sz w:val="28"/>
          <w:szCs w:val="28"/>
        </w:rPr>
        <w:t>万元，下降</w:t>
      </w:r>
      <w:r>
        <w:rPr>
          <w:rFonts w:hint="eastAsia" w:ascii="仿宋_GB2312" w:eastAsia="仿宋_GB2312"/>
          <w:sz w:val="28"/>
          <w:szCs w:val="28"/>
          <w:lang w:val="en-US" w:eastAsia="zh-CN"/>
        </w:rPr>
        <w:t>0.88</w:t>
      </w:r>
      <w:r>
        <w:rPr>
          <w:rFonts w:hint="eastAsia" w:ascii="仿宋_GB2312" w:eastAsia="仿宋_GB2312"/>
          <w:sz w:val="28"/>
          <w:szCs w:val="28"/>
        </w:rPr>
        <w:t>%，其中：财政拨款收入</w:t>
      </w:r>
      <w:r>
        <w:rPr>
          <w:rFonts w:hint="eastAsia" w:ascii="仿宋_GB2312" w:eastAsia="仿宋_GB2312"/>
          <w:sz w:val="28"/>
          <w:szCs w:val="28"/>
          <w:lang w:val="en-US" w:eastAsia="zh-CN"/>
        </w:rPr>
        <w:t>464.53</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年度本年支出合计</w:t>
      </w:r>
      <w:r>
        <w:rPr>
          <w:rFonts w:hint="eastAsia" w:ascii="仿宋_GB2312" w:eastAsia="仿宋_GB2312"/>
          <w:sz w:val="28"/>
          <w:szCs w:val="28"/>
          <w:lang w:val="en-US" w:eastAsia="zh-CN"/>
        </w:rPr>
        <w:t>526.30</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52.25</w:t>
      </w:r>
      <w:r>
        <w:rPr>
          <w:rFonts w:hint="eastAsia" w:ascii="仿宋_GB2312" w:eastAsia="仿宋_GB2312"/>
          <w:sz w:val="28"/>
          <w:szCs w:val="28"/>
        </w:rPr>
        <w:t>万元，增长</w:t>
      </w:r>
      <w:r>
        <w:rPr>
          <w:rFonts w:hint="eastAsia" w:ascii="仿宋_GB2312" w:eastAsia="仿宋_GB2312"/>
          <w:sz w:val="28"/>
          <w:szCs w:val="28"/>
          <w:lang w:val="en-US" w:eastAsia="zh-CN"/>
        </w:rPr>
        <w:t>11.02</w:t>
      </w:r>
      <w:r>
        <w:rPr>
          <w:rFonts w:hint="eastAsia" w:ascii="仿宋_GB2312" w:eastAsia="仿宋_GB2312"/>
          <w:sz w:val="28"/>
          <w:szCs w:val="28"/>
        </w:rPr>
        <w:t>%，其中：基本支出</w:t>
      </w:r>
      <w:r>
        <w:rPr>
          <w:rFonts w:hint="eastAsia" w:ascii="仿宋_GB2312" w:eastAsia="仿宋_GB2312"/>
          <w:sz w:val="28"/>
          <w:szCs w:val="28"/>
          <w:lang w:val="en-US" w:eastAsia="zh-CN"/>
        </w:rPr>
        <w:t>526.30</w:t>
      </w:r>
      <w:r>
        <w:rPr>
          <w:rFonts w:hint="eastAsia" w:ascii="仿宋_GB2312" w:eastAsia="仿宋_GB2312"/>
          <w:sz w:val="28"/>
          <w:szCs w:val="28"/>
        </w:rPr>
        <w:t>万元，占支出合计的</w:t>
      </w:r>
      <w:r>
        <w:rPr>
          <w:rFonts w:hint="eastAsia" w:ascii="仿宋_GB2312" w:eastAsia="仿宋_GB2312"/>
          <w:sz w:val="28"/>
          <w:szCs w:val="28"/>
          <w:lang w:val="en-US" w:eastAsia="zh-CN"/>
        </w:rPr>
        <w:t>100</w:t>
      </w:r>
      <w:r>
        <w:rPr>
          <w:rFonts w:hint="eastAsia" w:ascii="仿宋_GB2312" w:eastAsia="仿宋_GB2312"/>
          <w:sz w:val="28"/>
          <w:szCs w:val="28"/>
        </w:rPr>
        <w:t>%；项目支出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526.30</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52.25</w:t>
      </w:r>
      <w:r>
        <w:rPr>
          <w:rFonts w:hint="eastAsia" w:ascii="仿宋_GB2312" w:eastAsia="仿宋_GB2312"/>
          <w:sz w:val="28"/>
          <w:szCs w:val="28"/>
        </w:rPr>
        <w:t>万元，增长</w:t>
      </w:r>
      <w:r>
        <w:rPr>
          <w:rFonts w:hint="eastAsia" w:ascii="仿宋_GB2312" w:eastAsia="仿宋_GB2312"/>
          <w:sz w:val="28"/>
          <w:szCs w:val="28"/>
          <w:lang w:val="en-US" w:eastAsia="zh-CN"/>
        </w:rPr>
        <w:t>11.02</w:t>
      </w:r>
      <w:r>
        <w:rPr>
          <w:rFonts w:hint="eastAsia" w:ascii="仿宋_GB2312" w:eastAsia="仿宋_GB2312"/>
          <w:sz w:val="28"/>
          <w:szCs w:val="28"/>
        </w:rPr>
        <w:t>%。主要原因：人员工资支出</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2019</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526.30</w:t>
      </w:r>
      <w:r>
        <w:rPr>
          <w:rFonts w:hint="eastAsia" w:ascii="仿宋_GB2312" w:eastAsia="仿宋_GB2312"/>
          <w:sz w:val="28"/>
          <w:szCs w:val="28"/>
        </w:rPr>
        <w:t>万元，主要用于以下方面（按大类）：社会保障和就业支出</w:t>
      </w:r>
      <w:r>
        <w:rPr>
          <w:rFonts w:hint="eastAsia" w:ascii="仿宋_GB2312" w:eastAsia="仿宋_GB2312"/>
          <w:sz w:val="28"/>
          <w:szCs w:val="28"/>
          <w:lang w:val="en-US" w:eastAsia="zh-CN"/>
        </w:rPr>
        <w:t>37.67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7.16</w:t>
      </w:r>
      <w:r>
        <w:rPr>
          <w:rFonts w:hint="eastAsia" w:ascii="仿宋_GB2312" w:eastAsia="仿宋_GB2312"/>
          <w:sz w:val="28"/>
          <w:szCs w:val="28"/>
        </w:rPr>
        <w:t>%；</w:t>
      </w:r>
      <w:r>
        <w:rPr>
          <w:rFonts w:hint="eastAsia" w:ascii="仿宋_GB2312" w:eastAsia="仿宋_GB2312"/>
          <w:sz w:val="28"/>
          <w:szCs w:val="28"/>
          <w:lang w:eastAsia="zh-CN"/>
        </w:rPr>
        <w:t>自然资源</w:t>
      </w:r>
      <w:r>
        <w:rPr>
          <w:rFonts w:hint="eastAsia" w:ascii="仿宋_GB2312" w:eastAsia="仿宋_GB2312"/>
          <w:sz w:val="28"/>
          <w:szCs w:val="28"/>
        </w:rPr>
        <w:t>海洋气象等支出</w:t>
      </w:r>
      <w:r>
        <w:rPr>
          <w:rFonts w:hint="eastAsia" w:ascii="仿宋_GB2312" w:eastAsia="仿宋_GB2312"/>
          <w:sz w:val="28"/>
          <w:szCs w:val="28"/>
          <w:lang w:val="en-US" w:eastAsia="zh-CN"/>
        </w:rPr>
        <w:t>412.10</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78.30</w:t>
      </w:r>
      <w:r>
        <w:rPr>
          <w:rFonts w:hint="eastAsia" w:ascii="仿宋_GB2312" w:eastAsia="仿宋_GB2312"/>
          <w:sz w:val="28"/>
          <w:szCs w:val="28"/>
        </w:rPr>
        <w:t>%；住房保障支出</w:t>
      </w:r>
      <w:r>
        <w:rPr>
          <w:rFonts w:hint="eastAsia" w:ascii="仿宋_GB2312" w:eastAsia="仿宋_GB2312"/>
          <w:sz w:val="28"/>
          <w:szCs w:val="28"/>
          <w:lang w:val="en-US" w:eastAsia="zh-CN"/>
        </w:rPr>
        <w:t>76.53</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14.54</w:t>
      </w:r>
      <w:r>
        <w:rPr>
          <w:rFonts w:hint="eastAsia" w:ascii="仿宋_GB2312" w:eastAsia="仿宋_GB2312"/>
          <w:sz w:val="28"/>
          <w:szCs w:val="28"/>
        </w:rPr>
        <w:t>%。</w:t>
      </w:r>
    </w:p>
    <w:p>
      <w:pPr>
        <w:tabs>
          <w:tab w:val="center" w:pos="6979"/>
        </w:tabs>
        <w:spacing w:line="580" w:lineRule="exact"/>
        <w:ind w:firstLine="560" w:firstLineChars="200"/>
        <w:rPr>
          <w:rFonts w:hint="eastAsia" w:ascii="仿宋_GB2312" w:eastAsia="仿宋_GB2312"/>
          <w:sz w:val="28"/>
          <w:szCs w:val="28"/>
        </w:rPr>
      </w:pP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w:t>
      </w:r>
      <w:r>
        <w:rPr>
          <w:rFonts w:ascii="仿宋_GB2312" w:eastAsia="仿宋_GB2312"/>
          <w:sz w:val="28"/>
          <w:szCs w:val="28"/>
        </w:rPr>
        <w:t>9</w:t>
      </w:r>
      <w:r>
        <w:rPr>
          <w:rFonts w:hint="eastAsia" w:ascii="仿宋_GB2312" w:eastAsia="仿宋_GB2312"/>
          <w:sz w:val="28"/>
          <w:szCs w:val="28"/>
        </w:rPr>
        <w:t>年度决算</w:t>
      </w:r>
      <w:r>
        <w:rPr>
          <w:rFonts w:hint="eastAsia" w:ascii="仿宋_GB2312" w:eastAsia="仿宋_GB2312"/>
          <w:sz w:val="28"/>
          <w:szCs w:val="28"/>
          <w:lang w:val="en-US" w:eastAsia="zh-CN"/>
        </w:rPr>
        <w:t>526.30</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w:t>
      </w:r>
      <w:r>
        <w:rPr>
          <w:rFonts w:hint="eastAsia" w:ascii="仿宋_GB2312" w:eastAsia="仿宋_GB2312"/>
          <w:sz w:val="28"/>
          <w:szCs w:val="28"/>
          <w:lang w:val="en-US" w:eastAsia="zh-CN"/>
        </w:rPr>
        <w:t>48.62</w:t>
      </w:r>
      <w:r>
        <w:rPr>
          <w:rFonts w:hint="eastAsia" w:ascii="仿宋_GB2312" w:eastAsia="仿宋_GB2312"/>
          <w:sz w:val="28"/>
          <w:szCs w:val="28"/>
        </w:rPr>
        <w:t>万元，增长</w:t>
      </w:r>
      <w:r>
        <w:rPr>
          <w:rFonts w:hint="eastAsia" w:ascii="仿宋_GB2312" w:eastAsia="仿宋_GB2312"/>
          <w:sz w:val="28"/>
          <w:szCs w:val="28"/>
          <w:lang w:val="en-US" w:eastAsia="zh-CN"/>
        </w:rPr>
        <w:t>10.18</w:t>
      </w:r>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“教育支出”（款，下同）201</w:t>
      </w:r>
      <w:r>
        <w:rPr>
          <w:rFonts w:hint="eastAsia" w:ascii="仿宋_GB2312" w:eastAsia="仿宋_GB2312"/>
          <w:sz w:val="28"/>
          <w:szCs w:val="28"/>
          <w:lang w:val="en-US" w:eastAsia="zh-CN"/>
        </w:rPr>
        <w:t>9</w:t>
      </w:r>
      <w:r>
        <w:rPr>
          <w:rFonts w:hint="eastAsia" w:ascii="仿宋_GB2312" w:eastAsia="仿宋_GB2312"/>
          <w:sz w:val="28"/>
          <w:szCs w:val="28"/>
        </w:rPr>
        <w:t>年度决算</w:t>
      </w:r>
      <w:r>
        <w:rPr>
          <w:rFonts w:hint="eastAsia" w:ascii="仿宋_GB2312" w:eastAsia="仿宋_GB2312"/>
          <w:sz w:val="28"/>
          <w:szCs w:val="28"/>
          <w:lang w:val="en-US" w:eastAsia="zh-CN"/>
        </w:rPr>
        <w:t>0</w:t>
      </w:r>
      <w:r>
        <w:rPr>
          <w:rFonts w:hint="eastAsia" w:ascii="仿宋_GB2312" w:eastAsia="仿宋_GB2312"/>
          <w:sz w:val="28"/>
          <w:szCs w:val="28"/>
        </w:rPr>
        <w:t>万元，比201</w:t>
      </w:r>
      <w:r>
        <w:rPr>
          <w:rFonts w:hint="eastAsia" w:ascii="仿宋_GB2312" w:eastAsia="仿宋_GB2312"/>
          <w:sz w:val="28"/>
          <w:szCs w:val="28"/>
          <w:lang w:val="en-US" w:eastAsia="zh-CN"/>
        </w:rPr>
        <w:t>9</w:t>
      </w:r>
      <w:r>
        <w:rPr>
          <w:rFonts w:hint="eastAsia" w:ascii="仿宋_GB2312" w:eastAsia="仿宋_GB2312"/>
          <w:sz w:val="28"/>
          <w:szCs w:val="28"/>
        </w:rPr>
        <w:t>年年初预算下降0.</w:t>
      </w:r>
      <w:r>
        <w:rPr>
          <w:rFonts w:hint="eastAsia" w:ascii="仿宋_GB2312" w:eastAsia="仿宋_GB2312"/>
          <w:sz w:val="28"/>
          <w:szCs w:val="28"/>
          <w:lang w:val="en-US" w:eastAsia="zh-CN"/>
        </w:rPr>
        <w:t>9</w:t>
      </w:r>
      <w:r>
        <w:rPr>
          <w:rFonts w:hint="eastAsia" w:ascii="仿宋_GB2312" w:eastAsia="仿宋_GB2312"/>
          <w:sz w:val="28"/>
          <w:szCs w:val="28"/>
        </w:rPr>
        <w:t>万元，下降100%。主要原因：没有培训支出。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“社会保障和就业支出”（款，下同）201</w:t>
      </w:r>
      <w:r>
        <w:rPr>
          <w:rFonts w:hint="eastAsia" w:ascii="仿宋_GB2312" w:eastAsia="仿宋_GB2312"/>
          <w:sz w:val="28"/>
          <w:szCs w:val="28"/>
          <w:lang w:val="en-US" w:eastAsia="zh-CN"/>
        </w:rPr>
        <w:t>9</w:t>
      </w:r>
      <w:r>
        <w:rPr>
          <w:rFonts w:hint="eastAsia" w:ascii="仿宋_GB2312" w:eastAsia="仿宋_GB2312"/>
          <w:sz w:val="28"/>
          <w:szCs w:val="28"/>
        </w:rPr>
        <w:t>年度决算</w:t>
      </w:r>
      <w:r>
        <w:rPr>
          <w:rFonts w:hint="eastAsia" w:ascii="仿宋_GB2312" w:eastAsia="仿宋_GB2312"/>
          <w:sz w:val="28"/>
          <w:szCs w:val="28"/>
          <w:lang w:val="en-US" w:eastAsia="zh-CN"/>
        </w:rPr>
        <w:t>37.67</w:t>
      </w:r>
      <w:r>
        <w:rPr>
          <w:rFonts w:hint="eastAsia" w:ascii="仿宋_GB2312" w:eastAsia="仿宋_GB2312"/>
          <w:sz w:val="28"/>
          <w:szCs w:val="28"/>
        </w:rPr>
        <w:t>万元，比201</w:t>
      </w:r>
      <w:r>
        <w:rPr>
          <w:rFonts w:hint="eastAsia" w:ascii="仿宋_GB2312" w:eastAsia="仿宋_GB2312"/>
          <w:sz w:val="28"/>
          <w:szCs w:val="28"/>
          <w:lang w:val="en-US" w:eastAsia="zh-CN"/>
        </w:rPr>
        <w:t>9</w:t>
      </w:r>
      <w:r>
        <w:rPr>
          <w:rFonts w:hint="eastAsia" w:ascii="仿宋_GB2312" w:eastAsia="仿宋_GB2312"/>
          <w:sz w:val="28"/>
          <w:szCs w:val="28"/>
        </w:rPr>
        <w:t>年年初预算</w:t>
      </w:r>
      <w:r>
        <w:rPr>
          <w:rFonts w:hint="eastAsia" w:ascii="仿宋_GB2312" w:eastAsia="仿宋_GB2312"/>
          <w:sz w:val="28"/>
          <w:szCs w:val="28"/>
          <w:lang w:eastAsia="zh-CN"/>
        </w:rPr>
        <w:t>下降</w:t>
      </w:r>
      <w:r>
        <w:rPr>
          <w:rFonts w:hint="eastAsia" w:ascii="仿宋_GB2312" w:eastAsia="仿宋_GB2312"/>
          <w:sz w:val="28"/>
          <w:szCs w:val="28"/>
          <w:lang w:val="en-US" w:eastAsia="zh-CN"/>
        </w:rPr>
        <w:t>3.96</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9.51</w:t>
      </w:r>
      <w:r>
        <w:rPr>
          <w:rFonts w:hint="eastAsia" w:ascii="仿宋_GB2312" w:eastAsia="仿宋_GB2312"/>
          <w:sz w:val="28"/>
          <w:szCs w:val="28"/>
        </w:rPr>
        <w:t>%。主要原因：养老保险</w:t>
      </w:r>
      <w:r>
        <w:rPr>
          <w:rFonts w:hint="eastAsia" w:ascii="仿宋_GB2312" w:eastAsia="仿宋_GB2312"/>
          <w:sz w:val="28"/>
          <w:szCs w:val="28"/>
          <w:lang w:eastAsia="zh-CN"/>
        </w:rPr>
        <w:t>按要求比例上交</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自然资源</w:t>
      </w:r>
      <w:r>
        <w:rPr>
          <w:rFonts w:hint="eastAsia" w:ascii="仿宋_GB2312" w:eastAsia="仿宋_GB2312"/>
          <w:sz w:val="28"/>
          <w:szCs w:val="28"/>
        </w:rPr>
        <w:t>海洋气象等支出” （款，下同）201</w:t>
      </w:r>
      <w:r>
        <w:rPr>
          <w:rFonts w:hint="eastAsia" w:ascii="仿宋_GB2312" w:eastAsia="仿宋_GB2312"/>
          <w:sz w:val="28"/>
          <w:szCs w:val="28"/>
          <w:lang w:val="en-US" w:eastAsia="zh-CN"/>
        </w:rPr>
        <w:t>9</w:t>
      </w:r>
      <w:r>
        <w:rPr>
          <w:rFonts w:hint="eastAsia" w:ascii="仿宋_GB2312" w:eastAsia="仿宋_GB2312"/>
          <w:sz w:val="28"/>
          <w:szCs w:val="28"/>
        </w:rPr>
        <w:t>年度决算</w:t>
      </w:r>
      <w:r>
        <w:rPr>
          <w:rFonts w:hint="eastAsia" w:ascii="仿宋_GB2312" w:eastAsia="仿宋_GB2312"/>
          <w:sz w:val="28"/>
          <w:szCs w:val="28"/>
          <w:lang w:val="en-US" w:eastAsia="zh-CN"/>
        </w:rPr>
        <w:t>412.10</w:t>
      </w:r>
      <w:r>
        <w:rPr>
          <w:rFonts w:hint="eastAsia" w:ascii="仿宋_GB2312" w:eastAsia="仿宋_GB2312"/>
          <w:sz w:val="28"/>
          <w:szCs w:val="28"/>
        </w:rPr>
        <w:t>万元，比201</w:t>
      </w:r>
      <w:r>
        <w:rPr>
          <w:rFonts w:hint="eastAsia" w:ascii="仿宋_GB2312" w:eastAsia="仿宋_GB2312"/>
          <w:sz w:val="28"/>
          <w:szCs w:val="28"/>
          <w:lang w:val="en-US" w:eastAsia="zh-CN"/>
        </w:rPr>
        <w:t>9</w:t>
      </w:r>
      <w:r>
        <w:rPr>
          <w:rFonts w:hint="eastAsia" w:ascii="仿宋_GB2312" w:eastAsia="仿宋_GB2312"/>
          <w:sz w:val="28"/>
          <w:szCs w:val="28"/>
        </w:rPr>
        <w:t>年年初预算增加</w:t>
      </w:r>
      <w:r>
        <w:rPr>
          <w:rFonts w:hint="eastAsia" w:ascii="仿宋_GB2312" w:eastAsia="仿宋_GB2312"/>
          <w:sz w:val="28"/>
          <w:szCs w:val="28"/>
          <w:lang w:val="en-US" w:eastAsia="zh-CN"/>
        </w:rPr>
        <w:t>45.89</w:t>
      </w:r>
      <w:r>
        <w:rPr>
          <w:rFonts w:hint="eastAsia" w:ascii="仿宋_GB2312" w:eastAsia="仿宋_GB2312"/>
          <w:sz w:val="28"/>
          <w:szCs w:val="28"/>
        </w:rPr>
        <w:t>万元，增长</w:t>
      </w:r>
      <w:r>
        <w:rPr>
          <w:rFonts w:hint="eastAsia" w:ascii="仿宋_GB2312" w:eastAsia="仿宋_GB2312"/>
          <w:sz w:val="28"/>
          <w:szCs w:val="28"/>
          <w:lang w:val="en-US" w:eastAsia="zh-CN"/>
        </w:rPr>
        <w:t>12.53</w:t>
      </w:r>
      <w:r>
        <w:rPr>
          <w:rFonts w:hint="eastAsia" w:ascii="仿宋_GB2312" w:eastAsia="仿宋_GB2312"/>
          <w:sz w:val="28"/>
          <w:szCs w:val="28"/>
        </w:rPr>
        <w:t>%。主要原因：人员工资支出。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“住房保障支出”（款，下同）201</w:t>
      </w:r>
      <w:r>
        <w:rPr>
          <w:rFonts w:hint="eastAsia" w:ascii="仿宋_GB2312" w:eastAsia="仿宋_GB2312"/>
          <w:sz w:val="28"/>
          <w:szCs w:val="28"/>
          <w:lang w:val="en-US" w:eastAsia="zh-CN"/>
        </w:rPr>
        <w:t>9</w:t>
      </w:r>
      <w:r>
        <w:rPr>
          <w:rFonts w:hint="eastAsia" w:ascii="仿宋_GB2312" w:eastAsia="仿宋_GB2312"/>
          <w:sz w:val="28"/>
          <w:szCs w:val="28"/>
        </w:rPr>
        <w:t>年度决算</w:t>
      </w:r>
      <w:r>
        <w:rPr>
          <w:rFonts w:hint="eastAsia" w:ascii="仿宋_GB2312" w:eastAsia="仿宋_GB2312"/>
          <w:sz w:val="28"/>
          <w:szCs w:val="28"/>
          <w:lang w:val="en-US" w:eastAsia="zh-CN"/>
        </w:rPr>
        <w:t>76.53</w:t>
      </w:r>
      <w:r>
        <w:rPr>
          <w:rFonts w:hint="eastAsia" w:ascii="仿宋_GB2312" w:eastAsia="仿宋_GB2312"/>
          <w:sz w:val="28"/>
          <w:szCs w:val="28"/>
        </w:rPr>
        <w:t>万元，比201</w:t>
      </w:r>
      <w:r>
        <w:rPr>
          <w:rFonts w:hint="eastAsia" w:ascii="仿宋_GB2312" w:eastAsia="仿宋_GB2312"/>
          <w:sz w:val="28"/>
          <w:szCs w:val="28"/>
          <w:lang w:val="en-US" w:eastAsia="zh-CN"/>
        </w:rPr>
        <w:t>9</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7.59</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11</w:t>
      </w:r>
      <w:r>
        <w:rPr>
          <w:rFonts w:hint="eastAsia" w:ascii="仿宋_GB2312" w:eastAsia="仿宋_GB2312"/>
          <w:sz w:val="28"/>
          <w:szCs w:val="28"/>
        </w:rPr>
        <w:t>%。主要原因：人员变动</w:t>
      </w:r>
      <w:r>
        <w:rPr>
          <w:rFonts w:hint="eastAsia" w:ascii="仿宋_GB2312" w:eastAsia="仿宋_GB2312"/>
          <w:sz w:val="28"/>
          <w:szCs w:val="28"/>
          <w:lang w:eastAsia="zh-CN"/>
        </w:rPr>
        <w:t>及补发上年度差额部分</w:t>
      </w:r>
      <w:r>
        <w:rPr>
          <w:rFonts w:hint="eastAsia" w:ascii="仿宋_GB2312" w:eastAsia="仿宋_GB2312"/>
          <w:sz w:val="28"/>
          <w:szCs w:val="28"/>
        </w:rPr>
        <w:t>。</w:t>
      </w:r>
    </w:p>
    <w:p>
      <w:pPr>
        <w:numPr>
          <w:ilvl w:val="0"/>
          <w:numId w:val="1"/>
        </w:numPr>
        <w:spacing w:line="580" w:lineRule="exact"/>
        <w:ind w:firstLine="560" w:firstLineChars="200"/>
        <w:rPr>
          <w:rFonts w:hint="eastAsia" w:ascii="黑体" w:eastAsia="黑体"/>
          <w:b/>
          <w:sz w:val="28"/>
          <w:szCs w:val="28"/>
        </w:rPr>
      </w:pPr>
      <w:r>
        <w:rPr>
          <w:rFonts w:hint="eastAsia" w:ascii="黑体" w:eastAsia="黑体"/>
          <w:b/>
          <w:sz w:val="28"/>
          <w:szCs w:val="28"/>
        </w:rPr>
        <w:t>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lang w:eastAsia="zh-CN"/>
        </w:rPr>
        <w:t>无此项内容</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年本部门使用一般公共预算财政拨款安排基本支出</w:t>
      </w:r>
      <w:r>
        <w:rPr>
          <w:rFonts w:hint="eastAsia" w:ascii="仿宋_GB2312" w:eastAsia="仿宋_GB2312"/>
          <w:sz w:val="28"/>
          <w:szCs w:val="28"/>
          <w:lang w:val="en-US" w:eastAsia="zh-CN"/>
        </w:rPr>
        <w:t>526.30</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lang w:val="en-US" w:eastAsia="zh-CN"/>
        </w:rPr>
        <w:t>0</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1</w:t>
      </w:r>
      <w:r>
        <w:rPr>
          <w:rFonts w:hint="eastAsia" w:ascii="仿宋_GB2312" w:eastAsia="仿宋_GB2312"/>
          <w:bCs/>
          <w:sz w:val="28"/>
          <w:szCs w:val="28"/>
        </w:rPr>
        <w:t>个</w:t>
      </w:r>
      <w:r>
        <w:rPr>
          <w:rFonts w:hint="eastAsia" w:ascii="仿宋_GB2312" w:eastAsia="仿宋_GB2312"/>
          <w:sz w:val="28"/>
          <w:szCs w:val="28"/>
        </w:rPr>
        <w:t>事业单位。201</w:t>
      </w:r>
      <w:r>
        <w:rPr>
          <w:rFonts w:ascii="仿宋_GB2312" w:eastAsia="仿宋_GB2312"/>
          <w:sz w:val="28"/>
          <w:szCs w:val="28"/>
        </w:rPr>
        <w:t>9</w:t>
      </w:r>
      <w:r>
        <w:rPr>
          <w:rFonts w:hint="eastAsia" w:ascii="仿宋_GB2312" w:eastAsia="仿宋_GB2312"/>
          <w:sz w:val="28"/>
          <w:szCs w:val="28"/>
        </w:rPr>
        <w:t>年“三公”经费财政拨款决算数</w:t>
      </w:r>
      <w:r>
        <w:rPr>
          <w:rFonts w:hint="eastAsia" w:ascii="仿宋_GB2312" w:eastAsia="仿宋_GB2312"/>
          <w:sz w:val="28"/>
          <w:szCs w:val="28"/>
          <w:lang w:val="en-US" w:eastAsia="zh-CN"/>
        </w:rPr>
        <w:t>0.1</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年“三公”经费财政拨款年初预算</w:t>
      </w:r>
      <w:r>
        <w:rPr>
          <w:rFonts w:hint="eastAsia" w:ascii="仿宋_GB2312" w:eastAsia="仿宋_GB2312"/>
          <w:sz w:val="28"/>
          <w:szCs w:val="28"/>
          <w:lang w:val="en-US" w:eastAsia="zh-CN"/>
        </w:rPr>
        <w:t>0.1</w:t>
      </w:r>
      <w:r>
        <w:rPr>
          <w:rFonts w:hint="eastAsia" w:ascii="仿宋_GB2312" w:eastAsia="仿宋_GB2312"/>
          <w:sz w:val="28"/>
          <w:szCs w:val="28"/>
        </w:rPr>
        <w:t>万元增加（减少）</w:t>
      </w:r>
      <w:r>
        <w:rPr>
          <w:rFonts w:hint="eastAsia" w:ascii="仿宋_GB2312" w:eastAsia="仿宋_GB2312"/>
          <w:sz w:val="28"/>
          <w:szCs w:val="28"/>
          <w:lang w:val="en-US" w:eastAsia="zh-CN"/>
        </w:rPr>
        <w:t>0.1</w:t>
      </w:r>
      <w:r>
        <w:rPr>
          <w:rFonts w:hint="eastAsia" w:ascii="仿宋_GB2312" w:eastAsia="仿宋_GB2312"/>
          <w:sz w:val="28"/>
          <w:szCs w:val="28"/>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1.因公出国（境）费用。201</w:t>
      </w:r>
      <w:r>
        <w:rPr>
          <w:rFonts w:ascii="仿宋_GB2312" w:eastAsia="仿宋_GB2312"/>
          <w:sz w:val="28"/>
          <w:szCs w:val="28"/>
        </w:rPr>
        <w:t>9</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年年初预算数0万元增加</w:t>
      </w:r>
      <w:r>
        <w:rPr>
          <w:rFonts w:hint="eastAsia" w:ascii="仿宋_GB2312" w:eastAsia="仿宋_GB2312"/>
          <w:sz w:val="28"/>
          <w:szCs w:val="28"/>
          <w:lang w:val="en-US" w:eastAsia="zh-CN"/>
        </w:rPr>
        <w:t>0</w:t>
      </w:r>
      <w:r>
        <w:rPr>
          <w:rFonts w:hint="eastAsia" w:ascii="仿宋_GB2312" w:eastAsia="仿宋_GB2312"/>
          <w:sz w:val="28"/>
          <w:szCs w:val="28"/>
        </w:rPr>
        <w:t>万元。主要原因：按照我区出国经费管理办法，因公出国（境）费用的年初预算数均为0；201</w:t>
      </w:r>
      <w:r>
        <w:rPr>
          <w:rFonts w:ascii="仿宋_GB2312" w:eastAsia="仿宋_GB2312"/>
          <w:sz w:val="28"/>
          <w:szCs w:val="28"/>
        </w:rPr>
        <w:t>9</w:t>
      </w:r>
      <w:r>
        <w:rPr>
          <w:rFonts w:hint="eastAsia" w:ascii="仿宋_GB2312" w:eastAsia="仿宋_GB2312"/>
          <w:sz w:val="28"/>
          <w:szCs w:val="28"/>
        </w:rPr>
        <w:t>年因公出国（境）费用主要用于……等方面（需列示主要出国的会议、培训等事项），201</w:t>
      </w:r>
      <w:r>
        <w:rPr>
          <w:rFonts w:ascii="仿宋_GB2312" w:eastAsia="仿宋_GB2312"/>
          <w:sz w:val="28"/>
          <w:szCs w:val="28"/>
        </w:rPr>
        <w:t>9</w:t>
      </w:r>
      <w:r>
        <w:rPr>
          <w:rFonts w:hint="eastAsia" w:ascii="仿宋_GB2312" w:eastAsia="仿宋_GB2312"/>
          <w:sz w:val="28"/>
          <w:szCs w:val="28"/>
        </w:rPr>
        <w:t>年组织因公出国（境）团组</w:t>
      </w:r>
      <w:r>
        <w:rPr>
          <w:rFonts w:hint="eastAsia" w:ascii="仿宋_GB2312" w:eastAsia="仿宋_GB2312"/>
          <w:sz w:val="28"/>
          <w:szCs w:val="28"/>
          <w:lang w:val="en-US" w:eastAsia="zh-CN"/>
        </w:rPr>
        <w:t>0</w:t>
      </w:r>
      <w:r>
        <w:rPr>
          <w:rFonts w:hint="eastAsia" w:ascii="仿宋_GB2312" w:eastAsia="仿宋_GB2312"/>
          <w:sz w:val="28"/>
          <w:szCs w:val="28"/>
        </w:rPr>
        <w:t>个、</w:t>
      </w:r>
      <w:r>
        <w:rPr>
          <w:rFonts w:hint="eastAsia" w:ascii="仿宋_GB2312" w:eastAsia="仿宋_GB2312"/>
          <w:sz w:val="28"/>
          <w:szCs w:val="28"/>
          <w:lang w:val="en-US" w:eastAsia="zh-CN"/>
        </w:rPr>
        <w:t>0</w:t>
      </w:r>
      <w:r>
        <w:rPr>
          <w:rFonts w:hint="eastAsia" w:ascii="仿宋_GB2312" w:eastAsia="仿宋_GB2312"/>
          <w:sz w:val="28"/>
          <w:szCs w:val="28"/>
        </w:rPr>
        <w:t>人次，人均因公出国（境）费用</w:t>
      </w:r>
      <w:r>
        <w:rPr>
          <w:rFonts w:hint="eastAsia" w:ascii="仿宋_GB2312" w:eastAsia="仿宋_GB2312"/>
          <w:sz w:val="28"/>
          <w:szCs w:val="28"/>
          <w:lang w:val="en-US" w:eastAsia="zh-CN"/>
        </w:rPr>
        <w:t>0</w:t>
      </w:r>
      <w:r>
        <w:rPr>
          <w:rFonts w:hint="eastAsia" w:ascii="仿宋_GB2312" w:eastAsia="仿宋_GB2312"/>
          <w:sz w:val="28"/>
          <w:szCs w:val="28"/>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ind w:right="238" w:firstLine="560" w:firstLineChars="200"/>
        <w:textAlignment w:val="auto"/>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2.公务接待费。2019年决算数0万元，比2019年年初预算数0.1万元减少0.1万元。主要原因：未发生公务接待费用。2018年公务接待费无。公务接待0批次，公务接待0人次。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p>
    <w:p>
      <w:pPr>
        <w:spacing w:line="560" w:lineRule="exact"/>
        <w:ind w:firstLine="600"/>
        <w:rPr>
          <w:rFonts w:hint="eastAsia" w:ascii="仿宋_GB2312" w:eastAsia="仿宋_GB2312"/>
          <w:sz w:val="28"/>
          <w:szCs w:val="28"/>
        </w:rPr>
      </w:pPr>
      <w:r>
        <w:rPr>
          <w:rFonts w:hint="eastAsia" w:ascii="仿宋_GB2312" w:eastAsia="仿宋_GB2312"/>
          <w:sz w:val="28"/>
          <w:szCs w:val="28"/>
        </w:rPr>
        <w:t>3.公务用车购置及运行维护费。201</w:t>
      </w:r>
      <w:r>
        <w:rPr>
          <w:rFonts w:hint="eastAsia" w:ascii="仿宋_GB2312" w:eastAsia="仿宋_GB2312"/>
          <w:sz w:val="28"/>
          <w:szCs w:val="28"/>
          <w:lang w:val="en-US" w:eastAsia="zh-CN"/>
        </w:rPr>
        <w:t>9</w:t>
      </w:r>
      <w:r>
        <w:rPr>
          <w:rFonts w:hint="eastAsia" w:ascii="仿宋_GB2312" w:eastAsia="仿宋_GB2312"/>
          <w:sz w:val="28"/>
          <w:szCs w:val="28"/>
        </w:rPr>
        <w:t>年决算数0万元，比201</w:t>
      </w:r>
      <w:r>
        <w:rPr>
          <w:rFonts w:hint="eastAsia" w:ascii="仿宋_GB2312" w:eastAsia="仿宋_GB2312"/>
          <w:sz w:val="28"/>
          <w:szCs w:val="28"/>
          <w:lang w:val="en-US" w:eastAsia="zh-CN"/>
        </w:rPr>
        <w:t>9</w:t>
      </w:r>
      <w:r>
        <w:rPr>
          <w:rFonts w:hint="eastAsia" w:ascii="仿宋_GB2312" w:eastAsia="仿宋_GB2312"/>
          <w:sz w:val="28"/>
          <w:szCs w:val="28"/>
        </w:rPr>
        <w:t>年年初预算数0万元增加（减少）0万元。其中，公务用车购置费20</w:t>
      </w:r>
      <w:r>
        <w:rPr>
          <w:rFonts w:hint="eastAsia" w:ascii="仿宋_GB2312" w:eastAsia="仿宋_GB2312"/>
          <w:sz w:val="28"/>
          <w:szCs w:val="28"/>
          <w:lang w:val="en-US" w:eastAsia="zh-CN"/>
        </w:rPr>
        <w:t>19</w:t>
      </w:r>
      <w:r>
        <w:rPr>
          <w:rFonts w:hint="eastAsia" w:ascii="仿宋_GB2312" w:eastAsia="仿宋_GB2312"/>
          <w:sz w:val="28"/>
          <w:szCs w:val="28"/>
        </w:rPr>
        <w:t>年决算数0万元，比201</w:t>
      </w:r>
      <w:r>
        <w:rPr>
          <w:rFonts w:hint="eastAsia" w:ascii="仿宋_GB2312" w:eastAsia="仿宋_GB2312"/>
          <w:sz w:val="28"/>
          <w:szCs w:val="28"/>
          <w:lang w:val="en-US" w:eastAsia="zh-CN"/>
        </w:rPr>
        <w:t>9</w:t>
      </w:r>
      <w:r>
        <w:rPr>
          <w:rFonts w:hint="eastAsia" w:ascii="仿宋_GB2312" w:eastAsia="仿宋_GB2312"/>
          <w:sz w:val="28"/>
          <w:szCs w:val="28"/>
        </w:rPr>
        <w:t>年年初预算数0万元增加（减少）0万元。201</w:t>
      </w:r>
      <w:r>
        <w:rPr>
          <w:rFonts w:hint="eastAsia" w:ascii="仿宋_GB2312" w:eastAsia="仿宋_GB2312"/>
          <w:sz w:val="28"/>
          <w:szCs w:val="28"/>
          <w:lang w:val="en-US" w:eastAsia="zh-CN"/>
        </w:rPr>
        <w:t>9</w:t>
      </w:r>
      <w:r>
        <w:rPr>
          <w:rFonts w:hint="eastAsia" w:ascii="仿宋_GB2312" w:eastAsia="仿宋_GB2312"/>
          <w:sz w:val="28"/>
          <w:szCs w:val="28"/>
        </w:rPr>
        <w:t>年购置（更新）0辆，车均购置费0万元。公务用车运行维护费201</w:t>
      </w:r>
      <w:r>
        <w:rPr>
          <w:rFonts w:hint="eastAsia" w:ascii="仿宋_GB2312" w:eastAsia="仿宋_GB2312"/>
          <w:sz w:val="28"/>
          <w:szCs w:val="28"/>
          <w:lang w:val="en-US" w:eastAsia="zh-CN"/>
        </w:rPr>
        <w:t>9</w:t>
      </w:r>
      <w:r>
        <w:rPr>
          <w:rFonts w:hint="eastAsia" w:ascii="仿宋_GB2312" w:eastAsia="仿宋_GB2312"/>
          <w:sz w:val="28"/>
          <w:szCs w:val="28"/>
        </w:rPr>
        <w:t>年决算数0万元，比201</w:t>
      </w:r>
      <w:r>
        <w:rPr>
          <w:rFonts w:hint="eastAsia" w:ascii="仿宋_GB2312" w:eastAsia="仿宋_GB2312"/>
          <w:sz w:val="28"/>
          <w:szCs w:val="28"/>
          <w:lang w:val="en-US" w:eastAsia="zh-CN"/>
        </w:rPr>
        <w:t>9</w:t>
      </w:r>
      <w:r>
        <w:rPr>
          <w:rFonts w:hint="eastAsia" w:ascii="仿宋_GB2312" w:eastAsia="仿宋_GB2312"/>
          <w:sz w:val="28"/>
          <w:szCs w:val="28"/>
        </w:rPr>
        <w:t>年年初预算数0万元增加（减少）0万元，201</w:t>
      </w:r>
      <w:r>
        <w:rPr>
          <w:rFonts w:hint="eastAsia" w:ascii="仿宋_GB2312" w:eastAsia="仿宋_GB2312"/>
          <w:sz w:val="28"/>
          <w:szCs w:val="28"/>
          <w:lang w:val="en-US" w:eastAsia="zh-CN"/>
        </w:rPr>
        <w:t>9</w:t>
      </w:r>
      <w:r>
        <w:rPr>
          <w:rFonts w:hint="eastAsia" w:ascii="仿宋_GB2312" w:eastAsia="仿宋_GB2312"/>
          <w:sz w:val="28"/>
          <w:szCs w:val="28"/>
        </w:rPr>
        <w:t>年公务用车运行维护费中，公务用车加油0万元，公务用车维修0万元，公务用车保险0万元，公务用车其他支出0万元。201</w:t>
      </w:r>
      <w:r>
        <w:rPr>
          <w:rFonts w:hint="eastAsia" w:ascii="仿宋_GB2312" w:eastAsia="仿宋_GB2312"/>
          <w:sz w:val="28"/>
          <w:szCs w:val="28"/>
          <w:lang w:val="en-US" w:eastAsia="zh-CN"/>
        </w:rPr>
        <w:t>9</w:t>
      </w:r>
      <w:r>
        <w:rPr>
          <w:rFonts w:hint="eastAsia" w:ascii="仿宋_GB2312" w:eastAsia="仿宋_GB2312"/>
          <w:sz w:val="28"/>
          <w:szCs w:val="28"/>
        </w:rPr>
        <w:t>年公务用车保有量0辆，车均运行维护费0万元。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pStyle w:val="7"/>
        <w:keepNext w:val="0"/>
        <w:keepLines w:val="0"/>
        <w:pageBreakBefore w:val="0"/>
        <w:widowControl w:val="0"/>
        <w:shd w:val="clear" w:color="auto" w:fill="FFFFFF"/>
        <w:kinsoku/>
        <w:wordWrap/>
        <w:overflowPunct/>
        <w:topLinePunct w:val="0"/>
        <w:autoSpaceDE/>
        <w:autoSpaceDN/>
        <w:bidi w:val="0"/>
        <w:adjustRightInd/>
        <w:snapToGrid/>
        <w:ind w:right="238" w:firstLine="560" w:firstLineChars="200"/>
        <w:textAlignment w:val="auto"/>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本部门不属于行政单位和参照公务员管理的事业单位。</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年本部门政府采购支出总额</w:t>
      </w:r>
      <w:r>
        <w:rPr>
          <w:rFonts w:hint="eastAsia" w:ascii="仿宋_GB2312" w:eastAsia="仿宋_GB2312"/>
          <w:sz w:val="28"/>
          <w:szCs w:val="28"/>
          <w:lang w:val="en-US" w:eastAsia="zh-CN"/>
        </w:rPr>
        <w:t>0</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ascii="仿宋_GB2312" w:eastAsia="仿宋_GB2312"/>
          <w:sz w:val="28"/>
          <w:szCs w:val="28"/>
        </w:rPr>
        <w:t>X</w:t>
      </w:r>
      <w:r>
        <w:rPr>
          <w:rFonts w:hint="eastAsia" w:ascii="仿宋_GB2312" w:eastAsia="仿宋_GB2312"/>
          <w:sz w:val="28"/>
          <w:szCs w:val="28"/>
        </w:rPr>
        <w:t>万元，政府采购服务支出</w:t>
      </w:r>
      <w:r>
        <w:rPr>
          <w:rFonts w:hint="eastAsia" w:ascii="仿宋_GB2312" w:eastAsia="仿宋_GB2312"/>
          <w:sz w:val="28"/>
          <w:szCs w:val="28"/>
          <w:lang w:val="en-US" w:eastAsia="zh-CN"/>
        </w:rPr>
        <w:t>0</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w:t>
      </w:r>
      <w:r>
        <w:rPr>
          <w:rFonts w:ascii="仿宋_GB2312" w:eastAsia="仿宋_GB2312"/>
          <w:sz w:val="28"/>
          <w:szCs w:val="28"/>
        </w:rPr>
        <w:t>019</w:t>
      </w:r>
      <w:r>
        <w:rPr>
          <w:rFonts w:hint="eastAsia" w:ascii="仿宋_GB2312" w:eastAsia="仿宋_GB2312"/>
          <w:sz w:val="28"/>
          <w:szCs w:val="28"/>
        </w:rPr>
        <w:t>年本部门车辆</w:t>
      </w:r>
      <w:r>
        <w:rPr>
          <w:rFonts w:hint="eastAsia" w:ascii="仿宋_GB2312" w:eastAsia="仿宋_GB2312"/>
          <w:sz w:val="28"/>
          <w:szCs w:val="28"/>
          <w:lang w:val="en-US" w:eastAsia="zh-CN"/>
        </w:rPr>
        <w:t>0</w:t>
      </w:r>
      <w:r>
        <w:rPr>
          <w:rFonts w:hint="eastAsia" w:ascii="仿宋_GB2312" w:eastAsia="仿宋_GB2312"/>
          <w:sz w:val="28"/>
          <w:szCs w:val="28"/>
        </w:rPr>
        <w:t>台，</w:t>
      </w:r>
      <w:r>
        <w:rPr>
          <w:rFonts w:hint="eastAsia" w:ascii="仿宋_GB2312" w:eastAsia="仿宋_GB2312"/>
          <w:sz w:val="28"/>
          <w:szCs w:val="28"/>
          <w:lang w:val="en-US" w:eastAsia="zh-CN"/>
        </w:rPr>
        <w:t>0</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0</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ind w:firstLine="537" w:firstLineChars="192"/>
        <w:rPr>
          <w:rFonts w:hint="eastAsia" w:ascii="仿宋_GB2312" w:eastAsia="仿宋_GB2312"/>
          <w:sz w:val="28"/>
          <w:szCs w:val="28"/>
          <w:lang w:eastAsia="zh-CN"/>
        </w:rPr>
      </w:pPr>
      <w:r>
        <w:rPr>
          <w:rFonts w:hint="eastAsia" w:ascii="仿宋_GB2312" w:eastAsia="仿宋_GB2312"/>
          <w:sz w:val="28"/>
          <w:szCs w:val="28"/>
          <w:lang w:eastAsia="zh-CN"/>
        </w:rPr>
        <w:t>无此项内容</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2019</w:t>
      </w:r>
      <w:r>
        <w:rPr>
          <w:rFonts w:hint="eastAsia" w:ascii="仿宋_GB2312" w:eastAsia="仿宋_GB2312"/>
          <w:sz w:val="28"/>
          <w:szCs w:val="28"/>
        </w:rPr>
        <w:t>年</w:t>
      </w:r>
      <w:r>
        <w:rPr>
          <w:rFonts w:ascii="仿宋_GB2312" w:eastAsia="仿宋_GB2312"/>
          <w:sz w:val="28"/>
          <w:szCs w:val="28"/>
        </w:rPr>
        <w:t>本部门政府购买服务决算</w:t>
      </w:r>
      <w:r>
        <w:rPr>
          <w:rFonts w:hint="eastAsia" w:ascii="仿宋_GB2312" w:eastAsia="仿宋_GB2312"/>
          <w:sz w:val="28"/>
          <w:szCs w:val="28"/>
          <w:lang w:val="en-US" w:eastAsia="zh-CN"/>
        </w:rPr>
        <w:t>0</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eastAsia="仿宋_GB2312"/>
          <w:sz w:val="28"/>
          <w:szCs w:val="28"/>
        </w:rPr>
      </w:pPr>
      <w:r>
        <w:rPr>
          <w:rFonts w:hint="eastAsia" w:ascii="仿宋_GB2312" w:eastAsia="仿宋_GB2312"/>
          <w:sz w:val="28"/>
          <w:szCs w:val="28"/>
        </w:rPr>
        <w:t>5.调整预算数：指填列经调整后的全年预算数，包括年初预算数和预算调整调减数。</w:t>
      </w:r>
    </w:p>
    <w:p>
      <w:pPr>
        <w:ind w:firstLine="420" w:firstLineChars="150"/>
        <w:rPr>
          <w:rFonts w:hint="eastAsia" w:ascii="仿宋_GB2312" w:eastAsia="仿宋_GB2312"/>
          <w:sz w:val="28"/>
          <w:szCs w:val="28"/>
        </w:rPr>
      </w:pPr>
    </w:p>
    <w:p>
      <w:pPr>
        <w:ind w:firstLine="632" w:firstLineChars="200"/>
        <w:rPr>
          <w:rFonts w:hint="eastAsia" w:ascii="黑体" w:eastAsia="黑体"/>
          <w:b/>
          <w:sz w:val="28"/>
          <w:szCs w:val="28"/>
        </w:rPr>
      </w:pPr>
      <w:r>
        <w:rPr>
          <w:rFonts w:hint="eastAsia" w:ascii="仿宋_GB2312" w:eastAsia="仿宋_GB2312"/>
          <w:b/>
          <w:color w:val="000000"/>
          <w:spacing w:val="-2"/>
          <w:sz w:val="32"/>
          <w:szCs w:val="32"/>
        </w:rPr>
        <w:t>（各部门需根据自身业务职能，在</w:t>
      </w:r>
      <w:r>
        <w:rPr>
          <w:rFonts w:ascii="仿宋_GB2312" w:eastAsia="仿宋_GB2312"/>
          <w:b/>
          <w:color w:val="000000"/>
          <w:spacing w:val="-2"/>
          <w:sz w:val="32"/>
          <w:szCs w:val="32"/>
        </w:rPr>
        <w:t>以上</w:t>
      </w:r>
      <w:r>
        <w:rPr>
          <w:rFonts w:hint="eastAsia" w:ascii="仿宋_GB2312" w:eastAsia="仿宋_GB2312"/>
          <w:b/>
          <w:color w:val="000000"/>
          <w:spacing w:val="-2"/>
          <w:sz w:val="32"/>
          <w:szCs w:val="32"/>
        </w:rPr>
        <w:t>四</w:t>
      </w:r>
      <w:r>
        <w:rPr>
          <w:rFonts w:ascii="仿宋_GB2312" w:eastAsia="仿宋_GB2312"/>
          <w:b/>
          <w:color w:val="000000"/>
          <w:spacing w:val="-2"/>
          <w:sz w:val="32"/>
          <w:szCs w:val="32"/>
        </w:rPr>
        <w:t>项基础上</w:t>
      </w:r>
      <w:r>
        <w:rPr>
          <w:rFonts w:hint="eastAsia" w:ascii="仿宋_GB2312" w:eastAsia="仿宋_GB2312"/>
          <w:b/>
          <w:color w:val="000000"/>
          <w:spacing w:val="-2"/>
          <w:sz w:val="32"/>
          <w:szCs w:val="32"/>
        </w:rPr>
        <w:t>，至少增加一项其他专业性较强的名词进行解释）</w:t>
      </w:r>
    </w:p>
    <w:p>
      <w:pPr>
        <w:rPr>
          <w:rFonts w:ascii="黑体" w:eastAsia="黑体"/>
          <w:sz w:val="32"/>
          <w:szCs w:val="32"/>
        </w:rPr>
      </w:pPr>
    </w:p>
    <w:p>
      <w:pPr>
        <w:rPr>
          <w:rFonts w:hint="eastAsia"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第三部分  201</w:t>
      </w:r>
      <w:r>
        <w:rPr>
          <w:rFonts w:ascii="黑体" w:eastAsia="黑体"/>
          <w:sz w:val="32"/>
          <w:szCs w:val="32"/>
        </w:rPr>
        <w:t>9</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一、绩效评价工作开展情况</w:t>
      </w:r>
    </w:p>
    <w:p>
      <w:pPr>
        <w:ind w:firstLine="420" w:firstLineChars="150"/>
        <w:rPr>
          <w:rFonts w:hint="eastAsia"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年，北京市丰台区土地储备所201</w:t>
      </w:r>
      <w:r>
        <w:rPr>
          <w:rFonts w:hint="eastAsia" w:ascii="仿宋_GB2312" w:eastAsia="仿宋_GB2312"/>
          <w:sz w:val="28"/>
          <w:szCs w:val="28"/>
          <w:lang w:val="en-US" w:eastAsia="zh-CN"/>
        </w:rPr>
        <w:t>9</w:t>
      </w:r>
      <w:r>
        <w:rPr>
          <w:rFonts w:hint="eastAsia" w:ascii="仿宋_GB2312" w:eastAsia="仿宋_GB2312"/>
          <w:sz w:val="28"/>
          <w:szCs w:val="28"/>
        </w:rPr>
        <w:t>年度部门没有项目支出，故未实施绩效评价，评价项目0个，占部门项目总数的0%，涉及金额0万元。评价结果（概括评价总体情况）。</w:t>
      </w:r>
    </w:p>
    <w:p>
      <w:pPr>
        <w:ind w:firstLine="560" w:firstLineChars="200"/>
        <w:rPr>
          <w:rFonts w:hint="eastAsia" w:ascii="黑体" w:eastAsia="黑体"/>
          <w:sz w:val="28"/>
          <w:szCs w:val="28"/>
        </w:rPr>
      </w:pPr>
      <w:r>
        <w:rPr>
          <w:rFonts w:hint="eastAsia" w:ascii="黑体" w:eastAsia="黑体"/>
          <w:sz w:val="28"/>
          <w:szCs w:val="28"/>
        </w:rPr>
        <w:t>二、没有项目绩效评价报告</w:t>
      </w:r>
    </w:p>
    <w:p>
      <w:pPr>
        <w:ind w:firstLine="640" w:firstLineChars="200"/>
        <w:rPr>
          <w:rFonts w:hint="eastAsia" w:ascii="黑体" w:eastAsia="黑体"/>
          <w:sz w:val="32"/>
          <w:szCs w:val="32"/>
        </w:rPr>
      </w:pPr>
      <w:bookmarkStart w:id="0" w:name="_GoBack"/>
      <w:bookmarkEnd w:id="0"/>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9D6F78"/>
    <w:multiLevelType w:val="singleLevel"/>
    <w:tmpl w:val="F49D6F7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17A69"/>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6504"/>
    <w:rsid w:val="00096B86"/>
    <w:rsid w:val="000A1770"/>
    <w:rsid w:val="000A283C"/>
    <w:rsid w:val="000B15B7"/>
    <w:rsid w:val="000C4611"/>
    <w:rsid w:val="000D6854"/>
    <w:rsid w:val="000E0B26"/>
    <w:rsid w:val="000E3291"/>
    <w:rsid w:val="000E72C0"/>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62C22"/>
    <w:rsid w:val="0017111F"/>
    <w:rsid w:val="00173CF6"/>
    <w:rsid w:val="00180DAD"/>
    <w:rsid w:val="0018370E"/>
    <w:rsid w:val="001852E1"/>
    <w:rsid w:val="00187AAC"/>
    <w:rsid w:val="00191568"/>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94A"/>
    <w:rsid w:val="00274D50"/>
    <w:rsid w:val="002760D5"/>
    <w:rsid w:val="00276289"/>
    <w:rsid w:val="0028081D"/>
    <w:rsid w:val="0028458C"/>
    <w:rsid w:val="002911BD"/>
    <w:rsid w:val="00291C98"/>
    <w:rsid w:val="00294DE9"/>
    <w:rsid w:val="002A1488"/>
    <w:rsid w:val="002A4C2B"/>
    <w:rsid w:val="002B19D0"/>
    <w:rsid w:val="002B3682"/>
    <w:rsid w:val="002B537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2093C"/>
    <w:rsid w:val="004233DD"/>
    <w:rsid w:val="00424405"/>
    <w:rsid w:val="00425D24"/>
    <w:rsid w:val="00426A4D"/>
    <w:rsid w:val="00427687"/>
    <w:rsid w:val="00433231"/>
    <w:rsid w:val="004334CA"/>
    <w:rsid w:val="0043506A"/>
    <w:rsid w:val="00435830"/>
    <w:rsid w:val="0043619C"/>
    <w:rsid w:val="0044475D"/>
    <w:rsid w:val="00444D1E"/>
    <w:rsid w:val="0044571A"/>
    <w:rsid w:val="0045090E"/>
    <w:rsid w:val="00453E36"/>
    <w:rsid w:val="00457286"/>
    <w:rsid w:val="00461FA5"/>
    <w:rsid w:val="00463566"/>
    <w:rsid w:val="00464182"/>
    <w:rsid w:val="00471C52"/>
    <w:rsid w:val="0047460C"/>
    <w:rsid w:val="00474FF2"/>
    <w:rsid w:val="0048009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52A6"/>
    <w:rsid w:val="005B0DEC"/>
    <w:rsid w:val="005B368E"/>
    <w:rsid w:val="005B6E69"/>
    <w:rsid w:val="005C0015"/>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675C"/>
    <w:rsid w:val="0065793F"/>
    <w:rsid w:val="0066263B"/>
    <w:rsid w:val="0067195C"/>
    <w:rsid w:val="006724F7"/>
    <w:rsid w:val="0067511A"/>
    <w:rsid w:val="0067539B"/>
    <w:rsid w:val="00675543"/>
    <w:rsid w:val="00677396"/>
    <w:rsid w:val="00677AD9"/>
    <w:rsid w:val="00681970"/>
    <w:rsid w:val="00690641"/>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31A37"/>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0FFC"/>
    <w:rsid w:val="008D3145"/>
    <w:rsid w:val="008E1A54"/>
    <w:rsid w:val="008E1F95"/>
    <w:rsid w:val="008E36B6"/>
    <w:rsid w:val="008E4267"/>
    <w:rsid w:val="008E4847"/>
    <w:rsid w:val="008E5FF1"/>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0F81"/>
    <w:rsid w:val="009F2543"/>
    <w:rsid w:val="009F256D"/>
    <w:rsid w:val="009F341E"/>
    <w:rsid w:val="009F57CE"/>
    <w:rsid w:val="00A0130C"/>
    <w:rsid w:val="00A117CA"/>
    <w:rsid w:val="00A12225"/>
    <w:rsid w:val="00A14C18"/>
    <w:rsid w:val="00A25898"/>
    <w:rsid w:val="00A3071D"/>
    <w:rsid w:val="00A3182E"/>
    <w:rsid w:val="00A31A89"/>
    <w:rsid w:val="00A32F06"/>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4182"/>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4CA2"/>
    <w:rsid w:val="00C0623C"/>
    <w:rsid w:val="00C06A07"/>
    <w:rsid w:val="00C132B6"/>
    <w:rsid w:val="00C24A10"/>
    <w:rsid w:val="00C27003"/>
    <w:rsid w:val="00C27597"/>
    <w:rsid w:val="00C32BD4"/>
    <w:rsid w:val="00C33E48"/>
    <w:rsid w:val="00C3618B"/>
    <w:rsid w:val="00C403FB"/>
    <w:rsid w:val="00C4316E"/>
    <w:rsid w:val="00C441A2"/>
    <w:rsid w:val="00C462A5"/>
    <w:rsid w:val="00C5076B"/>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5602"/>
    <w:rsid w:val="00CA5CA9"/>
    <w:rsid w:val="00CA78E2"/>
    <w:rsid w:val="00CB1BBE"/>
    <w:rsid w:val="00CB65DB"/>
    <w:rsid w:val="00CB6BD9"/>
    <w:rsid w:val="00CC293A"/>
    <w:rsid w:val="00CE19F6"/>
    <w:rsid w:val="00CF366B"/>
    <w:rsid w:val="00CF5D9D"/>
    <w:rsid w:val="00CF606C"/>
    <w:rsid w:val="00CF7423"/>
    <w:rsid w:val="00D03E80"/>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6524381"/>
    <w:rsid w:val="1AB2076B"/>
    <w:rsid w:val="473F62D4"/>
    <w:rsid w:val="72BA779D"/>
    <w:rsid w:val="7D084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5"/>
    </w:pPr>
    <w:rPr>
      <w:rFonts w:ascii="仿宋_GB2312" w:hAnsi="Calibri" w:eastAsia="仿宋_GB2312"/>
      <w:sz w:val="32"/>
      <w:szCs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uiPriority w:val="0"/>
    <w:pPr>
      <w:spacing w:before="100" w:beforeAutospacing="1" w:after="100" w:afterAutospacing="1"/>
      <w:ind w:right="238"/>
      <w:jc w:val="left"/>
    </w:pPr>
    <w:rPr>
      <w:b/>
      <w:kern w:val="0"/>
      <w:sz w:val="24"/>
      <w:szCs w:val="20"/>
    </w:rPr>
  </w:style>
  <w:style w:type="character" w:styleId="10">
    <w:name w:val="Strong"/>
    <w:basedOn w:val="9"/>
    <w:qFormat/>
    <w:uiPriority w:val="0"/>
    <w:rPr>
      <w:b/>
    </w:rPr>
  </w:style>
  <w:style w:type="character" w:styleId="11">
    <w:name w:val="page number"/>
    <w:basedOn w:val="9"/>
    <w:uiPriority w:val="0"/>
  </w:style>
  <w:style w:type="paragraph" w:customStyle="1" w:styleId="12">
    <w:name w:val=" Char Char Char Char Char Char Char"/>
    <w:basedOn w:val="1"/>
    <w:uiPriority w:val="0"/>
    <w:rPr>
      <w:rFonts w:ascii="Tahoma" w:hAnsi="Tahoma"/>
      <w:sz w:val="24"/>
      <w:szCs w:val="20"/>
    </w:rPr>
  </w:style>
  <w:style w:type="paragraph" w:customStyle="1" w:styleId="13">
    <w:name w:val="Char1 Char Char Char"/>
    <w:basedOn w:val="1"/>
    <w:uiPriority w:val="0"/>
    <w:pPr>
      <w:widowControl/>
      <w:spacing w:after="160" w:line="240" w:lineRule="exact"/>
      <w:jc w:val="left"/>
    </w:pPr>
    <w:rPr>
      <w:szCs w:val="20"/>
    </w:rPr>
  </w:style>
  <w:style w:type="paragraph" w:customStyle="1" w:styleId="14">
    <w:name w:val="Char"/>
    <w:basedOn w:val="1"/>
    <w:uiPriority w:val="0"/>
    <w:rPr>
      <w:rFonts w:ascii="Tahoma" w:hAnsi="Tahoma"/>
      <w:sz w:val="24"/>
      <w:szCs w:val="20"/>
    </w:rPr>
  </w:style>
  <w:style w:type="paragraph" w:customStyle="1" w:styleId="15">
    <w:name w:val="Char Char3 Char Char"/>
    <w:basedOn w:val="1"/>
    <w:uiPriority w:val="0"/>
    <w:rPr>
      <w:szCs w:val="21"/>
    </w:rPr>
  </w:style>
  <w:style w:type="character" w:customStyle="1" w:styleId="16">
    <w:name w:val="页眉 Char"/>
    <w:link w:val="6"/>
    <w:uiPriority w:val="0"/>
    <w:rPr>
      <w:rFonts w:ascii="Calibri" w:hAnsi="Calibri" w:eastAsia="宋体"/>
      <w:kern w:val="2"/>
      <w:sz w:val="18"/>
      <w:szCs w:val="18"/>
      <w:lang w:val="en-US" w:eastAsia="zh-CN" w:bidi="ar-SA"/>
    </w:rPr>
  </w:style>
  <w:style w:type="character" w:customStyle="1" w:styleId="17">
    <w:name w:val="页脚 Char"/>
    <w:link w:val="5"/>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600</Words>
  <Characters>3420</Characters>
  <Lines>28</Lines>
  <Paragraphs>8</Paragraphs>
  <TotalTime>0</TotalTime>
  <ScaleCrop>false</ScaleCrop>
  <LinksUpToDate>false</LinksUpToDate>
  <CharactersWithSpaces>4012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2020-06-05T03:14:00Z</dcterms:created>
  <dc:creator>常程</dc:creator>
  <cp:lastModifiedBy>admin</cp:lastModifiedBy>
  <cp:lastPrinted>2020-06-05T01:20:00Z</cp:lastPrinted>
  <dcterms:modified xsi:type="dcterms:W3CDTF">2020-06-24T02:00:45Z</dcterms:modified>
  <dc:title>北京市财政局关于做好向市人大常委会报送2015年度市级部门决算（草案）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