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uto"/>
        <w:ind w:left="0" w:right="0"/>
        <w:jc w:val="center"/>
        <w:rPr>
          <w:rFonts w:hint="eastAsia" w:ascii="黑体" w:hAnsi="黑体" w:eastAsia="黑体" w:cs="黑体"/>
          <w:b/>
          <w:color w:val="404040"/>
          <w:sz w:val="44"/>
          <w:szCs w:val="44"/>
        </w:rPr>
      </w:pPr>
      <w:r>
        <w:rPr>
          <w:rFonts w:hint="eastAsia" w:ascii="黑体" w:hAnsi="黑体" w:eastAsia="黑体" w:cs="黑体"/>
          <w:b/>
          <w:color w:val="404040"/>
          <w:sz w:val="44"/>
          <w:szCs w:val="44"/>
        </w:rPr>
        <w:t>丰台区体育局202</w:t>
      </w:r>
      <w:r>
        <w:rPr>
          <w:rFonts w:hint="eastAsia" w:ascii="黑体" w:hAnsi="黑体" w:eastAsia="黑体" w:cs="黑体"/>
          <w:b/>
          <w:color w:val="404040"/>
          <w:sz w:val="44"/>
          <w:szCs w:val="44"/>
          <w:lang w:val="en-US" w:eastAsia="zh-CN"/>
        </w:rPr>
        <w:t>5</w:t>
      </w:r>
      <w:r>
        <w:rPr>
          <w:rFonts w:hint="eastAsia" w:ascii="黑体" w:hAnsi="黑体" w:eastAsia="黑体" w:cs="黑体"/>
          <w:b/>
          <w:color w:val="404040"/>
          <w:sz w:val="44"/>
          <w:szCs w:val="44"/>
        </w:rPr>
        <w:t>年度</w:t>
      </w:r>
    </w:p>
    <w:p>
      <w:pPr>
        <w:pStyle w:val="2"/>
        <w:keepNext w:val="0"/>
        <w:keepLines w:val="0"/>
        <w:widowControl/>
        <w:suppressLineNumbers w:val="0"/>
        <w:spacing w:before="0" w:beforeAutospacing="0" w:after="0" w:afterAutospacing="0" w:line="480" w:lineRule="auto"/>
        <w:ind w:left="0" w:right="0"/>
        <w:jc w:val="center"/>
        <w:rPr>
          <w:rFonts w:hint="eastAsia" w:ascii="黑体" w:hAnsi="黑体" w:eastAsia="黑体" w:cs="黑体"/>
          <w:sz w:val="44"/>
          <w:szCs w:val="44"/>
        </w:rPr>
      </w:pPr>
      <w:r>
        <w:rPr>
          <w:rFonts w:hint="eastAsia" w:ascii="黑体" w:hAnsi="黑体" w:eastAsia="黑体" w:cs="黑体"/>
          <w:b/>
          <w:color w:val="404040"/>
          <w:sz w:val="44"/>
          <w:szCs w:val="44"/>
        </w:rPr>
        <w:t>执法检查工作计划</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为贯彻落实行政执法“三项制度”要求，扎实推进年度执法检查任务的实施，进一步规范体育运动项目经营单位（以下简称体育经营单位）依法依规开展经营活动，加强对体育经营单位的监督与管理，北京市丰台区体育局对202</w:t>
      </w:r>
      <w:r>
        <w:rPr>
          <w:rFonts w:hint="eastAsia" w:ascii="仿宋" w:hAnsi="仿宋" w:eastAsia="仿宋" w:cs="仿宋"/>
          <w:color w:val="404040"/>
          <w:sz w:val="32"/>
          <w:szCs w:val="32"/>
          <w:lang w:val="en-US" w:eastAsia="zh-CN"/>
        </w:rPr>
        <w:t>4</w:t>
      </w:r>
      <w:r>
        <w:rPr>
          <w:rFonts w:hint="eastAsia" w:ascii="仿宋" w:hAnsi="仿宋" w:eastAsia="仿宋" w:cs="仿宋"/>
          <w:color w:val="404040"/>
          <w:sz w:val="32"/>
          <w:szCs w:val="32"/>
        </w:rPr>
        <w:t>的执法检查工作做出如下计划：</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Style w:val="5"/>
          <w:rFonts w:hint="eastAsia" w:ascii="仿宋" w:hAnsi="仿宋" w:eastAsia="仿宋" w:cs="仿宋"/>
          <w:color w:val="404040"/>
          <w:sz w:val="32"/>
          <w:szCs w:val="32"/>
        </w:rPr>
        <w:t>一、检查主体</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北京市丰台区体育局。</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Style w:val="5"/>
          <w:rFonts w:hint="eastAsia" w:ascii="仿宋" w:hAnsi="仿宋" w:eastAsia="仿宋" w:cs="仿宋"/>
          <w:color w:val="404040"/>
          <w:sz w:val="32"/>
          <w:szCs w:val="32"/>
        </w:rPr>
        <w:t>二、检查方式</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区体育局行政执法检查主要有日常行政检查和双随机抽查两种方式。主要检查内容如下：</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1、从体育经营单位依法从事经营活动情况；体育经营单位证件配备情况；安全生产制度建立及落实情况；隐患排查制度建立及落实情况；从业人员、救助人员配备数量、执业资格、统一服装及在岗责任落实情况；中英双语应急广播配备及维护情况等方面进行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2、从高危险性体育项目经营单位依法从事经营活动情况；办理高危险性体育项目经营许可证是否在有效期内；是否办理高危险性体育项目经营许可证；是否建立生产安全事故隐患排查制度；是否建立安全生产例会制度；从业人员是否持证上岗；是否按规定配备足额的专职水上救生员；是否设置应急广播，并能够用中、英两种语言播放等方面进行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3、从公共文化体育设施管理单位是否开展与公共文化体育设施功能、用途不相符的服务活动；公共文化体育设施管理单位是否违反规定出租体育设施等方面进行检查。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4、从体育赛事活动主办方或承办方是否经过相关批准，申办国际体育赛事活动；体育赛事主办方或承办方在举办活动中未侵犯他人或其他组织的合法权益、未造成人身财产伤害事故或重大社会不良影响；体育赛事主办方或承办方是否按照审批规定办理健身气功、航空体育、登山等项目的体育赛事活动；体育赛事活动主办方或承办方举办体育赛事活动的名称是否符合相关规定；体育赛事活动主办方或承办方举办其他体育赛事活动未使用“世界”“国际”“亚洲”“中国”“全国”“国际”等字样或类似含义的词汇等方面进行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5、从彩票设备管理、彩票宣传行为、彩票竞争行为、彩票销售行为等方面进行检查。</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Style w:val="5"/>
          <w:rFonts w:hint="eastAsia" w:ascii="仿宋" w:hAnsi="仿宋" w:eastAsia="仿宋" w:cs="仿宋"/>
          <w:color w:val="404040"/>
          <w:sz w:val="32"/>
          <w:szCs w:val="32"/>
        </w:rPr>
        <w:t>三、管理对象基数</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Fonts w:hint="eastAsia" w:ascii="仿宋" w:hAnsi="仿宋" w:eastAsia="仿宋" w:cs="仿宋"/>
          <w:color w:val="404040"/>
          <w:sz w:val="32"/>
          <w:szCs w:val="32"/>
        </w:rPr>
        <w:t>截至202</w:t>
      </w:r>
      <w:r>
        <w:rPr>
          <w:rFonts w:hint="eastAsia" w:ascii="仿宋" w:hAnsi="仿宋" w:eastAsia="仿宋" w:cs="仿宋"/>
          <w:color w:val="404040"/>
          <w:sz w:val="32"/>
          <w:szCs w:val="32"/>
          <w:lang w:val="en-US" w:eastAsia="zh-CN"/>
        </w:rPr>
        <w:t>4</w:t>
      </w:r>
      <w:r>
        <w:rPr>
          <w:rFonts w:hint="eastAsia" w:ascii="仿宋" w:hAnsi="仿宋" w:eastAsia="仿宋" w:cs="仿宋"/>
          <w:color w:val="404040"/>
          <w:sz w:val="32"/>
          <w:szCs w:val="32"/>
        </w:rPr>
        <w:t>年底全区体育经营单位基数为</w:t>
      </w:r>
      <w:r>
        <w:rPr>
          <w:rFonts w:hint="eastAsia" w:ascii="仿宋" w:hAnsi="仿宋" w:eastAsia="仿宋" w:cs="仿宋"/>
          <w:color w:val="404040"/>
          <w:sz w:val="32"/>
          <w:szCs w:val="32"/>
          <w:lang w:val="en-US" w:eastAsia="zh-CN"/>
        </w:rPr>
        <w:t>510</w:t>
      </w:r>
      <w:r>
        <w:rPr>
          <w:rFonts w:hint="eastAsia" w:ascii="仿宋" w:hAnsi="仿宋" w:eastAsia="仿宋" w:cs="仿宋"/>
          <w:color w:val="404040"/>
          <w:sz w:val="32"/>
          <w:szCs w:val="32"/>
        </w:rPr>
        <w:t>家（含高危险性体育项目经营单位</w:t>
      </w:r>
      <w:r>
        <w:rPr>
          <w:rFonts w:hint="eastAsia" w:ascii="仿宋" w:hAnsi="仿宋" w:eastAsia="仿宋" w:cs="仿宋"/>
          <w:color w:val="404040"/>
          <w:sz w:val="32"/>
          <w:szCs w:val="32"/>
          <w:lang w:val="en-US" w:eastAsia="zh-CN"/>
        </w:rPr>
        <w:t>85</w:t>
      </w:r>
      <w:r>
        <w:rPr>
          <w:rFonts w:hint="eastAsia" w:ascii="仿宋" w:hAnsi="仿宋" w:eastAsia="仿宋" w:cs="仿宋"/>
          <w:color w:val="404040"/>
          <w:sz w:val="32"/>
          <w:szCs w:val="32"/>
        </w:rPr>
        <w:t>家）；</w:t>
      </w:r>
      <w:bookmarkStart w:id="0" w:name="OLE_LINK1"/>
      <w:r>
        <w:rPr>
          <w:rFonts w:hint="eastAsia" w:ascii="仿宋" w:hAnsi="仿宋" w:eastAsia="仿宋" w:cs="仿宋"/>
          <w:color w:val="404040"/>
          <w:sz w:val="32"/>
          <w:szCs w:val="32"/>
        </w:rPr>
        <w:t>全民健身路径工程器材662处。</w:t>
      </w:r>
      <w:bookmarkEnd w:id="0"/>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sz w:val="32"/>
          <w:szCs w:val="32"/>
        </w:rPr>
      </w:pPr>
      <w:r>
        <w:rPr>
          <w:rStyle w:val="5"/>
          <w:rFonts w:hint="eastAsia" w:ascii="仿宋" w:hAnsi="仿宋" w:eastAsia="仿宋" w:cs="仿宋"/>
          <w:color w:val="404040"/>
          <w:sz w:val="32"/>
          <w:szCs w:val="32"/>
        </w:rPr>
        <w:t>四、检查比例</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rPr>
      </w:pPr>
      <w:r>
        <w:rPr>
          <w:rFonts w:hint="eastAsia" w:ascii="仿宋" w:hAnsi="仿宋" w:eastAsia="仿宋" w:cs="仿宋"/>
          <w:color w:val="404040"/>
          <w:sz w:val="32"/>
          <w:szCs w:val="32"/>
        </w:rPr>
        <w:t>区体育局日常行政检查全年数量不少于</w:t>
      </w:r>
      <w:r>
        <w:rPr>
          <w:rFonts w:hint="eastAsia" w:ascii="仿宋" w:hAnsi="仿宋" w:eastAsia="仿宋" w:cs="仿宋"/>
          <w:color w:val="404040"/>
          <w:sz w:val="32"/>
          <w:szCs w:val="32"/>
          <w:lang w:val="en-US" w:eastAsia="zh-CN"/>
        </w:rPr>
        <w:t>425</w:t>
      </w:r>
      <w:r>
        <w:rPr>
          <w:rFonts w:hint="eastAsia" w:ascii="仿宋" w:hAnsi="仿宋" w:eastAsia="仿宋" w:cs="仿宋"/>
          <w:color w:val="404040"/>
          <w:sz w:val="32"/>
          <w:szCs w:val="32"/>
        </w:rPr>
        <w:t>家次，检查比例不低于</w:t>
      </w:r>
      <w:r>
        <w:rPr>
          <w:rFonts w:hint="eastAsia" w:ascii="仿宋" w:hAnsi="仿宋" w:eastAsia="仿宋" w:cs="仿宋"/>
          <w:color w:val="404040"/>
          <w:sz w:val="32"/>
          <w:szCs w:val="32"/>
          <w:lang w:val="en-US" w:eastAsia="zh-CN"/>
        </w:rPr>
        <w:t>80</w:t>
      </w:r>
      <w:r>
        <w:rPr>
          <w:rFonts w:hint="eastAsia" w:ascii="仿宋" w:hAnsi="仿宋" w:eastAsia="仿宋" w:cs="仿宋"/>
          <w:color w:val="404040"/>
          <w:sz w:val="32"/>
          <w:szCs w:val="32"/>
        </w:rPr>
        <w:t>%；对体育经营单位中高危险性体育项目经营单位和公共体育设施进行随机抽查，全年抽查数量为1</w:t>
      </w:r>
      <w:r>
        <w:rPr>
          <w:rFonts w:hint="eastAsia" w:ascii="仿宋" w:hAnsi="仿宋" w:eastAsia="仿宋" w:cs="仿宋"/>
          <w:color w:val="404040"/>
          <w:sz w:val="32"/>
          <w:szCs w:val="32"/>
          <w:lang w:val="en-US" w:eastAsia="zh-CN"/>
        </w:rPr>
        <w:t>3</w:t>
      </w:r>
      <w:r>
        <w:rPr>
          <w:rFonts w:hint="eastAsia" w:ascii="仿宋" w:hAnsi="仿宋" w:eastAsia="仿宋" w:cs="仿宋"/>
          <w:color w:val="404040"/>
          <w:sz w:val="32"/>
          <w:szCs w:val="32"/>
        </w:rPr>
        <w:t>0次，全年抽查比例为</w:t>
      </w:r>
      <w:r>
        <w:rPr>
          <w:rFonts w:hint="eastAsia" w:ascii="仿宋" w:hAnsi="仿宋" w:eastAsia="仿宋" w:cs="仿宋"/>
          <w:color w:val="404040"/>
          <w:sz w:val="32"/>
          <w:szCs w:val="32"/>
          <w:lang w:val="en-US" w:eastAsia="zh-CN"/>
        </w:rPr>
        <w:t>20</w:t>
      </w:r>
      <w:r>
        <w:rPr>
          <w:rFonts w:hint="eastAsia" w:ascii="仿宋" w:hAnsi="仿宋" w:eastAsia="仿宋" w:cs="仿宋"/>
          <w:color w:val="404040"/>
          <w:sz w:val="32"/>
          <w:szCs w:val="32"/>
        </w:rPr>
        <w:t>%。</w:t>
      </w:r>
    </w:p>
    <w:p>
      <w:pPr>
        <w:pStyle w:val="2"/>
        <w:keepNext w:val="0"/>
        <w:keepLines w:val="0"/>
        <w:widowControl/>
        <w:suppressLineNumbers w:val="0"/>
        <w:spacing w:before="0" w:beforeAutospacing="0" w:after="0" w:afterAutospacing="0" w:line="480" w:lineRule="auto"/>
        <w:ind w:left="0" w:right="0" w:firstLine="420"/>
        <w:jc w:val="both"/>
        <w:rPr>
          <w:rFonts w:hint="eastAsia" w:ascii="仿宋" w:hAnsi="仿宋" w:eastAsia="仿宋" w:cs="仿宋"/>
          <w:color w:val="404040"/>
          <w:sz w:val="32"/>
          <w:szCs w:val="32"/>
          <w:lang w:eastAsia="zh-CN"/>
        </w:rPr>
      </w:pPr>
      <w:r>
        <w:rPr>
          <w:rFonts w:hint="eastAsia" w:ascii="仿宋" w:hAnsi="仿宋" w:eastAsia="仿宋" w:cs="仿宋"/>
          <w:color w:val="404040"/>
          <w:sz w:val="32"/>
          <w:szCs w:val="32"/>
          <w:lang w:eastAsia="zh-CN"/>
        </w:rPr>
        <w:drawing>
          <wp:inline distT="0" distB="0" distL="114300" distR="114300">
            <wp:extent cx="5272405" cy="2257425"/>
            <wp:effectExtent l="0" t="0" r="4445" b="9525"/>
            <wp:docPr id="3" name="图片 3" descr="173526618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5266189238"/>
                    <pic:cNvPicPr>
                      <a:picLocks noChangeAspect="1"/>
                    </pic:cNvPicPr>
                  </pic:nvPicPr>
                  <pic:blipFill>
                    <a:blip r:embed="rId4"/>
                    <a:stretch>
                      <a:fillRect/>
                    </a:stretch>
                  </pic:blipFill>
                  <pic:spPr>
                    <a:xfrm>
                      <a:off x="0" y="0"/>
                      <a:ext cx="5272405" cy="2257425"/>
                    </a:xfrm>
                    <a:prstGeom prst="rect">
                      <a:avLst/>
                    </a:prstGeom>
                  </pic:spPr>
                </pic:pic>
              </a:graphicData>
            </a:graphic>
          </wp:inline>
        </w:drawing>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color w:val="40404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color w:val="40404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color w:val="40404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rPr>
          <w:color w:val="404040"/>
          <w:sz w:val="24"/>
          <w:szCs w:val="24"/>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eastAsiaTheme="minorEastAsia"/>
          <w:color w:val="404040"/>
          <w:sz w:val="24"/>
          <w:szCs w:val="24"/>
          <w:lang w:eastAsia="zh-CN"/>
        </w:rPr>
      </w:pPr>
      <w:r>
        <w:drawing>
          <wp:inline distT="0" distB="0" distL="114300" distR="114300">
            <wp:extent cx="8029575" cy="2705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029575" cy="2705100"/>
                    </a:xfrm>
                    <a:prstGeom prst="rect">
                      <a:avLst/>
                    </a:prstGeom>
                    <a:noFill/>
                    <a:ln>
                      <a:noFill/>
                    </a:ln>
                  </pic:spPr>
                </pic:pic>
              </a:graphicData>
            </a:graphic>
          </wp:inline>
        </w:drawing>
      </w:r>
    </w:p>
    <w:p>
      <w:pPr>
        <w:jc w:val="both"/>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zIxOTY2OTIzOTgyNzk1MTVhYjIyZjMxZDU2MDEifQ=="/>
  </w:docVars>
  <w:rsids>
    <w:rsidRoot w:val="00000000"/>
    <w:rsid w:val="055F1294"/>
    <w:rsid w:val="10866398"/>
    <w:rsid w:val="19DC0D34"/>
    <w:rsid w:val="1B626D2A"/>
    <w:rsid w:val="1E5B5922"/>
    <w:rsid w:val="20617F12"/>
    <w:rsid w:val="21BB6394"/>
    <w:rsid w:val="22A744D3"/>
    <w:rsid w:val="22C55111"/>
    <w:rsid w:val="3024721E"/>
    <w:rsid w:val="354F2A9F"/>
    <w:rsid w:val="3CE42D23"/>
    <w:rsid w:val="4A612533"/>
    <w:rsid w:val="596F5E5F"/>
    <w:rsid w:val="5EA2675E"/>
    <w:rsid w:val="6179626A"/>
    <w:rsid w:val="66C42128"/>
    <w:rsid w:val="692F0C63"/>
    <w:rsid w:val="6CED6FC8"/>
    <w:rsid w:val="7442040C"/>
    <w:rsid w:val="76986FDC"/>
    <w:rsid w:val="77D92EBD"/>
    <w:rsid w:val="78270C14"/>
    <w:rsid w:val="7F4F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04040"/>
      <w:sz w:val="21"/>
      <w:szCs w:val="21"/>
      <w:u w:val="none"/>
    </w:rPr>
  </w:style>
  <w:style w:type="character" w:styleId="7">
    <w:name w:val="Hyperlink"/>
    <w:basedOn w:val="4"/>
    <w:qFormat/>
    <w:uiPriority w:val="0"/>
    <w:rPr>
      <w:color w:val="404040"/>
      <w:sz w:val="21"/>
      <w:szCs w:val="21"/>
      <w:u w:val="none"/>
    </w:rPr>
  </w:style>
  <w:style w:type="character" w:customStyle="1" w:styleId="8">
    <w:name w:val="hover23"/>
    <w:basedOn w:val="4"/>
    <w:qFormat/>
    <w:uiPriority w:val="0"/>
    <w:rPr>
      <w:color w:val="FFFFFF"/>
    </w:rPr>
  </w:style>
  <w:style w:type="character" w:customStyle="1" w:styleId="9">
    <w:name w:val="hover24"/>
    <w:basedOn w:val="4"/>
    <w:qFormat/>
    <w:uiPriority w:val="0"/>
    <w:rPr>
      <w:u w:val="none"/>
    </w:rPr>
  </w:style>
  <w:style w:type="character" w:customStyle="1" w:styleId="10">
    <w:name w:val="hover25"/>
    <w:basedOn w:val="4"/>
    <w:qFormat/>
    <w:uiPriority w:val="0"/>
    <w:rPr>
      <w:color w:val="5FB878"/>
    </w:rPr>
  </w:style>
  <w:style w:type="character" w:customStyle="1" w:styleId="11">
    <w:name w:val="hover26"/>
    <w:basedOn w:val="4"/>
    <w:qFormat/>
    <w:uiPriority w:val="0"/>
    <w:rPr>
      <w:color w:val="5FB878"/>
    </w:rPr>
  </w:style>
  <w:style w:type="character" w:customStyle="1" w:styleId="12">
    <w:name w:val="cur"/>
    <w:basedOn w:val="4"/>
    <w:qFormat/>
    <w:uiPriority w:val="0"/>
  </w:style>
  <w:style w:type="character" w:customStyle="1" w:styleId="13">
    <w:name w:val="cur1"/>
    <w:basedOn w:val="4"/>
    <w:qFormat/>
    <w:uiPriority w:val="0"/>
  </w:style>
  <w:style w:type="character" w:customStyle="1" w:styleId="14">
    <w:name w:val="sx"/>
    <w:basedOn w:val="4"/>
    <w:qFormat/>
    <w:uiPriority w:val="0"/>
    <w:rPr>
      <w:vanish/>
    </w:rPr>
  </w:style>
  <w:style w:type="character" w:customStyle="1" w:styleId="15">
    <w:name w:val="layui-this2"/>
    <w:basedOn w:val="4"/>
    <w:qFormat/>
    <w:uiPriority w:val="0"/>
    <w:rPr>
      <w:bdr w:val="single" w:color="EEEEEE" w:sz="6" w:space="0"/>
      <w:shd w:val="clear" w:fill="FFFFFF"/>
    </w:rPr>
  </w:style>
  <w:style w:type="character" w:customStyle="1" w:styleId="16">
    <w:name w:val="first-child"/>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981</Characters>
  <Lines>0</Lines>
  <Paragraphs>0</Paragraphs>
  <TotalTime>32</TotalTime>
  <ScaleCrop>false</ScaleCrop>
  <LinksUpToDate>false</LinksUpToDate>
  <CharactersWithSpaces>981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2020-11-11T03:09:00Z</dcterms:created>
  <dc:creator>xinjidong</dc:creator>
  <cp:lastModifiedBy>Administrator</cp:lastModifiedBy>
  <dcterms:modified xsi:type="dcterms:W3CDTF">2024-12-27T02:23:16Z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61F98C7AF376456A951A61F39CCC6F77</vt:lpwstr>
  </property>
</Properties>
</file>