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color w:val="auto"/>
          <w:sz w:val="44"/>
          <w:szCs w:val="44"/>
          <w:highlight w:val="none"/>
        </w:rPr>
      </w:pPr>
      <w:bookmarkStart w:id="220" w:name="_GoBack"/>
      <w:bookmarkEnd w:id="220"/>
      <w:r>
        <w:rPr>
          <w:rFonts w:hint="eastAsia" w:ascii="方正小标宋简体" w:hAnsi="方正小标宋简体" w:eastAsia="方正小标宋简体" w:cs="方正小标宋简体"/>
          <w:color w:val="auto"/>
          <w:sz w:val="44"/>
          <w:szCs w:val="44"/>
          <w:highlight w:val="none"/>
          <w:lang w:val="en-US" w:eastAsia="zh-CN"/>
        </w:rPr>
        <w:t>行政</w:t>
      </w:r>
      <w:r>
        <w:rPr>
          <w:rFonts w:hint="eastAsia" w:ascii="方正小标宋简体" w:hAnsi="方正小标宋简体" w:eastAsia="方正小标宋简体" w:cs="方正小标宋简体"/>
          <w:color w:val="auto"/>
          <w:sz w:val="44"/>
          <w:szCs w:val="44"/>
          <w:highlight w:val="none"/>
        </w:rPr>
        <w:t>执法处罚裁量基准表</w:t>
      </w: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8"/>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_Toc526440799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_Toc526440799 \h </w:instrText>
          </w:r>
          <w:r>
            <w:fldChar w:fldCharType="separate"/>
          </w:r>
          <w:r>
            <w:t>1</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_Toc1144378001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_Toc1144378001 \h </w:instrText>
          </w:r>
          <w:r>
            <w:fldChar w:fldCharType="separate"/>
          </w:r>
          <w:r>
            <w:t>1</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_Toc599974242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_Toc599974242 \h </w:instrText>
          </w:r>
          <w:r>
            <w:fldChar w:fldCharType="separate"/>
          </w:r>
          <w:r>
            <w:t>10</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_Toc1887098234 </w:instrText>
          </w:r>
          <w:r>
            <w:rPr>
              <w:highlight w:val="none"/>
            </w:rPr>
            <w:fldChar w:fldCharType="separate"/>
          </w:r>
          <w:r>
            <w:rPr>
              <w:rFonts w:hint="eastAsia" w:asciiTheme="minorEastAsia" w:hAnsiTheme="minorEastAsia" w:eastAsiaTheme="minorEastAsia"/>
              <w:szCs w:val="20"/>
              <w:highlight w:val="none"/>
            </w:rPr>
            <w:t>《城市生活垃圾管理办法》案由11项</w:t>
          </w:r>
          <w:r>
            <w:tab/>
          </w:r>
          <w:r>
            <w:fldChar w:fldCharType="begin"/>
          </w:r>
          <w:r>
            <w:instrText xml:space="preserve"> PAGEREF _Toc1887098234 \h </w:instrText>
          </w:r>
          <w:r>
            <w:fldChar w:fldCharType="separate"/>
          </w:r>
          <w:r>
            <w:t>20</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_Toc1280965736 </w:instrText>
          </w:r>
          <w:r>
            <w:rPr>
              <w:highlight w:val="none"/>
            </w:rPr>
            <w:fldChar w:fldCharType="separate"/>
          </w:r>
          <w:r>
            <w:rPr>
              <w:rFonts w:hint="eastAsia" w:asciiTheme="minorEastAsia" w:hAnsiTheme="minorEastAsia" w:eastAsiaTheme="minorEastAsia"/>
              <w:szCs w:val="20"/>
              <w:highlight w:val="none"/>
            </w:rPr>
            <w:t>《城市建筑垃圾管理规定》案由11项</w:t>
          </w:r>
          <w:r>
            <w:tab/>
          </w:r>
          <w:r>
            <w:fldChar w:fldCharType="begin"/>
          </w:r>
          <w:r>
            <w:instrText xml:space="preserve"> PAGEREF _Toc1280965736 \h </w:instrText>
          </w:r>
          <w:r>
            <w:fldChar w:fldCharType="separate"/>
          </w:r>
          <w:r>
            <w:t>22</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_Toc1752345302 </w:instrText>
          </w:r>
          <w:r>
            <w:rPr>
              <w:highlight w:val="none"/>
            </w:rPr>
            <w:fldChar w:fldCharType="separate"/>
          </w:r>
          <w:r>
            <w:rPr>
              <w:rFonts w:hint="eastAsia" w:asciiTheme="minorEastAsia" w:hAnsiTheme="minorEastAsia" w:eastAsiaTheme="minorEastAsia"/>
              <w:szCs w:val="20"/>
              <w:highlight w:val="none"/>
            </w:rPr>
            <w:t>《中华人民共和国固体废物污染环境防治法》案由</w:t>
          </w:r>
          <w:r>
            <w:rPr>
              <w:rFonts w:asciiTheme="minorEastAsia" w:hAnsiTheme="minorEastAsia" w:eastAsiaTheme="minorEastAsia"/>
              <w:szCs w:val="20"/>
              <w:highlight w:val="none"/>
            </w:rPr>
            <w:t>10</w:t>
          </w:r>
          <w:r>
            <w:rPr>
              <w:rFonts w:hint="eastAsia" w:asciiTheme="minorEastAsia" w:hAnsiTheme="minorEastAsia" w:eastAsiaTheme="minorEastAsia"/>
              <w:szCs w:val="20"/>
              <w:highlight w:val="none"/>
            </w:rPr>
            <w:t>项</w:t>
          </w:r>
          <w:r>
            <w:tab/>
          </w:r>
          <w:r>
            <w:fldChar w:fldCharType="begin"/>
          </w:r>
          <w:r>
            <w:instrText xml:space="preserve"> PAGEREF _Toc1752345302 \h </w:instrText>
          </w:r>
          <w:r>
            <w:fldChar w:fldCharType="separate"/>
          </w:r>
          <w:r>
            <w:t>25</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_Toc1651336954 </w:instrText>
          </w:r>
          <w:r>
            <w:rPr>
              <w:highlight w:val="none"/>
            </w:rPr>
            <w:fldChar w:fldCharType="separate"/>
          </w:r>
          <w:r>
            <w:rPr>
              <w:rFonts w:hint="eastAsia" w:asciiTheme="minorEastAsia" w:hAnsiTheme="minorEastAsia" w:eastAsiaTheme="minorEastAsia"/>
              <w:szCs w:val="20"/>
              <w:highlight w:val="none"/>
            </w:rPr>
            <w:t>《北京市“门前三包”责任制管理办法》案由1项</w:t>
          </w:r>
          <w:r>
            <w:tab/>
          </w:r>
          <w:r>
            <w:fldChar w:fldCharType="begin"/>
          </w:r>
          <w:r>
            <w:instrText xml:space="preserve"> PAGEREF _Toc1651336954 \h </w:instrText>
          </w:r>
          <w:r>
            <w:fldChar w:fldCharType="separate"/>
          </w:r>
          <w:r>
            <w:t>29</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_Toc172958056 </w:instrText>
          </w:r>
          <w:r>
            <w:rPr>
              <w:highlight w:val="none"/>
            </w:rPr>
            <w:fldChar w:fldCharType="separate"/>
          </w:r>
          <w:r>
            <w:rPr>
              <w:rFonts w:hint="eastAsia" w:asciiTheme="minorEastAsia" w:hAnsiTheme="minorEastAsia" w:eastAsiaTheme="minorEastAsia"/>
              <w:szCs w:val="20"/>
              <w:highlight w:val="none"/>
            </w:rPr>
            <w:t>《北京市人民政府关于扫雪铲冰管理的规定》案由1项</w:t>
          </w:r>
          <w:r>
            <w:tab/>
          </w:r>
          <w:r>
            <w:fldChar w:fldCharType="begin"/>
          </w:r>
          <w:r>
            <w:instrText xml:space="preserve"> PAGEREF _Toc172958056 \h </w:instrText>
          </w:r>
          <w:r>
            <w:fldChar w:fldCharType="separate"/>
          </w:r>
          <w:r>
            <w:t>29</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_Toc145735833 </w:instrText>
          </w:r>
          <w:r>
            <w:rPr>
              <w:highlight w:val="none"/>
            </w:rPr>
            <w:fldChar w:fldCharType="separate"/>
          </w:r>
          <w:r>
            <w:rPr>
              <w:rFonts w:hint="eastAsia" w:asciiTheme="minorEastAsia" w:hAnsiTheme="minorEastAsia" w:eastAsiaTheme="minorEastAsia"/>
              <w:szCs w:val="20"/>
              <w:highlight w:val="none"/>
            </w:rPr>
            <w:t>《北京市户外广告设施、牌匾标识和标语宣传品设置管理条例》案由14项</w:t>
          </w:r>
          <w:r>
            <w:tab/>
          </w:r>
          <w:r>
            <w:fldChar w:fldCharType="begin"/>
          </w:r>
          <w:r>
            <w:instrText xml:space="preserve"> PAGEREF _Toc145735833 \h </w:instrText>
          </w:r>
          <w:r>
            <w:fldChar w:fldCharType="separate"/>
          </w:r>
          <w:r>
            <w:t>29</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_Toc1140185292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_Toc1140185292 \h </w:instrText>
          </w:r>
          <w:r>
            <w:fldChar w:fldCharType="separate"/>
          </w:r>
          <w:r>
            <w:t>32</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_Toc1213367316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_Toc1213367316 \h </w:instrText>
          </w:r>
          <w:r>
            <w:fldChar w:fldCharType="separate"/>
          </w:r>
          <w:r>
            <w:t>33</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_Toc1597996495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_Toc1597996495 \h </w:instrText>
          </w:r>
          <w:r>
            <w:fldChar w:fldCharType="separate"/>
          </w:r>
          <w:r>
            <w:t>34</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_Toc1748480692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_Toc1748480692 \h </w:instrText>
          </w:r>
          <w:r>
            <w:fldChar w:fldCharType="separate"/>
          </w:r>
          <w:r>
            <w:t>42</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_Toc1377620528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_Toc1377620528 \h </w:instrText>
          </w:r>
          <w:r>
            <w:fldChar w:fldCharType="separate"/>
          </w:r>
          <w:r>
            <w:t>42</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_Toc39814009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_Toc39814009 \h </w:instrText>
          </w:r>
          <w:r>
            <w:fldChar w:fldCharType="separate"/>
          </w:r>
          <w:r>
            <w:t>42</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_Toc1498766390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_Toc1498766390 \h </w:instrText>
          </w:r>
          <w:r>
            <w:fldChar w:fldCharType="separate"/>
          </w:r>
          <w:r>
            <w:t>43</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_Toc1839556778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_Toc1839556778 \h </w:instrText>
          </w:r>
          <w:r>
            <w:fldChar w:fldCharType="separate"/>
          </w:r>
          <w:r>
            <w:t>44</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_Toc1866286370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_Toc1866286370 \h </w:instrText>
          </w:r>
          <w:r>
            <w:fldChar w:fldCharType="separate"/>
          </w:r>
          <w:r>
            <w:t>44</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_Toc1709548156 </w:instrText>
          </w:r>
          <w:r>
            <w:rPr>
              <w:highlight w:val="none"/>
            </w:rPr>
            <w:fldChar w:fldCharType="separate"/>
          </w:r>
          <w:r>
            <w:rPr>
              <w:rFonts w:hint="eastAsia" w:ascii="黑体" w:hAnsi="黑体" w:eastAsia="黑体" w:cs="黑体"/>
              <w:bCs w:val="0"/>
              <w:highlight w:val="none"/>
            </w:rPr>
            <w:t>市政管理方面</w:t>
          </w:r>
          <w:r>
            <w:tab/>
          </w:r>
          <w:r>
            <w:fldChar w:fldCharType="begin"/>
          </w:r>
          <w:r>
            <w:instrText xml:space="preserve"> PAGEREF _Toc1709548156 \h </w:instrText>
          </w:r>
          <w:r>
            <w:fldChar w:fldCharType="separate"/>
          </w:r>
          <w:r>
            <w:t>45</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_Toc1607059839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_Toc1607059839 \h </w:instrText>
          </w:r>
          <w:r>
            <w:fldChar w:fldCharType="separate"/>
          </w:r>
          <w:r>
            <w:t>45</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_Toc175167693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_Toc175167693 \h </w:instrText>
          </w:r>
          <w:r>
            <w:fldChar w:fldCharType="separate"/>
          </w:r>
          <w:r>
            <w:t>46</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_Toc1724920233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_Toc1724920233 \h </w:instrText>
          </w:r>
          <w:r>
            <w:fldChar w:fldCharType="separate"/>
          </w:r>
          <w:r>
            <w:t>46</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_Toc884119906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_Toc884119906 \h </w:instrText>
          </w:r>
          <w:r>
            <w:fldChar w:fldCharType="separate"/>
          </w:r>
          <w:r>
            <w:t>49</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_Toc782261727 </w:instrText>
          </w:r>
          <w:r>
            <w:rPr>
              <w:highlight w:val="none"/>
            </w:rPr>
            <w:fldChar w:fldCharType="separate"/>
          </w:r>
          <w:r>
            <w:rPr>
              <w:rFonts w:hint="eastAsia" w:ascii="黑体" w:hAnsi="黑体" w:eastAsia="黑体"/>
              <w:szCs w:val="36"/>
              <w:highlight w:val="none"/>
            </w:rPr>
            <w:t>公用事业管理方面</w:t>
          </w:r>
          <w:r>
            <w:tab/>
          </w:r>
          <w:r>
            <w:fldChar w:fldCharType="begin"/>
          </w:r>
          <w:r>
            <w:instrText xml:space="preserve"> PAGEREF _Toc782261727 \h </w:instrText>
          </w:r>
          <w:r>
            <w:fldChar w:fldCharType="separate"/>
          </w:r>
          <w:r>
            <w:t>50</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_Toc333158386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_Toc333158386 \h </w:instrText>
          </w:r>
          <w:r>
            <w:fldChar w:fldCharType="separate"/>
          </w:r>
          <w:r>
            <w:t>50</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_Toc1483790773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_Toc1483790773 \h </w:instrText>
          </w:r>
          <w:r>
            <w:fldChar w:fldCharType="separate"/>
          </w:r>
          <w:r>
            <w:t>60</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_Toc1517927781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_Toc1517927781 \h </w:instrText>
          </w:r>
          <w:r>
            <w:fldChar w:fldCharType="separate"/>
          </w:r>
          <w:r>
            <w:t>70</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_Toc2108634677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_Toc2108634677 \h </w:instrText>
          </w:r>
          <w:r>
            <w:fldChar w:fldCharType="separate"/>
          </w:r>
          <w:r>
            <w:t>70</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_Toc1514974869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_Toc1514974869 \h </w:instrText>
          </w:r>
          <w:r>
            <w:fldChar w:fldCharType="separate"/>
          </w:r>
          <w:r>
            <w:t>71</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_Toc819278804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_Toc819278804 \h </w:instrText>
          </w:r>
          <w:r>
            <w:fldChar w:fldCharType="separate"/>
          </w:r>
          <w:r>
            <w:t>74</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_Toc1311839352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_Toc1311839352 \h </w:instrText>
          </w:r>
          <w:r>
            <w:fldChar w:fldCharType="separate"/>
          </w:r>
          <w:r>
            <w:t>74</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_Toc2041415668 </w:instrText>
          </w:r>
          <w:r>
            <w:rPr>
              <w:highlight w:val="none"/>
            </w:rPr>
            <w:fldChar w:fldCharType="separate"/>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lang w:eastAsia="zh-Hans"/>
            </w:rPr>
            <w:t>中华人民共和国安全生产法</w:t>
          </w:r>
          <w:r>
            <w:rPr>
              <w:rFonts w:asciiTheme="minorEastAsia" w:hAnsiTheme="minorEastAsia" w:eastAsiaTheme="minorEastAsia"/>
              <w:szCs w:val="21"/>
              <w:highlight w:val="none"/>
              <w:lang w:eastAsia="zh-Hans"/>
            </w:rPr>
            <w:t>》</w:t>
          </w:r>
          <w:r>
            <w:rPr>
              <w:rFonts w:hint="eastAsia" w:asciiTheme="minorEastAsia" w:hAnsiTheme="minorEastAsia" w:eastAsiaTheme="minorEastAsia"/>
              <w:szCs w:val="21"/>
              <w:highlight w:val="none"/>
            </w:rPr>
            <w:t>《北京市安全生产条例》</w:t>
          </w:r>
          <w:r>
            <w:rPr>
              <w:rFonts w:asciiTheme="minorEastAsia" w:hAnsiTheme="minorEastAsia" w:eastAsiaTheme="minorEastAsia"/>
              <w:szCs w:val="21"/>
              <w:highlight w:val="none"/>
              <w:lang w:eastAsia="zh-Hans"/>
            </w:rPr>
            <w:t>案由</w:t>
          </w:r>
          <w:r>
            <w:rPr>
              <w:rFonts w:hint="eastAsia" w:asciiTheme="minorEastAsia" w:hAnsiTheme="minorEastAsia" w:eastAsiaTheme="minorEastAsia"/>
              <w:szCs w:val="21"/>
              <w:highlight w:val="none"/>
            </w:rPr>
            <w:t>12</w:t>
          </w:r>
          <w:r>
            <w:rPr>
              <w:rFonts w:asciiTheme="minorEastAsia" w:hAnsiTheme="minorEastAsia" w:eastAsiaTheme="minorEastAsia"/>
              <w:szCs w:val="21"/>
              <w:highlight w:val="none"/>
              <w:lang w:eastAsia="zh-Hans"/>
            </w:rPr>
            <w:t>项</w:t>
          </w:r>
          <w:r>
            <w:tab/>
          </w:r>
          <w:r>
            <w:fldChar w:fldCharType="begin"/>
          </w:r>
          <w:r>
            <w:instrText xml:space="preserve"> PAGEREF _Toc2041415668 \h </w:instrText>
          </w:r>
          <w:r>
            <w:fldChar w:fldCharType="separate"/>
          </w:r>
          <w:r>
            <w:t>74</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_Toc1963656805 </w:instrText>
          </w:r>
          <w:r>
            <w:rPr>
              <w:highlight w:val="none"/>
            </w:rPr>
            <w:fldChar w:fldCharType="separate"/>
          </w:r>
          <w:r>
            <w:rPr>
              <w:rFonts w:hint="eastAsia" w:asciiTheme="minorEastAsia" w:hAnsiTheme="minorEastAsia" w:eastAsiaTheme="minorEastAsia"/>
              <w:szCs w:val="21"/>
              <w:highlight w:val="none"/>
            </w:rPr>
            <w:t>《北京市生产安全事故隐患排查治理办法》</w:t>
          </w:r>
          <w:r>
            <w:rPr>
              <w:rFonts w:hint="eastAsia" w:asciiTheme="minorEastAsia" w:hAnsiTheme="minorEastAsia" w:eastAsiaTheme="minorEastAsia"/>
              <w:szCs w:val="21"/>
              <w:highlight w:val="none"/>
              <w:lang w:eastAsia="zh-Hans"/>
            </w:rPr>
            <w:t>案由</w:t>
          </w:r>
          <w:r>
            <w:rPr>
              <w:rFonts w:asciiTheme="minorEastAsia" w:hAnsiTheme="minorEastAsia" w:eastAsiaTheme="minorEastAsia"/>
              <w:szCs w:val="21"/>
              <w:highlight w:val="none"/>
              <w:lang w:eastAsia="zh-Hans"/>
            </w:rPr>
            <w:t>2</w:t>
          </w:r>
          <w:r>
            <w:rPr>
              <w:rFonts w:hint="eastAsia" w:asciiTheme="minorEastAsia" w:hAnsiTheme="minorEastAsia" w:eastAsiaTheme="minorEastAsia"/>
              <w:szCs w:val="21"/>
              <w:highlight w:val="none"/>
              <w:lang w:eastAsia="zh-Hans"/>
            </w:rPr>
            <w:t>项</w:t>
          </w:r>
          <w:r>
            <w:tab/>
          </w:r>
          <w:r>
            <w:fldChar w:fldCharType="begin"/>
          </w:r>
          <w:r>
            <w:instrText xml:space="preserve"> PAGEREF _Toc1963656805 \h </w:instrText>
          </w:r>
          <w:r>
            <w:fldChar w:fldCharType="separate"/>
          </w:r>
          <w:r>
            <w:t>78</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_Toc1911813594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_Toc1911813594 \h </w:instrText>
          </w:r>
          <w:r>
            <w:fldChar w:fldCharType="separate"/>
          </w:r>
          <w:r>
            <w:t>79</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_Toc1781030255 </w:instrText>
          </w:r>
          <w:r>
            <w:rPr>
              <w:highlight w:val="none"/>
            </w:rPr>
            <w:fldChar w:fldCharType="separate"/>
          </w:r>
          <w:r>
            <w:rPr>
              <w:rFonts w:hint="eastAsia" w:ascii="黑体" w:hAnsi="黑体" w:eastAsia="黑体"/>
              <w:szCs w:val="36"/>
              <w:highlight w:val="none"/>
            </w:rPr>
            <w:t>园林绿化管理方面</w:t>
          </w:r>
          <w:r>
            <w:tab/>
          </w:r>
          <w:r>
            <w:fldChar w:fldCharType="begin"/>
          </w:r>
          <w:r>
            <w:instrText xml:space="preserve"> PAGEREF _Toc1781030255 \h </w:instrText>
          </w:r>
          <w:r>
            <w:fldChar w:fldCharType="separate"/>
          </w:r>
          <w:r>
            <w:t>80</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_Toc1097138893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_Toc1097138893 \h </w:instrText>
          </w:r>
          <w:r>
            <w:fldChar w:fldCharType="separate"/>
          </w:r>
          <w:r>
            <w:t>80</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_Toc1516675248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_Toc1516675248 \h </w:instrText>
          </w:r>
          <w:r>
            <w:fldChar w:fldCharType="separate"/>
          </w:r>
          <w:r>
            <w:t>84</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_Toc1284883561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_Toc1284883561 \h </w:instrText>
          </w:r>
          <w:r>
            <w:fldChar w:fldCharType="separate"/>
          </w:r>
          <w:r>
            <w:t>84</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_Toc1270096950 </w:instrText>
          </w:r>
          <w:r>
            <w:rPr>
              <w:highlight w:val="none"/>
            </w:rPr>
            <w:fldChar w:fldCharType="separate"/>
          </w:r>
          <w:r>
            <w:rPr>
              <w:rFonts w:hint="eastAsia"/>
            </w:rPr>
            <w:t>《北京市古树名木保护管理条例》案由</w:t>
          </w:r>
          <w:r>
            <w:rPr>
              <w:rFonts w:hint="eastAsia"/>
              <w:lang w:val="en-US" w:eastAsia="zh-CN"/>
            </w:rPr>
            <w:t>3项</w:t>
          </w:r>
          <w:r>
            <w:tab/>
          </w:r>
          <w:r>
            <w:fldChar w:fldCharType="begin"/>
          </w:r>
          <w:r>
            <w:instrText xml:space="preserve"> PAGEREF _Toc1270096950 \h </w:instrText>
          </w:r>
          <w:r>
            <w:fldChar w:fldCharType="separate"/>
          </w:r>
          <w:r>
            <w:t>89</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_Toc1662411082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_Toc1662411082 \h </w:instrText>
          </w:r>
          <w:r>
            <w:fldChar w:fldCharType="separate"/>
          </w:r>
          <w:r>
            <w:t>89</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_Toc277585206 </w:instrText>
          </w:r>
          <w:r>
            <w:rPr>
              <w:highlight w:val="none"/>
            </w:rPr>
            <w:fldChar w:fldCharType="separate"/>
          </w:r>
          <w:r>
            <w:rPr>
              <w:rFonts w:hint="eastAsia" w:ascii="黑体" w:hAnsi="黑体" w:eastAsia="黑体" w:cs="黑体"/>
              <w:bCs w:val="0"/>
              <w:highlight w:val="none"/>
            </w:rPr>
            <w:t>环境保护管理方面</w:t>
          </w:r>
          <w:r>
            <w:tab/>
          </w:r>
          <w:r>
            <w:fldChar w:fldCharType="begin"/>
          </w:r>
          <w:r>
            <w:instrText xml:space="preserve"> PAGEREF _Toc277585206 \h </w:instrText>
          </w:r>
          <w:r>
            <w:fldChar w:fldCharType="separate"/>
          </w:r>
          <w:r>
            <w:t>92</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_Toc335980618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_Toc335980618 \h </w:instrText>
          </w:r>
          <w:r>
            <w:fldChar w:fldCharType="separate"/>
          </w:r>
          <w:r>
            <w:t>92</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_Toc1112923929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_Toc1112923929 \h </w:instrText>
          </w:r>
          <w:r>
            <w:fldChar w:fldCharType="separate"/>
          </w:r>
          <w:r>
            <w:t>95</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_Toc2026065898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_Toc2026065898 \h </w:instrText>
          </w:r>
          <w:r>
            <w:fldChar w:fldCharType="separate"/>
          </w:r>
          <w:r>
            <w:t>96</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_Toc1713601146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_Toc1713601146 \h </w:instrText>
          </w:r>
          <w:r>
            <w:fldChar w:fldCharType="separate"/>
          </w:r>
          <w:r>
            <w:t>97</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_Toc1152737938 </w:instrText>
          </w:r>
          <w:r>
            <w:rPr>
              <w:highlight w:val="none"/>
            </w:rPr>
            <w:fldChar w:fldCharType="separate"/>
          </w:r>
          <w:r>
            <w:rPr>
              <w:rFonts w:hint="eastAsia" w:ascii="黑体" w:hAnsi="黑体" w:eastAsia="黑体"/>
              <w:szCs w:val="36"/>
              <w:highlight w:val="none"/>
            </w:rPr>
            <w:t>施工现场管理方面</w:t>
          </w:r>
          <w:r>
            <w:tab/>
          </w:r>
          <w:r>
            <w:fldChar w:fldCharType="begin"/>
          </w:r>
          <w:r>
            <w:instrText xml:space="preserve"> PAGEREF _Toc1152737938 \h </w:instrText>
          </w:r>
          <w:r>
            <w:fldChar w:fldCharType="separate"/>
          </w:r>
          <w:r>
            <w:t>98</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_Toc1377348640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_Toc1377348640 \h </w:instrText>
          </w:r>
          <w:r>
            <w:fldChar w:fldCharType="separate"/>
          </w:r>
          <w:r>
            <w:t>98</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_Toc1405674276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_Toc1405674276 \h </w:instrText>
          </w:r>
          <w:r>
            <w:fldChar w:fldCharType="separate"/>
          </w:r>
          <w:r>
            <w:t>100</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_Toc871540661 </w:instrText>
          </w:r>
          <w:r>
            <w:rPr>
              <w:highlight w:val="none"/>
            </w:rPr>
            <w:fldChar w:fldCharType="separate"/>
          </w:r>
          <w:r>
            <w:rPr>
              <w:rFonts w:hint="eastAsia" w:ascii="黑体" w:hAnsi="黑体" w:eastAsia="黑体"/>
              <w:szCs w:val="36"/>
              <w:highlight w:val="none"/>
            </w:rPr>
            <w:t>停车场管理方面</w:t>
          </w:r>
          <w:r>
            <w:tab/>
          </w:r>
          <w:r>
            <w:fldChar w:fldCharType="begin"/>
          </w:r>
          <w:r>
            <w:instrText xml:space="preserve"> PAGEREF _Toc871540661 \h </w:instrText>
          </w:r>
          <w:r>
            <w:fldChar w:fldCharType="separate"/>
          </w:r>
          <w:r>
            <w:t>103</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_Toc939413149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_Toc939413149 \h </w:instrText>
          </w:r>
          <w:r>
            <w:fldChar w:fldCharType="separate"/>
          </w:r>
          <w:r>
            <w:t>103</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_Toc865250467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_Toc865250467 \h </w:instrText>
          </w:r>
          <w:r>
            <w:fldChar w:fldCharType="separate"/>
          </w:r>
          <w:r>
            <w:t>106</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_Toc1046708354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_Toc1046708354 \h </w:instrText>
          </w:r>
          <w:r>
            <w:fldChar w:fldCharType="separate"/>
          </w:r>
          <w:r>
            <w:t>107</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_Toc516849734 </w:instrText>
          </w:r>
          <w:r>
            <w:rPr>
              <w:highlight w:val="none"/>
            </w:rPr>
            <w:fldChar w:fldCharType="separate"/>
          </w:r>
          <w:r>
            <w:rPr>
              <w:rFonts w:hint="eastAsia" w:ascii="黑体" w:hAnsi="黑体" w:eastAsia="黑体"/>
              <w:szCs w:val="36"/>
              <w:highlight w:val="none"/>
            </w:rPr>
            <w:t>交通运输管理方面</w:t>
          </w:r>
          <w:r>
            <w:tab/>
          </w:r>
          <w:r>
            <w:fldChar w:fldCharType="begin"/>
          </w:r>
          <w:r>
            <w:instrText xml:space="preserve"> PAGEREF _Toc516849734 \h </w:instrText>
          </w:r>
          <w:r>
            <w:fldChar w:fldCharType="separate"/>
          </w:r>
          <w:r>
            <w:t>108</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_Toc1749370373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_Toc1749370373 \h </w:instrText>
          </w:r>
          <w:r>
            <w:fldChar w:fldCharType="separate"/>
          </w:r>
          <w:r>
            <w:t>108</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_Toc1828970082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_Toc1828970082 \h </w:instrText>
          </w:r>
          <w:r>
            <w:fldChar w:fldCharType="separate"/>
          </w:r>
          <w:r>
            <w:t>109</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_Toc850008120 </w:instrText>
          </w:r>
          <w:r>
            <w:rPr>
              <w:highlight w:val="none"/>
            </w:rPr>
            <w:fldChar w:fldCharType="separate"/>
          </w:r>
          <w:r>
            <w:rPr>
              <w:rFonts w:hint="eastAsia" w:ascii="黑体" w:hAnsi="黑体" w:eastAsia="黑体"/>
              <w:szCs w:val="36"/>
              <w:highlight w:val="none"/>
            </w:rPr>
            <w:t>市场监督管理（流动无照经营）方面</w:t>
          </w:r>
          <w:r>
            <w:tab/>
          </w:r>
          <w:r>
            <w:fldChar w:fldCharType="begin"/>
          </w:r>
          <w:r>
            <w:instrText xml:space="preserve"> PAGEREF _Toc850008120 \h </w:instrText>
          </w:r>
          <w:r>
            <w:fldChar w:fldCharType="separate"/>
          </w:r>
          <w:r>
            <w:t>109</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_Toc1085677499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_Toc1085677499 \h </w:instrText>
          </w:r>
          <w:r>
            <w:fldChar w:fldCharType="separate"/>
          </w:r>
          <w:r>
            <w:t>109</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_Toc1199414215 </w:instrText>
          </w:r>
          <w:r>
            <w:rPr>
              <w:highlight w:val="none"/>
            </w:rPr>
            <w:fldChar w:fldCharType="separate"/>
          </w:r>
          <w:r>
            <w:rPr>
              <w:rFonts w:hint="eastAsia" w:ascii="黑体" w:hAnsi="黑体" w:eastAsia="黑体"/>
              <w:szCs w:val="36"/>
              <w:highlight w:val="none"/>
            </w:rPr>
            <w:t>城</w:t>
          </w:r>
          <w:r>
            <w:rPr>
              <w:rFonts w:hint="eastAsia" w:ascii="黑体" w:hAnsi="黑体" w:eastAsia="黑体"/>
              <w:szCs w:val="36"/>
              <w:highlight w:val="none"/>
              <w:lang w:eastAsia="zh-CN"/>
            </w:rPr>
            <w:t>乡</w:t>
          </w:r>
          <w:r>
            <w:rPr>
              <w:rFonts w:hint="eastAsia" w:ascii="黑体" w:hAnsi="黑体" w:eastAsia="黑体"/>
              <w:szCs w:val="36"/>
              <w:highlight w:val="none"/>
            </w:rPr>
            <w:t>规划管理方面</w:t>
          </w:r>
          <w:r>
            <w:tab/>
          </w:r>
          <w:r>
            <w:fldChar w:fldCharType="begin"/>
          </w:r>
          <w:r>
            <w:instrText xml:space="preserve"> PAGEREF _Toc1199414215 \h </w:instrText>
          </w:r>
          <w:r>
            <w:fldChar w:fldCharType="separate"/>
          </w:r>
          <w:r>
            <w:t>110</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_Toc811159149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_Toc811159149 \h </w:instrText>
          </w:r>
          <w:r>
            <w:fldChar w:fldCharType="separate"/>
          </w:r>
          <w:r>
            <w:t>110</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_Toc453168720 </w:instrText>
          </w:r>
          <w:r>
            <w:rPr>
              <w:highlight w:val="none"/>
            </w:rPr>
            <w:fldChar w:fldCharType="separate"/>
          </w:r>
          <w:r>
            <w:rPr>
              <w:rFonts w:hint="eastAsia" w:ascii="黑体" w:hAnsi="黑体" w:eastAsia="黑体"/>
              <w:szCs w:val="36"/>
              <w:highlight w:val="none"/>
            </w:rPr>
            <w:t>旅游管理（黑导游）方面</w:t>
          </w:r>
          <w:r>
            <w:tab/>
          </w:r>
          <w:r>
            <w:fldChar w:fldCharType="begin"/>
          </w:r>
          <w:r>
            <w:instrText xml:space="preserve"> PAGEREF _Toc453168720 \h </w:instrText>
          </w:r>
          <w:r>
            <w:fldChar w:fldCharType="separate"/>
          </w:r>
          <w:r>
            <w:t>111</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_Toc2018693019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_Toc2018693019 \h </w:instrText>
          </w:r>
          <w:r>
            <w:fldChar w:fldCharType="separate"/>
          </w:r>
          <w:r>
            <w:t>111</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_Toc2122998501 </w:instrText>
          </w:r>
          <w:r>
            <w:rPr>
              <w:highlight w:val="none"/>
            </w:rPr>
            <w:fldChar w:fldCharType="separate"/>
          </w:r>
          <w:r>
            <w:rPr>
              <w:rFonts w:hint="eastAsia" w:ascii="黑体" w:hAnsi="黑体" w:eastAsia="黑体"/>
              <w:szCs w:val="36"/>
              <w:highlight w:val="none"/>
            </w:rPr>
            <w:t>食品安全管理方面</w:t>
          </w:r>
          <w:r>
            <w:tab/>
          </w:r>
          <w:r>
            <w:fldChar w:fldCharType="begin"/>
          </w:r>
          <w:r>
            <w:instrText xml:space="preserve"> PAGEREF _Toc2122998501 \h </w:instrText>
          </w:r>
          <w:r>
            <w:fldChar w:fldCharType="separate"/>
          </w:r>
          <w:r>
            <w:t>111</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_Toc347100741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_Toc347100741 \h </w:instrText>
          </w:r>
          <w:r>
            <w:fldChar w:fldCharType="separate"/>
          </w:r>
          <w:r>
            <w:t>111</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_Toc1834866177 </w:instrText>
          </w:r>
          <w:r>
            <w:rPr>
              <w:highlight w:val="none"/>
            </w:rPr>
            <w:fldChar w:fldCharType="separate"/>
          </w:r>
          <w:r>
            <w:rPr>
              <w:rFonts w:hint="eastAsia" w:ascii="黑体" w:hAnsi="黑体" w:eastAsia="黑体"/>
              <w:szCs w:val="36"/>
              <w:highlight w:val="none"/>
            </w:rPr>
            <w:t>能源运行管理方面</w:t>
          </w:r>
          <w:r>
            <w:tab/>
          </w:r>
          <w:r>
            <w:fldChar w:fldCharType="begin"/>
          </w:r>
          <w:r>
            <w:instrText xml:space="preserve"> PAGEREF _Toc1834866177 \h </w:instrText>
          </w:r>
          <w:r>
            <w:fldChar w:fldCharType="separate"/>
          </w:r>
          <w:r>
            <w:t>117</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_Toc1887328448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_Toc1887328448 \h </w:instrText>
          </w:r>
          <w:r>
            <w:fldChar w:fldCharType="separate"/>
          </w:r>
          <w:r>
            <w:t>117</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_Toc2128130996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_Toc2128130996 \h </w:instrText>
          </w:r>
          <w:r>
            <w:fldChar w:fldCharType="separate"/>
          </w:r>
          <w:r>
            <w:t>117</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_Toc784521422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_Toc784521422 \h </w:instrText>
          </w:r>
          <w:r>
            <w:fldChar w:fldCharType="separate"/>
          </w:r>
          <w:r>
            <w:t>118</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_Toc1256520048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_Toc1256520048 \h </w:instrText>
          </w:r>
          <w:r>
            <w:fldChar w:fldCharType="separate"/>
          </w:r>
          <w:r>
            <w:t>119</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_Toc1265530909 </w:instrText>
          </w:r>
          <w:r>
            <w:rPr>
              <w:highlight w:val="none"/>
            </w:rPr>
            <w:fldChar w:fldCharType="separate"/>
          </w:r>
          <w:r>
            <w:rPr>
              <w:rFonts w:hint="eastAsia"/>
              <w:szCs w:val="21"/>
              <w:lang w:val="en-US" w:eastAsia="zh-CN"/>
            </w:rPr>
            <w:t>《北京市优化营商环境条例》案由1项</w:t>
          </w:r>
          <w:r>
            <w:tab/>
          </w:r>
          <w:r>
            <w:fldChar w:fldCharType="begin"/>
          </w:r>
          <w:r>
            <w:instrText xml:space="preserve"> PAGEREF _Toc1265530909 \h </w:instrText>
          </w:r>
          <w:r>
            <w:fldChar w:fldCharType="separate"/>
          </w:r>
          <w:r>
            <w:t>120</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_Toc2054618372 </w:instrText>
          </w:r>
          <w:r>
            <w:rPr>
              <w:highlight w:val="none"/>
            </w:rPr>
            <w:fldChar w:fldCharType="separate"/>
          </w:r>
          <w:r>
            <w:rPr>
              <w:rFonts w:hint="eastAsia" w:asciiTheme="minorEastAsia" w:hAnsiTheme="minorEastAsia" w:eastAsiaTheme="minorEastAsia"/>
              <w:szCs w:val="21"/>
              <w:highlight w:val="none"/>
            </w:rPr>
            <w:t>《中华人民共和国石油天然气管道保护法》案由22项</w:t>
          </w:r>
          <w:r>
            <w:tab/>
          </w:r>
          <w:r>
            <w:fldChar w:fldCharType="begin"/>
          </w:r>
          <w:r>
            <w:instrText xml:space="preserve"> PAGEREF _Toc2054618372 \h </w:instrText>
          </w:r>
          <w:r>
            <w:fldChar w:fldCharType="separate"/>
          </w:r>
          <w:r>
            <w:t>120</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_Toc771447482 </w:instrText>
          </w:r>
          <w:r>
            <w:rPr>
              <w:highlight w:val="none"/>
            </w:rPr>
            <w:fldChar w:fldCharType="separate"/>
          </w:r>
          <w:r>
            <w:rPr>
              <w:rFonts w:hint="eastAsia"/>
            </w:rPr>
            <w:t>国际交往语言环境建设方面</w:t>
          </w:r>
          <w:r>
            <w:tab/>
          </w:r>
          <w:r>
            <w:fldChar w:fldCharType="begin"/>
          </w:r>
          <w:r>
            <w:instrText xml:space="preserve"> PAGEREF _Toc771447482 \h </w:instrText>
          </w:r>
          <w:r>
            <w:fldChar w:fldCharType="separate"/>
          </w:r>
          <w:r>
            <w:t>125</w:t>
          </w:r>
          <w:r>
            <w:fldChar w:fldCharType="end"/>
          </w:r>
          <w:r>
            <w:rPr>
              <w:color w:val="auto"/>
              <w:highlight w:val="none"/>
            </w:rPr>
            <w:fldChar w:fldCharType="end"/>
          </w:r>
        </w:p>
        <w:p>
          <w:pPr>
            <w:pStyle w:val="20"/>
            <w:tabs>
              <w:tab w:val="right" w:leader="dot" w:pos="9582"/>
            </w:tabs>
          </w:pPr>
          <w:r>
            <w:rPr>
              <w:color w:val="auto"/>
              <w:highlight w:val="none"/>
            </w:rPr>
            <w:fldChar w:fldCharType="begin"/>
          </w:r>
          <w:r>
            <w:rPr>
              <w:highlight w:val="none"/>
            </w:rPr>
            <w:instrText xml:space="preserve"> HYPERLINK \l _Toc1543116115 </w:instrText>
          </w:r>
          <w:r>
            <w:rPr>
              <w:highlight w:val="none"/>
            </w:rPr>
            <w:fldChar w:fldCharType="separate"/>
          </w:r>
          <w:r>
            <w:rPr>
              <w:rFonts w:hint="eastAsia"/>
            </w:rPr>
            <w:t>《</w:t>
          </w:r>
          <w:r>
            <w:rPr>
              <w:rFonts w:hint="eastAsia"/>
              <w:lang w:val="zh-CN"/>
            </w:rPr>
            <w:t>北京市国际交往语言环境建设条例</w:t>
          </w:r>
          <w:r>
            <w:rPr>
              <w:rFonts w:hint="eastAsia"/>
            </w:rPr>
            <w:t>》案由4项</w:t>
          </w:r>
          <w:r>
            <w:tab/>
          </w:r>
          <w:r>
            <w:fldChar w:fldCharType="begin"/>
          </w:r>
          <w:r>
            <w:instrText xml:space="preserve"> PAGEREF _Toc1543116115 \h </w:instrText>
          </w:r>
          <w:r>
            <w:fldChar w:fldCharType="separate"/>
          </w:r>
          <w:r>
            <w:t>125</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_Toc243115343 </w:instrText>
          </w:r>
          <w:r>
            <w:rPr>
              <w:highlight w:val="none"/>
            </w:rPr>
            <w:fldChar w:fldCharType="separate"/>
          </w:r>
          <w:r>
            <w:rPr>
              <w:rFonts w:hint="eastAsia"/>
              <w:szCs w:val="21"/>
            </w:rPr>
            <w:t>生态环境</w:t>
          </w:r>
          <w:r>
            <w:rPr>
              <w:rFonts w:hint="eastAsia"/>
              <w:szCs w:val="21"/>
              <w:lang w:eastAsia="zh-CN"/>
            </w:rPr>
            <w:t>下放</w:t>
          </w:r>
          <w:r>
            <w:rPr>
              <w:rFonts w:hint="eastAsia"/>
              <w:szCs w:val="21"/>
              <w:lang w:val="en-US" w:eastAsia="zh-CN"/>
            </w:rPr>
            <w:t>2</w:t>
          </w:r>
          <w:r>
            <w:rPr>
              <w:rFonts w:hint="eastAsia"/>
              <w:szCs w:val="21"/>
            </w:rPr>
            <w:t>项</w:t>
          </w:r>
          <w:r>
            <w:tab/>
          </w:r>
          <w:r>
            <w:fldChar w:fldCharType="begin"/>
          </w:r>
          <w:r>
            <w:instrText xml:space="preserve"> PAGEREF _Toc243115343 \h </w:instrText>
          </w:r>
          <w:r>
            <w:fldChar w:fldCharType="separate"/>
          </w:r>
          <w:r>
            <w:t>126</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_Toc1884371412 </w:instrText>
          </w:r>
          <w:r>
            <w:rPr>
              <w:highlight w:val="none"/>
            </w:rPr>
            <w:fldChar w:fldCharType="separate"/>
          </w:r>
          <w:r>
            <w:rPr>
              <w:rFonts w:hint="eastAsia"/>
              <w:szCs w:val="21"/>
            </w:rPr>
            <w:t>水务管理方面</w:t>
          </w:r>
          <w:r>
            <w:rPr>
              <w:rFonts w:hint="eastAsia"/>
              <w:szCs w:val="21"/>
              <w:lang w:val="en-US" w:eastAsia="zh-CN"/>
            </w:rPr>
            <w:t>20</w:t>
          </w:r>
          <w:r>
            <w:rPr>
              <w:rFonts w:hint="eastAsia"/>
              <w:szCs w:val="21"/>
            </w:rPr>
            <w:t>项</w:t>
          </w:r>
          <w:r>
            <w:tab/>
          </w:r>
          <w:r>
            <w:fldChar w:fldCharType="begin"/>
          </w:r>
          <w:r>
            <w:instrText xml:space="preserve"> PAGEREF _Toc1884371412 \h </w:instrText>
          </w:r>
          <w:r>
            <w:fldChar w:fldCharType="separate"/>
          </w:r>
          <w:r>
            <w:t>126</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_Toc1421698366 </w:instrText>
          </w:r>
          <w:r>
            <w:rPr>
              <w:highlight w:val="none"/>
            </w:rPr>
            <w:fldChar w:fldCharType="separate"/>
          </w:r>
          <w:r>
            <w:rPr>
              <w:rFonts w:hint="eastAsia"/>
              <w:szCs w:val="21"/>
            </w:rPr>
            <w:t>农业农村</w:t>
          </w:r>
          <w:r>
            <w:rPr>
              <w:rFonts w:hint="eastAsia"/>
              <w:szCs w:val="21"/>
              <w:lang w:eastAsia="zh-CN"/>
            </w:rPr>
            <w:t>下放</w:t>
          </w:r>
          <w:r>
            <w:rPr>
              <w:rFonts w:hint="eastAsia"/>
              <w:szCs w:val="21"/>
            </w:rPr>
            <w:t>1项</w:t>
          </w:r>
          <w:r>
            <w:tab/>
          </w:r>
          <w:r>
            <w:fldChar w:fldCharType="begin"/>
          </w:r>
          <w:r>
            <w:instrText xml:space="preserve"> PAGEREF _Toc1421698366 \h </w:instrText>
          </w:r>
          <w:r>
            <w:fldChar w:fldCharType="separate"/>
          </w:r>
          <w:r>
            <w:t>131</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_Toc1956716489 </w:instrText>
          </w:r>
          <w:r>
            <w:rPr>
              <w:highlight w:val="none"/>
            </w:rPr>
            <w:fldChar w:fldCharType="separate"/>
          </w:r>
          <w:r>
            <w:rPr>
              <w:rFonts w:hint="eastAsia"/>
              <w:szCs w:val="21"/>
            </w:rPr>
            <w:t>卫生健康</w:t>
          </w:r>
          <w:r>
            <w:rPr>
              <w:rFonts w:hint="eastAsia"/>
              <w:szCs w:val="21"/>
              <w:lang w:eastAsia="zh-CN"/>
            </w:rPr>
            <w:t>下放</w:t>
          </w:r>
          <w:r>
            <w:rPr>
              <w:rFonts w:hint="eastAsia"/>
              <w:szCs w:val="21"/>
              <w:lang w:val="en-US" w:eastAsia="zh-CN"/>
            </w:rPr>
            <w:t>5</w:t>
          </w:r>
          <w:r>
            <w:rPr>
              <w:rFonts w:hint="eastAsia"/>
              <w:szCs w:val="21"/>
            </w:rPr>
            <w:t>项</w:t>
          </w:r>
          <w:r>
            <w:tab/>
          </w:r>
          <w:r>
            <w:fldChar w:fldCharType="begin"/>
          </w:r>
          <w:r>
            <w:instrText xml:space="preserve"> PAGEREF _Toc1956716489 \h </w:instrText>
          </w:r>
          <w:r>
            <w:fldChar w:fldCharType="separate"/>
          </w:r>
          <w:r>
            <w:t>131</w:t>
          </w:r>
          <w:r>
            <w:fldChar w:fldCharType="end"/>
          </w:r>
          <w:r>
            <w:rPr>
              <w:color w:val="auto"/>
              <w:highlight w:val="none"/>
            </w:rPr>
            <w:fldChar w:fldCharType="end"/>
          </w:r>
        </w:p>
        <w:p>
          <w:pPr>
            <w:pStyle w:val="18"/>
            <w:tabs>
              <w:tab w:val="right" w:leader="dot" w:pos="9582"/>
            </w:tabs>
          </w:pPr>
          <w:r>
            <w:rPr>
              <w:color w:val="auto"/>
              <w:highlight w:val="none"/>
            </w:rPr>
            <w:fldChar w:fldCharType="begin"/>
          </w:r>
          <w:r>
            <w:rPr>
              <w:highlight w:val="none"/>
            </w:rPr>
            <w:instrText xml:space="preserve"> HYPERLINK \l _Toc889625702 </w:instrText>
          </w:r>
          <w:r>
            <w:rPr>
              <w:highlight w:val="none"/>
            </w:rPr>
            <w:fldChar w:fldCharType="separate"/>
          </w:r>
          <w:r>
            <w:rPr>
              <w:rFonts w:hint="eastAsia"/>
              <w:bCs/>
              <w:szCs w:val="21"/>
              <w:lang w:eastAsia="zh-CN"/>
            </w:rPr>
            <w:t>住房城乡建设下放</w:t>
          </w:r>
          <w:r>
            <w:rPr>
              <w:rFonts w:hint="eastAsia"/>
              <w:bCs/>
              <w:szCs w:val="21"/>
              <w:lang w:val="en-US" w:eastAsia="zh-CN"/>
            </w:rPr>
            <w:t>3项</w:t>
          </w:r>
          <w:r>
            <w:tab/>
          </w:r>
          <w:r>
            <w:fldChar w:fldCharType="begin"/>
          </w:r>
          <w:r>
            <w:instrText xml:space="preserve"> PAGEREF _Toc889625702 \h </w:instrText>
          </w:r>
          <w:r>
            <w:fldChar w:fldCharType="separate"/>
          </w:r>
          <w:r>
            <w:t>132</w:t>
          </w:r>
          <w:r>
            <w:fldChar w:fldCharType="end"/>
          </w:r>
          <w:r>
            <w:rPr>
              <w:color w:val="auto"/>
              <w:highlight w:val="none"/>
            </w:rPr>
            <w:fldChar w:fldCharType="end"/>
          </w:r>
        </w:p>
        <w:p>
          <w:pPr>
            <w:pStyle w:val="23"/>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3"/>
        <w:rPr>
          <w:rFonts w:hint="eastAsia"/>
          <w:color w:val="auto"/>
          <w:highlight w:val="none"/>
        </w:rPr>
      </w:pPr>
    </w:p>
    <w:tbl>
      <w:tblPr>
        <w:tblStyle w:val="24"/>
        <w:tblW w:w="14218"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500"/>
        <w:gridCol w:w="2789"/>
        <w:gridCol w:w="851"/>
        <w:gridCol w:w="840"/>
        <w:gridCol w:w="2304"/>
        <w:gridCol w:w="1785"/>
        <w:gridCol w:w="2385"/>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9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50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0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变量系数</w:t>
            </w:r>
          </w:p>
        </w:tc>
        <w:tc>
          <w:tcPr>
            <w:tcW w:w="17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385"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24"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rPr>
                <w:rFonts w:ascii="黑体" w:hAnsi="黑体" w:eastAsia="黑体"/>
                <w:b w:val="0"/>
                <w:color w:val="auto"/>
                <w:sz w:val="28"/>
                <w:szCs w:val="28"/>
                <w:highlight w:val="none"/>
              </w:rPr>
            </w:pPr>
            <w:bookmarkStart w:id="0" w:name="_Toc110851435"/>
            <w:bookmarkStart w:id="1" w:name="_Toc1748547838"/>
            <w:bookmarkStart w:id="2" w:name="_Toc526440799"/>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4"/>
              <w:widowControl w:val="0"/>
              <w:spacing w:line="232" w:lineRule="exact"/>
              <w:rPr>
                <w:rFonts w:asciiTheme="minorEastAsia" w:hAnsiTheme="minorEastAsia" w:eastAsiaTheme="minorEastAsia"/>
                <w:color w:val="auto"/>
                <w:sz w:val="15"/>
                <w:szCs w:val="15"/>
                <w:highlight w:val="none"/>
              </w:rPr>
            </w:pPr>
            <w:bookmarkStart w:id="3" w:name="_Toc1944272260"/>
            <w:bookmarkStart w:id="4" w:name="_Toc110851436"/>
            <w:bookmarkStart w:id="5" w:name="_Toc1144378001"/>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逾期不改正的情形，不记入本案由“</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其它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4" w:hRule="atLeast"/>
          <w:jc w:val="center"/>
        </w:trPr>
        <w:tc>
          <w:tcPr>
            <w:tcW w:w="9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shd w:val="clear" w:color="auto" w:fill="auto"/>
            <w:vAlign w:val="center"/>
          </w:tcPr>
          <w:p>
            <w:pPr>
              <w:pStyle w:val="8"/>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8" w:hRule="atLeast"/>
          <w:jc w:val="center"/>
        </w:trPr>
        <w:tc>
          <w:tcPr>
            <w:tcW w:w="940" w:type="dxa"/>
            <w:shd w:val="clear" w:color="auto" w:fill="auto"/>
            <w:vAlign w:val="center"/>
          </w:tcPr>
          <w:p>
            <w:pPr>
              <w:pStyle w:val="8"/>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pStyle w:val="8"/>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shd w:val="clear" w:color="auto" w:fill="auto"/>
            <w:vAlign w:val="center"/>
          </w:tcPr>
          <w:p>
            <w:pPr>
              <w:pStyle w:val="8"/>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8"/>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8"/>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pStyle w:val="8"/>
              <w:spacing w:line="212" w:lineRule="exact"/>
              <w:jc w:val="both"/>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pStyle w:val="8"/>
              <w:spacing w:line="212" w:lineRule="exact"/>
              <w:jc w:val="both"/>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pStyle w:val="8"/>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c>
          <w:tcPr>
            <w:tcW w:w="824" w:type="dxa"/>
            <w:shd w:val="clear" w:color="auto" w:fill="auto"/>
            <w:vAlign w:val="center"/>
          </w:tcPr>
          <w:p>
            <w:pPr>
              <w:pStyle w:val="8"/>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pStyle w:val="8"/>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2.占用非机动车道或者其它公共场所，面积较大，系数1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.使用畜力车、农用运输车及其它机动车、电动车为工具的，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p>
        </w:tc>
        <w:tc>
          <w:tcPr>
            <w:tcW w:w="17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p>
            <w:pPr>
              <w:pStyle w:val="23"/>
              <w:spacing w:after="0" w:line="230" w:lineRule="exact"/>
              <w:ind w:firstLine="300"/>
              <w:rPr>
                <w:rFonts w:cs="宋体" w:asciiTheme="minorEastAsia" w:hAnsiTheme="minorEastAsia" w:eastAsiaTheme="minorEastAsia"/>
                <w:color w:val="auto"/>
                <w:kern w:val="0"/>
                <w:sz w:val="15"/>
                <w:szCs w:val="15"/>
                <w:highlight w:val="none"/>
              </w:rPr>
            </w:pPr>
          </w:p>
          <w:p>
            <w:pPr>
              <w:pStyle w:val="23"/>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系数为1-3；2.占用非机动车道或者其它公共场所，面积较大，系数为1-3；3.占用无障碍设施或者机动车道的，系数为4-6；4.在公共绿地、燃气、热力等保护范围、管理范围堆放的，系数4-6；5.堆放易燃易爆等危险物品的，系数为5-9；6.造成交通秩序、市容秩序严重混乱的，系数5-9；7.造成人员伤亡的，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占用非机动车道或者其它公共场所，面积较大，系数为1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占用无障碍设施或者机动车道的，系数为4-6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w:t>
            </w:r>
            <w:r>
              <w:rPr>
                <w:rFonts w:hint="eastAsia" w:cs="宋体" w:asciiTheme="minorEastAsia" w:hAnsiTheme="minorEastAsia" w:eastAsiaTheme="minorEastAsia"/>
                <w:b/>
                <w:bCs/>
                <w:color w:val="auto"/>
                <w:kern w:val="0"/>
                <w:sz w:val="15"/>
                <w:szCs w:val="15"/>
                <w:highlight w:val="none"/>
                <w:lang w:val="en-US" w:eastAsia="zh-CN"/>
              </w:rPr>
              <w:t>。</w:t>
            </w:r>
          </w:p>
        </w:tc>
        <w:tc>
          <w:tcPr>
            <w:tcW w:w="17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1.占用非机动车道或者其它公共场所，面积较大，系数</w:t>
            </w:r>
            <w:r>
              <w:rPr>
                <w:rFonts w:hint="eastAsia" w:cs="宋体" w:asciiTheme="minorEastAsia" w:hAnsiTheme="minorEastAsia" w:eastAsiaTheme="minorEastAsia"/>
                <w:b/>
                <w:bCs/>
                <w:color w:val="auto"/>
                <w:kern w:val="0"/>
                <w:sz w:val="15"/>
                <w:szCs w:val="15"/>
                <w:highlight w:val="none"/>
              </w:rPr>
              <w:t>1</w:t>
            </w:r>
            <w:r>
              <w:rPr>
                <w:rFonts w:hint="eastAsia" w:cs="宋体" w:asciiTheme="minorEastAsia" w:hAnsiTheme="minorEastAsia" w:eastAsiaTheme="minorEastAsia"/>
                <w:b/>
                <w:bCs/>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在城市道路及其它公共场所晾晒衣物、吊挂物品</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1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9"/>
              <w:rPr>
                <w:rFonts w:hint="eastAsia"/>
                <w:color w:val="auto"/>
                <w:highlight w:val="none"/>
              </w:rPr>
            </w:pP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pStyle w:val="23"/>
              <w:spacing w:after="0" w:line="232" w:lineRule="exact"/>
              <w:ind w:firstLine="300"/>
              <w:rPr>
                <w:rFonts w:asciiTheme="minorEastAsia" w:hAnsiTheme="minorEastAsia" w:eastAsiaTheme="minorEastAsia"/>
                <w:color w:val="auto"/>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1.因散发、悬挂等行为影响交通通行的，系数为2；2.张贴、喷涂等污损名胜古迹的，或者严重污损市政、环卫、电信等设施、城市道路、墙体的，系数5；3.其它情形按照《基准》的规定执行。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1.散发，系数为1；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4.其它按照《基准》的规定执行。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u w:val="singl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7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其它严重危害情节的，可视为情节严重。</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3"/>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3"/>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3"/>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逾期不清除临时设施的，每逾期2天，系数为１，以此累加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pStyle w:val="23"/>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500"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1.占用非机动车道或者占用其它公共场所面积较大，或者造成通行秩序、市容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，系数为1</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占用无障碍设施、机动车道、绿地的，系数</w:t>
            </w:r>
            <w:r>
              <w:rPr>
                <w:rFonts w:hint="eastAsia" w:cs="宋体" w:asciiTheme="minorEastAsia" w:hAnsiTheme="minorEastAsia" w:eastAsiaTheme="minorEastAsia"/>
                <w:color w:val="auto"/>
                <w:kern w:val="0"/>
                <w:sz w:val="15"/>
                <w:szCs w:val="15"/>
                <w:highlight w:val="none"/>
                <w:lang w:eastAsia="zh-CN"/>
              </w:rPr>
              <w:t>为</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构成变量系数一栏中相关情节的，视为情节严重，适用此档处罚。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500"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罚款数额＝50×（1＋区域系数）。</w:t>
            </w:r>
          </w:p>
        </w:tc>
        <w:tc>
          <w:tcPr>
            <w:tcW w:w="2385" w:type="dxa"/>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情节之一的，视为情节严重。</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以内的，系数为</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其它需要从轻处罚的，报案审会决定。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rPr>
              <w:t>1；6－10㎡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擅自改变车站、机场、居民小区、医院、学校、体育场馆、影剧院、繁华商业街区、旅游景区等人口集中地区环卫设施的，系数为</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599974242"/>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变量系数为1；（以餐饮服务许可标注的类别为准）</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2.旅馆经营单位，符合《星级饭店评定标准》四星及以上的或至少有40间（套）可供出租的客房的，变量系数为1。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asciiTheme="minorEastAsia" w:hAnsiTheme="minorEastAsia" w:eastAsiaTheme="minorEastAsia"/>
                <w:color w:val="auto"/>
                <w:sz w:val="15"/>
                <w:szCs w:val="15"/>
                <w:highlight w:val="none"/>
              </w:rPr>
              <w:t>特大型、大型餐饮经营者，</w:t>
            </w:r>
            <w:r>
              <w:rPr>
                <w:rFonts w:hint="eastAsia" w:asciiTheme="minorEastAsia" w:hAnsiTheme="minorEastAsia" w:eastAsiaTheme="minorEastAsia"/>
                <w:color w:val="auto"/>
                <w:sz w:val="15"/>
                <w:szCs w:val="15"/>
                <w:highlight w:val="none"/>
                <w:lang w:eastAsia="zh-CN"/>
              </w:rPr>
              <w:t>或者外卖平台企业，</w:t>
            </w:r>
            <w:r>
              <w:rPr>
                <w:rFonts w:hint="eastAsia" w:asciiTheme="minorEastAsia" w:hAnsiTheme="minorEastAsia" w:eastAsiaTheme="minorEastAsia"/>
                <w:color w:val="auto"/>
                <w:sz w:val="15"/>
                <w:szCs w:val="15"/>
                <w:highlight w:val="none"/>
              </w:rPr>
              <w:t>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；（以餐饮服务许可标注的类别为准）2.旅馆经营单位，符合《星级饭店评定标准》四星及以上的或至少有40间（套）可供出租的客房的，变量系数为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w:t>
            </w:r>
            <w:r>
              <w:rPr>
                <w:rFonts w:hint="eastAsia" w:cs="宋体" w:asciiTheme="minorEastAsia" w:hAnsiTheme="minorEastAsia" w:eastAsiaTheme="minorEastAsia"/>
                <w:color w:val="auto"/>
                <w:kern w:val="0"/>
                <w:sz w:val="15"/>
                <w:szCs w:val="15"/>
                <w:highlight w:val="none"/>
                <w:lang w:eastAsia="zh-CN"/>
              </w:rPr>
              <w:t>市区城管执法部门以及</w:t>
            </w:r>
            <w:r>
              <w:rPr>
                <w:rFonts w:hint="eastAsia" w:cs="宋体" w:asciiTheme="minorEastAsia" w:hAnsiTheme="minorEastAsia" w:eastAsiaTheme="minorEastAsia"/>
                <w:color w:val="auto"/>
                <w:kern w:val="0"/>
                <w:sz w:val="15"/>
                <w:szCs w:val="15"/>
                <w:highlight w:val="none"/>
              </w:rPr>
              <w:t>街道办事处、乡镇人民政府书面告诫或者处罚的</w:t>
            </w:r>
            <w:r>
              <w:rPr>
                <w:rFonts w:hint="eastAsia" w:cs="宋体" w:asciiTheme="minorEastAsia" w:hAnsiTheme="minorEastAsia" w:eastAsiaTheme="minorEastAsia"/>
                <w:color w:val="auto"/>
                <w:kern w:val="0"/>
                <w:sz w:val="15"/>
                <w:szCs w:val="15"/>
                <w:highlight w:val="none"/>
                <w:lang w:eastAsia="zh-CN"/>
              </w:rPr>
              <w:t>常量</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；2.其他垃圾未投入相应标识的收集容器系数为0-3；3.厨余垃圾未投入相应标识的收集容器系数为1-5；4.有害垃圾 未投入相应标识的收集容器系数为1-5。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厨余垃圾、有害垃圾未投入</w:t>
            </w:r>
            <w:r>
              <w:rPr>
                <w:rFonts w:hint="eastAsia" w:asciiTheme="minorEastAsia" w:hAnsiTheme="minorEastAsia" w:eastAsiaTheme="minorEastAsia"/>
                <w:color w:val="auto"/>
                <w:sz w:val="15"/>
                <w:szCs w:val="15"/>
                <w:highlight w:val="none"/>
              </w:rPr>
              <w:t>相应标识的收集容器视为情节严重；可回收物、其他垃圾</w:t>
            </w:r>
            <w:r>
              <w:rPr>
                <w:rFonts w:hint="eastAsia" w:cs="宋体" w:asciiTheme="minorEastAsia" w:hAnsiTheme="minorEastAsia" w:eastAsiaTheme="minorEastAsia"/>
                <w:color w:val="auto"/>
                <w:kern w:val="0"/>
                <w:sz w:val="15"/>
                <w:szCs w:val="15"/>
                <w:highlight w:val="none"/>
              </w:rPr>
              <w:t>未投入</w:t>
            </w:r>
            <w:r>
              <w:rPr>
                <w:rFonts w:hint="eastAsia" w:asciiTheme="minorEastAsia" w:hAnsiTheme="minorEastAsia" w:eastAsiaTheme="minorEastAsia"/>
                <w:color w:val="auto"/>
                <w:sz w:val="15"/>
                <w:szCs w:val="15"/>
                <w:highlight w:val="none"/>
              </w:rPr>
              <w:t>相应标识的收集容器，垃圾投入量较大,造成垃圾满冒或随意堆放的情况视为情节严重。</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1.可回收物未投入相应标识的收集容器系数为0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；2.其他垃圾未投入相应标识的收集容器系数为0-3；3.厨余垃圾未投入相应标识的收集容器系数为1-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有害垃圾未投入相应标识的收集容器系数为1-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rPr>
              <w:t>。</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堆放在城市道路、居住小区消防通道</w:t>
            </w:r>
            <w:r>
              <w:rPr>
                <w:rFonts w:hint="eastAsia" w:asciiTheme="minorEastAsia" w:hAnsiTheme="minorEastAsia" w:eastAsiaTheme="minorEastAsia"/>
                <w:color w:val="auto"/>
                <w:sz w:val="15"/>
                <w:szCs w:val="15"/>
                <w:highlight w:val="none"/>
                <w:shd w:val="clear" w:color="auto" w:fill="FFFFFF"/>
              </w:rPr>
              <w:t>等共用部位</w:t>
            </w:r>
            <w:r>
              <w:rPr>
                <w:rFonts w:hint="eastAsia" w:cs="宋体" w:asciiTheme="minorEastAsia" w:hAnsiTheme="minorEastAsia" w:eastAsiaTheme="minorEastAsia"/>
                <w:color w:val="auto"/>
                <w:kern w:val="0"/>
                <w:sz w:val="15"/>
                <w:szCs w:val="15"/>
                <w:highlight w:val="none"/>
              </w:rPr>
              <w:t>；占压燃气、供暖等公用管道和设施保护（管理）范围的，或者绿地、林地、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内的，视为情节严重。</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3"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1.未单独投放在相应的容器或者生活垃圾分类管理责任人指定的地点，系数为0-1；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7" w:hRule="atLeast"/>
          <w:jc w:val="center"/>
        </w:trPr>
        <w:tc>
          <w:tcPr>
            <w:tcW w:w="94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94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1.未单独堆放在生活垃圾分类管理责任人指定的地点，系数为0-1；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的，系数为0；6－10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1.同时存在第三十六条第一款第（一）、（二）、（三）、（四）、（六）项违法行为中2项行为的，系数为1-2；3项及以上行为的，系数为3-5；2．生活垃圾分类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因生活垃圾分类收集容器配备不足造成垃圾满冒或随意堆放造成环境秩序较严重影响的，系数为3-5</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1.违法行为持续时间较长，系数为2-3；2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垃圾产生量较大，系数为3-4；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5-9</w:t>
            </w:r>
            <w:r>
              <w:rPr>
                <w:rFonts w:hint="eastAsia" w:asciiTheme="minorEastAsia" w:hAnsiTheme="minorEastAsia" w:eastAsiaTheme="minorEastAsia"/>
                <w:b/>
                <w:bCs/>
                <w:color w:val="auto"/>
                <w:sz w:val="15"/>
                <w:szCs w:val="15"/>
                <w:highlight w:val="none"/>
                <w:lang w:val="en-US" w:eastAsia="zh-CN"/>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pacing w:val="-4"/>
                <w:sz w:val="15"/>
                <w:szCs w:val="15"/>
                <w:highlight w:val="none"/>
              </w:rPr>
              <w:t>造成环境秩序较严重影响的，系数</w:t>
            </w:r>
            <w:r>
              <w:rPr>
                <w:rFonts w:hint="eastAsia" w:asciiTheme="minorEastAsia" w:hAnsiTheme="minorEastAsia" w:eastAsiaTheme="minorEastAsia"/>
                <w:strike w:val="0"/>
                <w:dstrike w:val="0"/>
                <w:color w:val="auto"/>
                <w:spacing w:val="-4"/>
                <w:sz w:val="15"/>
                <w:szCs w:val="15"/>
                <w:highlight w:val="none"/>
                <w:lang w:val="en-US" w:eastAsia="zh-CN"/>
              </w:rPr>
              <w:t>2-4</w:t>
            </w:r>
            <w:r>
              <w:rPr>
                <w:rFonts w:hint="eastAsia" w:asciiTheme="minorEastAsia" w:hAnsiTheme="minorEastAsia" w:eastAsiaTheme="minorEastAsia"/>
                <w:color w:val="auto"/>
                <w:spacing w:val="-4"/>
                <w:sz w:val="15"/>
                <w:szCs w:val="15"/>
                <w:highlight w:val="none"/>
              </w:rPr>
              <w:t>。</w:t>
            </w:r>
          </w:p>
        </w:tc>
        <w:tc>
          <w:tcPr>
            <w:tcW w:w="1785"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1.排放登记内容每缺少一项，系数加1；2</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pacing w:val="-4"/>
                <w:sz w:val="15"/>
                <w:szCs w:val="15"/>
                <w:highlight w:val="none"/>
                <w:lang w:eastAsia="zh-CN"/>
              </w:rPr>
              <w:t>登记</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.违法行为持续时间较长，垃圾产生量较</w:t>
            </w:r>
            <w:r>
              <w:rPr>
                <w:rFonts w:hint="eastAsia" w:asciiTheme="minorEastAsia" w:hAnsiTheme="minorEastAsia" w:eastAsiaTheme="minorEastAsia"/>
                <w:strike w:val="0"/>
                <w:dstrike w:val="0"/>
                <w:color w:val="auto"/>
                <w:spacing w:val="-4"/>
                <w:sz w:val="15"/>
                <w:szCs w:val="15"/>
                <w:highlight w:val="none"/>
              </w:rPr>
              <w:t>大，系数为2-4；</w:t>
            </w:r>
            <w:r>
              <w:rPr>
                <w:rFonts w:hint="eastAsia" w:asciiTheme="minorEastAsia" w:hAnsiTheme="minorEastAsia" w:eastAsiaTheme="minorEastAsia"/>
                <w:strike w:val="0"/>
                <w:dstrike w:val="0"/>
                <w:color w:val="auto"/>
                <w:spacing w:val="-4"/>
                <w:sz w:val="15"/>
                <w:szCs w:val="15"/>
                <w:highlight w:val="none"/>
                <w:lang w:val="en-US" w:eastAsia="zh-CN"/>
              </w:rPr>
              <w:t>2</w:t>
            </w:r>
            <w:r>
              <w:rPr>
                <w:rFonts w:hint="eastAsia" w:asciiTheme="minorEastAsia" w:hAnsiTheme="minorEastAsia" w:eastAsiaTheme="minorEastAsia"/>
                <w:strike w:val="0"/>
                <w:dstrike w:val="0"/>
                <w:color w:val="auto"/>
                <w:spacing w:val="-4"/>
                <w:sz w:val="15"/>
                <w:szCs w:val="15"/>
                <w:highlight w:val="none"/>
              </w:rPr>
              <w:t>.造成环境秩序较严重影响的，系数5-9。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rPr>
              <w:t>1.台账未记录实际产生的生活垃圾的种类、数量、运输者、去向等情况，系数为记录内容</w:t>
            </w:r>
            <w:r>
              <w:rPr>
                <w:rFonts w:asciiTheme="minorEastAsia" w:hAnsiTheme="minorEastAsia" w:eastAsiaTheme="minorEastAsia"/>
                <w:color w:val="auto"/>
                <w:sz w:val="15"/>
                <w:szCs w:val="15"/>
                <w:highlight w:val="none"/>
              </w:rPr>
              <w:t>每</w:t>
            </w:r>
            <w:r>
              <w:rPr>
                <w:rFonts w:hint="eastAsia" w:asciiTheme="minorEastAsia" w:hAnsiTheme="minorEastAsia" w:eastAsiaTheme="minorEastAsia"/>
                <w:color w:val="auto"/>
                <w:sz w:val="15"/>
                <w:szCs w:val="15"/>
                <w:highlight w:val="none"/>
              </w:rPr>
              <w:t>缺少1项</w:t>
            </w:r>
            <w:r>
              <w:rPr>
                <w:rFonts w:asciiTheme="minorEastAsia" w:hAnsiTheme="minorEastAsia" w:eastAsiaTheme="minorEastAsia"/>
                <w:color w:val="auto"/>
                <w:sz w:val="15"/>
                <w:szCs w:val="15"/>
                <w:highlight w:val="none"/>
              </w:rPr>
              <w:t>系数加</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strike w:val="0"/>
                <w:dstrike w:val="0"/>
                <w:color w:val="auto"/>
                <w:sz w:val="15"/>
                <w:szCs w:val="15"/>
                <w:highlight w:val="none"/>
              </w:rPr>
              <w:t>2.</w:t>
            </w:r>
            <w:r>
              <w:rPr>
                <w:rFonts w:hint="eastAsia" w:asciiTheme="minorEastAsia" w:hAnsiTheme="minorEastAsia" w:eastAsiaTheme="minorEastAsia"/>
                <w:color w:val="auto"/>
                <w:spacing w:val="-4"/>
                <w:sz w:val="15"/>
                <w:szCs w:val="15"/>
                <w:highlight w:val="none"/>
                <w:lang w:eastAsia="zh-CN"/>
              </w:rPr>
              <w:t>记录</w:t>
            </w:r>
            <w:r>
              <w:rPr>
                <w:rFonts w:hint="eastAsia" w:cs="宋体" w:asciiTheme="minorEastAsia" w:hAnsiTheme="minorEastAsia" w:eastAsiaTheme="minorEastAsia"/>
                <w:color w:val="auto"/>
                <w:kern w:val="0"/>
                <w:sz w:val="15"/>
                <w:szCs w:val="15"/>
                <w:highlight w:val="none"/>
              </w:rPr>
              <w:t>存在弄虚作假或其它较严重影响的情形，系数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1.未按时、分类收运生活垃圾的，系数为0-1；2.违法行为持续时间较长；收集、运输垃圾量较大，系数为1-2；3.造成环境秩序较严重影响的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系数为1-2。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1.违法行为持续时间较长，系数为2-3；2.垃圾运输量较大，系数为3-5；</w:t>
            </w:r>
            <w:r>
              <w:rPr>
                <w:rFonts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rPr>
              <w:t>造成环境秩序较严重影响的，系数6-9。</w:t>
            </w: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1.将厨余垃圾混装混运，系数为1；</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2.将有害垃圾混装混运，系数为2；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3.混装混运生活垃圾总量较大、违法行为持续时间较长，系数3-5；</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hint="eastAsia" w:cs="Batang"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p>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等公用管道和设施保护（管理）范围的，系数为3；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9"/>
              <w:rPr>
                <w:color w:val="auto"/>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收集、运输单位未落实生活垃圾管理台</w:t>
            </w:r>
            <w:r>
              <w:rPr>
                <w:rFonts w:hint="eastAsia" w:asciiTheme="minorEastAsia" w:hAnsiTheme="minorEastAsia" w:eastAsiaTheme="minorEastAsia"/>
                <w:color w:val="auto"/>
                <w:sz w:val="15"/>
                <w:szCs w:val="15"/>
                <w:highlight w:val="none"/>
                <w:shd w:val="clear" w:fill="FF0000"/>
                <w:lang w:eastAsia="zh-CN"/>
              </w:rPr>
              <w:t>账</w:t>
            </w:r>
            <w:r>
              <w:rPr>
                <w:rFonts w:hint="eastAsia" w:asciiTheme="minorEastAsia" w:hAnsiTheme="minorEastAsia" w:eastAsiaTheme="minorEastAsia"/>
                <w:color w:val="auto"/>
                <w:sz w:val="15"/>
                <w:szCs w:val="15"/>
                <w:highlight w:val="none"/>
              </w:rPr>
              <w:t>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1.已建立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而记录内容不完整的，系数为0-</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；2.未建立</w:t>
            </w:r>
            <w:r>
              <w:rPr>
                <w:rFonts w:hint="eastAsia" w:cs="宋体" w:asciiTheme="minorEastAsia" w:hAnsiTheme="minorEastAsia" w:eastAsiaTheme="minorEastAsia"/>
                <w:color w:val="auto"/>
                <w:kern w:val="0"/>
                <w:sz w:val="15"/>
                <w:szCs w:val="15"/>
                <w:highlight w:val="none"/>
                <w:lang w:eastAsia="zh-CN"/>
              </w:rPr>
              <w:t>台账</w:t>
            </w:r>
            <w:r>
              <w:rPr>
                <w:rFonts w:hint="eastAsia" w:cs="宋体"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rPr>
              <w:t>，系数为3-</w:t>
            </w:r>
            <w:r>
              <w:rPr>
                <w:rFonts w:cs="仿宋_GB2312"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；3.台账记录存在弄虚作假或其它较严重影响的情形，系数7-9。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3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违法行为持续时间较长、建筑垃圾产生量较大、造成环境秩序较严重影响的，系数4-9。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p>
        </w:tc>
        <w:tc>
          <w:tcPr>
            <w:tcW w:w="1785" w:type="dxa"/>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处理生活垃圾总量较大、持续时间较长、对环境秩序造成较严重影响的，系数2-3。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4"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处理生活垃圾总量较大、持续时间较长，系数2-3；</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.对环境秩序造成较严重影响的，系数2-3。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1.未建立检测档案，系数为0-2； </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2.未设置化验室或者委托专业化验机构，对生活垃圾、渗沥液等处理过程中常规参数进行检测，系数为3-6；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1.未对生活垃圾处理设施相关指标进行检测，系数为0-2； 2.未按照要求建设在线监管系统，系数为3-6；</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6"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1.未将检测数据传送至生活垃圾管理信息系统，系数为0-2；</w:t>
            </w:r>
            <w:r>
              <w:rPr>
                <w:rFonts w:hint="eastAsia" w:cs="宋体" w:asciiTheme="minorEastAsia" w:hAnsiTheme="minorEastAsia" w:eastAsiaTheme="minorEastAsia"/>
                <w:color w:val="auto"/>
                <w:kern w:val="0"/>
                <w:sz w:val="15"/>
                <w:szCs w:val="15"/>
                <w:highlight w:val="none"/>
              </w:rPr>
              <w:t>2.长期未按要求传送，未如实传送数据的，系数3-6；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1" w:hRule="atLeast"/>
          <w:jc w:val="center"/>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 xml:space="preserve">1.未按照要求向相关管理部门报送数据、报表以及相关情况，系数为0-2； 2.未建立生活垃圾处理台账，系数为3-6； </w:t>
            </w:r>
            <w:r>
              <w:rPr>
                <w:rFonts w:hint="eastAsia" w:cs="宋体" w:asciiTheme="minorEastAsia" w:hAnsiTheme="minorEastAsia" w:eastAsiaTheme="minorEastAsia"/>
                <w:color w:val="auto"/>
                <w:kern w:val="0"/>
                <w:sz w:val="15"/>
                <w:szCs w:val="15"/>
                <w:highlight w:val="none"/>
              </w:rPr>
              <w:t>3.对环境秩序造成较严重影响的，系数7-9。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存在违法行为，经调查发现已不符合行政许可条件，经责令改正仍未达到许可条件要求的；因违法行为导致严重后果或造成重大社会影响的；其它可以认定为“情节严重”情形的；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500"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1.未按要求公开数据的，系数0-2；2.长期未公开数据，系数3-6；</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3.造成较严重后果的，系数7-9。</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7"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restart"/>
            <w:tcBorders>
              <w:top w:val="single" w:color="auto" w:sz="4" w:space="0"/>
              <w:left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500"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以下系数</w:t>
            </w:r>
            <w:r>
              <w:rPr>
                <w:rFonts w:hint="eastAsia" w:cs="宋体" w:asciiTheme="minorEastAsia" w:hAnsiTheme="minorEastAsia" w:eastAsiaTheme="minorEastAsia"/>
                <w:color w:val="auto"/>
                <w:kern w:val="0"/>
                <w:sz w:val="15"/>
                <w:szCs w:val="15"/>
                <w:highlight w:val="none"/>
              </w:rPr>
              <w:t>0，11－15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1，16－20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罚款数额＝1000×（1＋区域系数+变量系数）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94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000×（1＋区域系数）</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曾因此违法行为受过到行政处罚，再次违反的适用此情形。</w:t>
            </w:r>
          </w:p>
        </w:tc>
        <w:tc>
          <w:tcPr>
            <w:tcW w:w="8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3"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87098234"/>
            <w:r>
              <w:rPr>
                <w:rFonts w:hint="eastAsia" w:asciiTheme="minorEastAsia" w:hAnsiTheme="minorEastAsia" w:eastAsiaTheme="minorEastAsia"/>
                <w:color w:val="auto"/>
                <w:sz w:val="20"/>
                <w:szCs w:val="20"/>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造成较大社会影响或者严重后果的其它情形，系数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500" w:type="dxa"/>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p>
            <w:pPr>
              <w:spacing w:line="20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2-3，存在3种及以上情形的，系数为4-5；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对环境秩序造成较严重影响的，系数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种违法情形的，系数为</w:t>
            </w:r>
            <w:r>
              <w:rPr>
                <w:rFonts w:hint="eastAsia" w:cs="宋体" w:asciiTheme="minorEastAsia" w:hAnsiTheme="minorEastAsia" w:eastAsiaTheme="minorEastAsia"/>
                <w:color w:val="auto"/>
                <w:kern w:val="0"/>
                <w:sz w:val="15"/>
                <w:szCs w:val="15"/>
                <w:highlight w:val="none"/>
                <w:lang w:val="en-US" w:eastAsia="zh-CN"/>
              </w:rPr>
              <w:t>1，存在3种及以上情形的，系数为2-3；</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违法行为持续时间较长、造成较严重影响的，系数1-2</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 w:hRule="atLeast"/>
          <w:jc w:val="center"/>
        </w:trPr>
        <w:tc>
          <w:tcPr>
            <w:tcW w:w="14218" w:type="dxa"/>
            <w:gridSpan w:val="9"/>
            <w:shd w:val="clear" w:color="auto" w:fill="auto"/>
            <w:vAlign w:val="center"/>
          </w:tcPr>
          <w:p>
            <w:pPr>
              <w:pStyle w:val="4"/>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1280965736"/>
            <w:r>
              <w:rPr>
                <w:rFonts w:hint="eastAsia" w:asciiTheme="minorEastAsia" w:hAnsiTheme="minorEastAsia" w:eastAsiaTheme="minorEastAsia"/>
                <w:color w:val="auto"/>
                <w:sz w:val="20"/>
                <w:szCs w:val="20"/>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color w:val="auto"/>
                <w:highlight w:val="none"/>
              </w:rPr>
            </w:pPr>
            <w:r>
              <w:rPr>
                <w:rFonts w:hint="eastAsia" w:asciiTheme="minorEastAsia" w:hAnsiTheme="minorEastAsia" w:eastAsiaTheme="minorEastAsia"/>
                <w:color w:val="auto"/>
                <w:sz w:val="15"/>
                <w:szCs w:val="15"/>
                <w:highlight w:val="none"/>
              </w:rPr>
              <w:t>违法行为持续时间较长、造成较严重影响的，系数1。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。3.造成尘土飞扬，严重污染环境的，系数为9。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pStyle w:val="23"/>
              <w:ind w:left="0" w:leftChars="0" w:firstLine="0" w:firstLineChars="0"/>
              <w:rPr>
                <w:rFonts w:hint="default"/>
                <w:strike/>
                <w:dstrike w:val="0"/>
                <w:color w:val="auto"/>
                <w:highlight w:val="none"/>
                <w:lang w:val="en-US" w:eastAsia="zh-CN"/>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遗撒点位重叠时，系数不累加计算。</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涂改、倒卖、出租、出借或者以其它形式非法转让城市建筑垃圾处置核准文件</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违法行为持续时间较长、造成较严重影响的，系数1-3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9"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0"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2"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p>
        </w:tc>
        <w:tc>
          <w:tcPr>
            <w:tcW w:w="17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2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9"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16" w:name="_Toc110851440"/>
            <w:bookmarkStart w:id="17" w:name="_Toc80602247"/>
            <w:bookmarkStart w:id="18" w:name="_Toc1752345302"/>
            <w:r>
              <w:rPr>
                <w:rFonts w:hint="eastAsia" w:asciiTheme="minorEastAsia" w:hAnsiTheme="minorEastAsia" w:eastAsiaTheme="minorEastAsia"/>
                <w:color w:val="auto"/>
                <w:sz w:val="20"/>
                <w:szCs w:val="20"/>
                <w:highlight w:val="none"/>
              </w:rPr>
              <w:t>《中华人民共和国固体废物污染环境防治法》案由</w:t>
            </w:r>
            <w:r>
              <w:rPr>
                <w:rFonts w:asciiTheme="minorEastAsia" w:hAnsiTheme="minorEastAsia" w:eastAsiaTheme="minorEastAsia"/>
                <w:color w:val="auto"/>
                <w:sz w:val="20"/>
                <w:szCs w:val="20"/>
                <w:highlight w:val="none"/>
              </w:rPr>
              <w:t>10</w:t>
            </w:r>
            <w:r>
              <w:rPr>
                <w:rFonts w:hint="eastAsia" w:asciiTheme="minorEastAsia" w:hAnsiTheme="minorEastAsia" w:eastAsiaTheme="minorEastAsia"/>
                <w:color w:val="auto"/>
                <w:sz w:val="20"/>
                <w:szCs w:val="20"/>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4"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违反条款:第一百零三条;处罚条款：第一百零三条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101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6"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500" w:type="dxa"/>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构成变量系数、常量系数情形的，视为”情节严重“</w:t>
            </w:r>
          </w:p>
          <w:p>
            <w:pPr>
              <w:pStyle w:val="9"/>
              <w:rPr>
                <w:rFonts w:hint="eastAsia" w:asciiTheme="minorEastAsia" w:hAnsiTheme="minorEastAsia" w:eastAsiaTheme="minorEastAsia"/>
                <w:color w:val="auto"/>
                <w:sz w:val="15"/>
                <w:szCs w:val="15"/>
                <w:highlight w:val="none"/>
                <w:lang w:eastAsia="zh-CN"/>
              </w:rPr>
            </w:pPr>
          </w:p>
          <w:p>
            <w:pPr>
              <w:pStyle w:val="10"/>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3" w:hRule="atLeast"/>
          <w:jc w:val="center"/>
        </w:trPr>
        <w:tc>
          <w:tcPr>
            <w:tcW w:w="94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垃圾占地面积在5</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下的，系数</w:t>
            </w:r>
            <w:r>
              <w:rPr>
                <w:rFonts w:hint="eastAsia" w:asciiTheme="minorEastAsia" w:hAnsiTheme="minorEastAsia" w:eastAsiaTheme="minorEastAsia"/>
                <w:color w:val="auto"/>
                <w:sz w:val="15"/>
                <w:szCs w:val="15"/>
                <w:highlight w:val="none"/>
              </w:rPr>
              <w:t>0；6－10</w:t>
            </w:r>
            <w:r>
              <w:rPr>
                <w:rFonts w:hint="eastAsia" w:cs="Microsoft JhengHei"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5" w:hRule="atLeast"/>
          <w:jc w:val="center"/>
        </w:trPr>
        <w:tc>
          <w:tcPr>
            <w:tcW w:w="94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continue"/>
            <w:shd w:val="clear" w:color="auto" w:fill="auto"/>
          </w:tcPr>
          <w:p>
            <w:pPr>
              <w:spacing w:line="190"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vMerge w:val="continue"/>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94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.造成较大社会影响或者严重后果的其它情形，系数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190"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190"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bCs/>
                <w:color w:val="auto"/>
                <w:sz w:val="15"/>
                <w:szCs w:val="15"/>
                <w:highlight w:val="none"/>
                <w:lang w:val="en-US" w:eastAsia="zh-CN"/>
              </w:rPr>
              <w:t>2</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的，系数为</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系数</w:t>
            </w:r>
            <w:r>
              <w:rPr>
                <w:rFonts w:asciiTheme="minorEastAsia" w:hAnsiTheme="minorEastAsia" w:eastAsiaTheme="minorEastAsia"/>
                <w:b w:val="0"/>
                <w:bCs w:val="0"/>
                <w:color w:val="auto"/>
                <w:sz w:val="15"/>
                <w:szCs w:val="15"/>
                <w:highlight w:val="none"/>
              </w:rPr>
              <w:t>为</w:t>
            </w:r>
            <w:r>
              <w:rPr>
                <w:rFonts w:hint="eastAsia" w:asciiTheme="minorEastAsia" w:hAnsiTheme="minorEastAsia" w:eastAsiaTheme="minorEastAsia"/>
                <w:b w:val="0"/>
                <w:bCs w:val="0"/>
                <w:color w:val="auto"/>
                <w:sz w:val="15"/>
                <w:szCs w:val="15"/>
                <w:highlight w:val="none"/>
              </w:rPr>
              <w:t>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工程施工单位未按照规定对施工过程中产生的固体废物进行利用或者处置的</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b/>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b/>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7"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0000FF"/>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燃气、供暖、石油长输管道、供水、排水、电力、通信等公用管道和设施保护（管理）范围的，系数为3</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厨余垃圾总量较大、持续时间较长、对环境秩序造成较严重影响的，系数3-9；</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特大型、大型餐饮经营者，变量系数为1（以餐饮服务许可标注的类别为准）；2.将厨余垃圾随意倾倒、丢弃、堆放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区域台帐与变量系数中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点位重叠时，系数不累加计算。</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p>
            <w:pPr>
              <w:numPr>
                <w:ilvl w:val="0"/>
                <w:numId w:val="0"/>
              </w:numP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随意倾</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3-9</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总量较大、违法行为持续时间较长，系数4-6；</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4.对环境秩序造成较严重影响的，系数6-9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总量较大、违法行为持续时间较长，系数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rPr>
              <w:t>；</w:t>
            </w:r>
          </w:p>
          <w:p>
            <w:p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4.对环境秩序造成较严重影响的，系数</w:t>
            </w:r>
            <w:r>
              <w:rPr>
                <w:rFonts w:hint="eastAsia" w:asciiTheme="minorEastAsia" w:hAnsiTheme="minorEastAsia" w:eastAsiaTheme="minorEastAsia"/>
                <w:color w:val="auto"/>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区域台帐与变量系数中丢弃、遗撒点位重叠时，系数不累加计算。</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19" w:name="_Toc110851441"/>
            <w:bookmarkStart w:id="20" w:name="_Toc812078872"/>
            <w:bookmarkStart w:id="21" w:name="_Toc1651336954"/>
            <w:r>
              <w:rPr>
                <w:rFonts w:hint="eastAsia" w:asciiTheme="minorEastAsia" w:hAnsiTheme="minorEastAsia" w:eastAsiaTheme="minorEastAsia"/>
                <w:color w:val="auto"/>
                <w:sz w:val="20"/>
                <w:szCs w:val="20"/>
                <w:highlight w:val="none"/>
              </w:rPr>
              <w:t>《北京市“门前三包”责任制管理办法》案由1项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未落实“门前三包”责任制</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违反条款：第三条第（一）项、第（二）项、第（三）项；处罚条款：第八条，对违反本办法的单位应当责令改正，并视情节轻重，处200元以上1000元以下的罚款，并对单位负责人处20元以上50元以下的罚款。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 xml:space="preserve"> </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（对单位负责人）</w:t>
            </w: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对单位责任人的罚款，由执法部门酌情决定；单位是个体户的，仅处罚单位即可。</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22" w:name="_Toc1567388814"/>
            <w:bookmarkStart w:id="23" w:name="_Toc110851442"/>
            <w:bookmarkStart w:id="24" w:name="_Toc172958056"/>
            <w:r>
              <w:rPr>
                <w:rFonts w:hint="eastAsia" w:asciiTheme="minorEastAsia" w:hAnsiTheme="minorEastAsia" w:eastAsiaTheme="minorEastAsia"/>
                <w:color w:val="auto"/>
                <w:sz w:val="20"/>
                <w:szCs w:val="20"/>
                <w:highlight w:val="none"/>
              </w:rPr>
              <w:t>《北京市人民政府关于扫雪铲冰管理的规定》案由1项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9"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25" w:name="_Toc110851443"/>
            <w:bookmarkStart w:id="26" w:name="_Toc764526123"/>
            <w:bookmarkStart w:id="27" w:name="_Toc145735833"/>
            <w:r>
              <w:rPr>
                <w:rFonts w:hint="eastAsia" w:asciiTheme="minorEastAsia" w:hAnsiTheme="minorEastAsia" w:eastAsiaTheme="minorEastAsia"/>
                <w:color w:val="auto"/>
                <w:sz w:val="20"/>
                <w:szCs w:val="20"/>
                <w:highlight w:val="none"/>
              </w:rPr>
              <w:t>《北京市户外广告设施、牌匾标识和标语宣传品设置管理条例》案由14项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.违法设置大型户外广告设施的，系数为2；2.违法设置距地十米以上户外广告设施的，系数为2；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　</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1.违法设置大型户外广告设施的，系数为2；2.违法设置距地十米以上的户外广告设施的，系数为2；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1.违法设置大型固定式牌匾标识的，系数为2；2.违法设置距地十米以上的固定式牌匾标识的，系数为2；3.违法设置2处牌匾标识的，系数为</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1.大型电子显示装置，系数为2；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2.距地十米以上的电子显示装置，系数为2。</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8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系数为2；3.距地十米以上的户外广告设施、牌匾标识，系数为2。</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为2；2.因未安全鉴定引发户外广告设施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1.设置在车站、机场、居民小区、医院、学校、体育场馆、影剧院、繁华商业街区、旅游景区等人口集中地区的，系数为2；2.因未安全鉴定引发牌匾标识掉落等行为影响公共安全的，系数为9。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1.设置在环路、高（快）速路两侧，或者车站、机场、居民小区、医院、学校、体育场馆、影剧院、繁华商业街区、旅游景区等人口集中地区的，系数2；2.大型户外广告设施、固定式牌匾标识，变量系数为2；</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3.距地十米以上的户外广告设施、牌匾标识，变量系数为2。</w:t>
            </w:r>
          </w:p>
        </w:tc>
        <w:tc>
          <w:tcPr>
            <w:tcW w:w="1785" w:type="dxa"/>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28" w:name="_Toc110851445"/>
            <w:bookmarkStart w:id="29" w:name="_Toc295250662"/>
            <w:bookmarkStart w:id="30" w:name="_Toc1140185292"/>
            <w:r>
              <w:rPr>
                <w:rFonts w:hint="eastAsia" w:asciiTheme="minorEastAsia" w:hAnsiTheme="minorEastAsia" w:eastAsiaTheme="minorEastAsia"/>
                <w:color w:val="auto"/>
                <w:sz w:val="21"/>
                <w:szCs w:val="21"/>
                <w:highlight w:val="none"/>
              </w:rPr>
              <w:t>《北京市标语宣传品设置管理规定》案由6项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1.利用交通、照明、电力、通信、邮政、环境卫生等公共设施设置的，系数为2；2.影响设施载体正常使用的，系数为2；3.未经许可设置标语宣传品引发有关事故的，系数为4。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1.设置2个不符合要求标语宣传品的，系数为2，以此类推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；2.影响设施载体正常使用的，系数为2；3.设置标语宣传品不符合要求引发有关事故的，系数为4。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车站、机场、居民小区、医院、学校、体育场馆、影剧院、繁华商业街区、旅游景区等人口集中地区的固定宣传设施不安全不牢固的，系数为5；上述区域污损、残缺的，系数为3。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按照《基准》的有关规定执行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rPr>
              <w:t>其它处罚额度决定的，说明理由，报案审会决定</w:t>
            </w:r>
            <w:r>
              <w:rPr>
                <w:rFonts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31" w:name="_Toc2072230684"/>
            <w:bookmarkStart w:id="32" w:name="_Toc110851446"/>
            <w:bookmarkStart w:id="33" w:name="_Toc1213367316"/>
            <w:r>
              <w:rPr>
                <w:rFonts w:hint="eastAsia" w:asciiTheme="minorEastAsia" w:hAnsiTheme="minorEastAsia" w:eastAsiaTheme="minorEastAsia"/>
                <w:color w:val="auto"/>
                <w:sz w:val="21"/>
                <w:szCs w:val="21"/>
                <w:highlight w:val="none"/>
              </w:rPr>
              <w:t>《北京市城市道路和公共场所环境卫生管理若干规定》案由7项</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存在较大隐患或者造成较大社会影响的，系数5-9。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严重影响市容环境卫生或者造成较大社会影响的，系数5-9。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lang w:eastAsia="zh-CN"/>
              </w:rPr>
              <w:t>＋变量系数</w:t>
            </w:r>
            <w:r>
              <w:rPr>
                <w:rFonts w:hint="eastAsia" w:cs="宋体" w:asciiTheme="minorEastAsia" w:hAnsiTheme="minorEastAsia" w:eastAsiaTheme="minorEastAsia"/>
                <w:color w:val="auto"/>
                <w:kern w:val="0"/>
                <w:sz w:val="15"/>
                <w:szCs w:val="15"/>
                <w:highlight w:val="none"/>
                <w:lang w:eastAsia="zh-CN"/>
              </w:rPr>
              <w:t>＋区域系数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的，每逾期2天，系数为１，以此累加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5" w:hRule="atLeast"/>
          <w:jc w:val="center"/>
        </w:trPr>
        <w:tc>
          <w:tcPr>
            <w:tcW w:w="14218" w:type="dxa"/>
            <w:gridSpan w:val="9"/>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3"/>
                <w:rFonts w:asciiTheme="minorEastAsia" w:hAnsiTheme="minorEastAsia" w:eastAsiaTheme="minorEastAsia"/>
                <w:color w:val="auto"/>
                <w:sz w:val="15"/>
                <w:szCs w:val="15"/>
                <w:highlight w:val="none"/>
              </w:rPr>
            </w:pPr>
            <w:bookmarkStart w:id="34" w:name="_Toc110851447"/>
            <w:bookmarkStart w:id="35" w:name="_Toc660874911"/>
            <w:bookmarkStart w:id="36" w:name="_Toc1597996495"/>
            <w:r>
              <w:rPr>
                <w:rStyle w:val="33"/>
                <w:rFonts w:hint="eastAsia" w:asciiTheme="minorEastAsia" w:hAnsiTheme="minorEastAsia" w:eastAsiaTheme="minorEastAsia"/>
                <w:color w:val="auto"/>
                <w:sz w:val="21"/>
                <w:szCs w:val="21"/>
                <w:highlight w:val="none"/>
              </w:rPr>
              <w:t>《北京市建筑</w:t>
            </w:r>
            <w:r>
              <w:rPr>
                <w:rStyle w:val="33"/>
                <w:rFonts w:asciiTheme="minorEastAsia" w:hAnsiTheme="minorEastAsia" w:eastAsiaTheme="minorEastAsia"/>
                <w:color w:val="auto"/>
                <w:sz w:val="21"/>
                <w:szCs w:val="21"/>
                <w:highlight w:val="none"/>
              </w:rPr>
              <w:t>垃圾处置管理规定</w:t>
            </w:r>
            <w:r>
              <w:rPr>
                <w:rStyle w:val="33"/>
                <w:rFonts w:hint="eastAsia" w:asciiTheme="minorEastAsia" w:hAnsiTheme="minorEastAsia" w:eastAsiaTheme="minorEastAsia"/>
                <w:color w:val="auto"/>
                <w:sz w:val="21"/>
                <w:szCs w:val="21"/>
                <w:highlight w:val="none"/>
              </w:rPr>
              <w:t>》案由</w:t>
            </w:r>
            <w:r>
              <w:rPr>
                <w:rStyle w:val="33"/>
                <w:rFonts w:asciiTheme="minorEastAsia" w:hAnsiTheme="minorEastAsia" w:eastAsiaTheme="minorEastAsia"/>
                <w:color w:val="auto"/>
                <w:sz w:val="21"/>
                <w:szCs w:val="21"/>
                <w:highlight w:val="none"/>
              </w:rPr>
              <w:t>24</w:t>
            </w:r>
            <w:r>
              <w:rPr>
                <w:rStyle w:val="33"/>
                <w:rFonts w:hint="eastAsia" w:asciiTheme="minorEastAsia" w:hAnsiTheme="minorEastAsia" w:eastAsiaTheme="minorEastAsia"/>
                <w:color w:val="auto"/>
                <w:sz w:val="21"/>
                <w:szCs w:val="21"/>
                <w:highlight w:val="none"/>
              </w:rPr>
              <w:t>项</w:t>
            </w:r>
            <w:bookmarkEnd w:id="34"/>
          </w:p>
          <w:bookmarkEnd w:id="35"/>
          <w:bookmarkEnd w:id="36"/>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 责令限期改正，给予警告，对单位处10万元以上100万元以下罚款，对产生建筑垃圾的个人处200元以下罚款。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系数为</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污染道路长21－30米的，系数1；31－40米的，系数2；以此类推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3.建筑垃圾重量在4.5吨以下的，系数0；4.5-9吨的，系数1，以此类推，40.5吨及以上的，系数9；在面积和长度无法取证的情况下，可以适用此情形。</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区域台帐与倾倒、抛撒、堆放点位重叠时，系数不累加计算。</w:t>
            </w:r>
          </w:p>
          <w:p>
            <w:pPr>
              <w:pStyle w:val="9"/>
              <w:rPr>
                <w:rFonts w:hint="eastAsia"/>
                <w:color w:val="auto"/>
                <w:highlight w:val="none"/>
                <w:lang w:eastAsia="zh-CN"/>
              </w:rPr>
            </w:pPr>
          </w:p>
          <w:p>
            <w:pPr>
              <w:pStyle w:val="9"/>
              <w:rPr>
                <w:color w:val="auto"/>
                <w:highlight w:val="none"/>
              </w:rPr>
            </w:pPr>
          </w:p>
        </w:tc>
        <w:tc>
          <w:tcPr>
            <w:tcW w:w="824" w:type="dxa"/>
            <w:vMerge w:val="restart"/>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180" w:lineRule="exact"/>
              <w:jc w:val="cente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8" w:hRule="atLeast"/>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c>
          <w:tcPr>
            <w:tcW w:w="824" w:type="dxa"/>
            <w:vMerge w:val="continue"/>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.建筑垃圾混合危险废物的，系数为2；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.建筑垃圾同时混合生活垃圾、危险废物，系数为3；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违法事件持续较长，建筑垃圾与其他生活垃圾、危险废物混合产生量较大，造成环境秩序较严重影响的，系数为4</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c>
          <w:tcPr>
            <w:tcW w:w="824" w:type="dxa"/>
            <w:vMerge w:val="restart"/>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04"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2.曾因此违法行为受过到行政处罚，再次违反的适用此情形。</w:t>
            </w:r>
          </w:p>
        </w:tc>
        <w:tc>
          <w:tcPr>
            <w:tcW w:w="824"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生活垃圾</w:t>
            </w:r>
            <w:r>
              <w:rPr>
                <w:rFonts w:asciiTheme="minorEastAsia" w:hAnsiTheme="minorEastAsia" w:eastAsiaTheme="minorEastAsia"/>
                <w:color w:val="auto"/>
                <w:sz w:val="15"/>
                <w:szCs w:val="15"/>
                <w:highlight w:val="none"/>
              </w:rPr>
              <w:t>分类管理</w:t>
            </w:r>
            <w:r>
              <w:rPr>
                <w:rFonts w:hint="eastAsia" w:asciiTheme="minorEastAsia" w:hAnsiTheme="minorEastAsia" w:eastAsiaTheme="minorEastAsia"/>
                <w:color w:val="auto"/>
                <w:sz w:val="15"/>
                <w:szCs w:val="15"/>
                <w:highlight w:val="none"/>
                <w:shd w:val="clear" w:fill="FF0000"/>
                <w:lang w:eastAsia="zh-CN"/>
              </w:rPr>
              <w:t>责任</w:t>
            </w:r>
            <w:r>
              <w:rPr>
                <w:rFonts w:asciiTheme="minorEastAsia" w:hAnsiTheme="minorEastAsia" w:eastAsiaTheme="minorEastAsia"/>
                <w:color w:val="auto"/>
                <w:sz w:val="15"/>
                <w:szCs w:val="15"/>
                <w:highlight w:val="none"/>
              </w:rPr>
              <w:t>人</w:t>
            </w:r>
            <w:r>
              <w:rPr>
                <w:rFonts w:hint="eastAsia" w:asciiTheme="minorEastAsia" w:hAnsiTheme="minorEastAsia" w:eastAsiaTheme="minorEastAsia"/>
                <w:color w:val="auto"/>
                <w:sz w:val="15"/>
                <w:szCs w:val="15"/>
                <w:highlight w:val="none"/>
              </w:rPr>
              <w:t>对居民装饰装修产生的建筑垃圾未制定治理方案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对环境造成影响的</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6-9。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，但明确</w:t>
            </w:r>
            <w:r>
              <w:rPr>
                <w:rFonts w:asciiTheme="minorEastAsia" w:hAnsiTheme="minorEastAsia" w:eastAsiaTheme="minorEastAsia"/>
                <w:color w:val="auto"/>
                <w:sz w:val="15"/>
                <w:szCs w:val="15"/>
                <w:highlight w:val="none"/>
              </w:rPr>
              <w:t>事项造成缺项，系数为</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；2.有</w:t>
            </w:r>
            <w:r>
              <w:rPr>
                <w:rFonts w:asciiTheme="minorEastAsia" w:hAnsiTheme="minorEastAsia" w:eastAsiaTheme="minorEastAsia"/>
                <w:color w:val="auto"/>
                <w:sz w:val="15"/>
                <w:szCs w:val="15"/>
                <w:highlight w:val="none"/>
              </w:rPr>
              <w:t>治理方案的，</w:t>
            </w:r>
            <w:r>
              <w:rPr>
                <w:rFonts w:hint="eastAsia" w:asciiTheme="minorEastAsia" w:hAnsiTheme="minorEastAsia" w:eastAsiaTheme="minorEastAsia"/>
                <w:color w:val="auto"/>
                <w:sz w:val="15"/>
                <w:szCs w:val="15"/>
                <w:highlight w:val="none"/>
              </w:rPr>
              <w:t>明确</w:t>
            </w:r>
            <w:r>
              <w:rPr>
                <w:rFonts w:asciiTheme="minorEastAsia" w:hAnsiTheme="minorEastAsia" w:eastAsiaTheme="minorEastAsia"/>
                <w:color w:val="auto"/>
                <w:sz w:val="15"/>
                <w:szCs w:val="15"/>
                <w:highlight w:val="none"/>
              </w:rPr>
              <w:t>事项造成缺项，且对环境</w:t>
            </w:r>
            <w:r>
              <w:rPr>
                <w:rFonts w:hint="eastAsia" w:asciiTheme="minorEastAsia" w:hAnsiTheme="minorEastAsia" w:eastAsiaTheme="minorEastAsia"/>
                <w:color w:val="auto"/>
                <w:sz w:val="15"/>
                <w:szCs w:val="15"/>
                <w:highlight w:val="none"/>
              </w:rPr>
              <w:t>秩序</w:t>
            </w:r>
            <w:r>
              <w:rPr>
                <w:rFonts w:asciiTheme="minorEastAsia" w:hAnsiTheme="minorEastAsia" w:eastAsiaTheme="minorEastAsia"/>
                <w:color w:val="auto"/>
                <w:sz w:val="15"/>
                <w:szCs w:val="15"/>
                <w:highlight w:val="none"/>
              </w:rPr>
              <w:t>造成影响的，系数为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；3.要素</w:t>
            </w:r>
            <w:r>
              <w:rPr>
                <w:rFonts w:asciiTheme="minorEastAsia" w:hAnsiTheme="minorEastAsia" w:eastAsiaTheme="minorEastAsia"/>
                <w:color w:val="auto"/>
                <w:sz w:val="15"/>
                <w:szCs w:val="15"/>
                <w:highlight w:val="none"/>
              </w:rPr>
              <w:t>全部缺失</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对环境秩序造成</w:t>
            </w:r>
            <w:r>
              <w:rPr>
                <w:rFonts w:hint="eastAsia" w:asciiTheme="minorEastAsia" w:hAnsiTheme="minorEastAsia" w:eastAsiaTheme="minorEastAsia"/>
                <w:color w:val="auto"/>
                <w:sz w:val="15"/>
                <w:szCs w:val="15"/>
                <w:highlight w:val="none"/>
              </w:rPr>
              <w:t>较</w:t>
            </w:r>
            <w:r>
              <w:rPr>
                <w:rFonts w:asciiTheme="minorEastAsia" w:hAnsiTheme="minorEastAsia" w:eastAsiaTheme="minorEastAsia"/>
                <w:color w:val="auto"/>
                <w:sz w:val="15"/>
                <w:szCs w:val="15"/>
                <w:highlight w:val="none"/>
              </w:rPr>
              <w:t>严重影响的，系数为</w:t>
            </w:r>
            <w:r>
              <w:rPr>
                <w:rFonts w:hint="eastAsia" w:asciiTheme="minorEastAsia" w:hAnsiTheme="minorEastAsia" w:eastAsiaTheme="minorEastAsia"/>
                <w:color w:val="auto"/>
                <w:sz w:val="15"/>
                <w:szCs w:val="15"/>
                <w:highlight w:val="none"/>
              </w:rPr>
              <w:t>5</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生活垃圾分类管理责任单位（</w:t>
            </w:r>
            <w:r>
              <w:rPr>
                <w:rFonts w:hint="eastAsia" w:asciiTheme="minorEastAsia" w:hAnsiTheme="minorEastAsia" w:eastAsiaTheme="minorEastAsia"/>
                <w:color w:val="auto"/>
                <w:sz w:val="15"/>
                <w:szCs w:val="15"/>
                <w:highlight w:val="none"/>
              </w:rPr>
              <w:t>不含</w:t>
            </w:r>
            <w:r>
              <w:rPr>
                <w:rFonts w:asciiTheme="minorEastAsia" w:hAnsiTheme="minorEastAsia" w:eastAsiaTheme="minorEastAsia"/>
                <w:color w:val="auto"/>
                <w:sz w:val="15"/>
                <w:szCs w:val="15"/>
                <w:highlight w:val="none"/>
              </w:rPr>
              <w:t>建设单位）</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系数为0-2</w:t>
            </w:r>
            <w:r>
              <w:rPr>
                <w:rFonts w:hint="eastAsia" w:asciiTheme="minorEastAsia" w:hAnsiTheme="minorEastAsia" w:eastAsiaTheme="minorEastAsia"/>
                <w:color w:val="auto"/>
                <w:sz w:val="15"/>
                <w:szCs w:val="15"/>
                <w:highlight w:val="none"/>
                <w:lang w:eastAsia="zh-CN"/>
              </w:rPr>
              <w:t>；</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建设单位违反规定的，系数3；3.违法行为持续时间较长、建筑垃圾产生量较大、造成环境秩序较严重影响的，系数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5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按照《基准》的有关规定执行</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地核心保护区等依法确定的重点保护区域面积达到2亩的，系数为1，3亩的，系数为2，以此类推，面积8亩及以上的，系数为9；2.占用公共用地面积3-6亩（含3亩）的，系数为1，6-9亩（含6亩），系数为2，以此类推，面积24亩及以上的，系数为9；3.存在其他严重污染环境、破坏生态情形的，系数为5-9。</w:t>
            </w:r>
          </w:p>
          <w:p>
            <w:pPr>
              <w:pStyle w:val="9"/>
              <w:rPr>
                <w:rFonts w:hint="default"/>
                <w:color w:val="auto"/>
                <w:highlight w:val="none"/>
                <w:lang w:val="en-US" w:eastAsia="zh-CN"/>
              </w:rPr>
            </w:pPr>
          </w:p>
        </w:tc>
        <w:tc>
          <w:tcPr>
            <w:tcW w:w="1785"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较大环境污染或者社会影响的，系数为</w:t>
            </w:r>
            <w:r>
              <w:rPr>
                <w:rFonts w:hint="eastAsia" w:asciiTheme="minorEastAsia" w:hAnsiTheme="minorEastAsia" w:eastAsiaTheme="minorEastAsia"/>
                <w:color w:val="auto"/>
                <w:sz w:val="15"/>
                <w:szCs w:val="15"/>
                <w:highlight w:val="none"/>
                <w:lang w:val="en-US" w:eastAsia="zh-CN"/>
              </w:rPr>
              <w:t>1。</w:t>
            </w:r>
          </w:p>
        </w:tc>
        <w:tc>
          <w:tcPr>
            <w:tcW w:w="1785"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1.产生较大环境污染或者社会影响的，系数为5-8；</w:t>
            </w:r>
          </w:p>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造成社会恶劣影响或者其它较严重后果的，系数为9。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1.持续时间5天及以下的，系数0；6-10天的，系数1；以此类推，21天及以上的，系数4。2.</w:t>
            </w:r>
            <w:r>
              <w:rPr>
                <w:rFonts w:hint="eastAsia" w:asciiTheme="minorEastAsia" w:hAnsiTheme="minorEastAsia" w:eastAsiaTheme="minorEastAsia"/>
                <w:color w:val="auto"/>
                <w:sz w:val="15"/>
                <w:szCs w:val="15"/>
                <w:highlight w:val="none"/>
              </w:rPr>
              <w:t>作业</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20亩以下</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亩-</w:t>
            </w:r>
            <w:r>
              <w:rPr>
                <w:rFonts w:asciiTheme="minorEastAsia" w:hAnsiTheme="minorEastAsia" w:eastAsiaTheme="minorEastAsia"/>
                <w:color w:val="auto"/>
                <w:sz w:val="15"/>
                <w:szCs w:val="15"/>
                <w:highlight w:val="none"/>
              </w:rPr>
              <w:t>40</w:t>
            </w:r>
            <w:r>
              <w:rPr>
                <w:rFonts w:hint="eastAsia" w:asciiTheme="minorEastAsia" w:hAnsiTheme="minorEastAsia" w:eastAsiaTheme="minorEastAsia"/>
                <w:color w:val="auto"/>
                <w:sz w:val="15"/>
                <w:szCs w:val="15"/>
                <w:highlight w:val="none"/>
              </w:rPr>
              <w:t>亩，系数为</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50亩及以上的，系数为4</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作业场所20亩以下，系数为0；20-30亩，系数为1；3.30亩-40亩，系数为2；以此类</w:t>
            </w:r>
            <w:r>
              <w:rPr>
                <w:rFonts w:hint="eastAsia" w:asciiTheme="minorEastAsia" w:hAnsiTheme="minorEastAsia" w:eastAsiaTheme="minorEastAsia"/>
                <w:color w:val="auto"/>
                <w:sz w:val="15"/>
                <w:szCs w:val="15"/>
                <w:highlight w:val="none"/>
                <w:lang w:eastAsia="zh-CN"/>
              </w:rPr>
              <w:t>推，</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1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1.持续时间5天及以下的，系数0；6-10天的，系数1；以此类推，46天及以上的，系数9。2.</w:t>
            </w:r>
            <w:r>
              <w:rPr>
                <w:rFonts w:hint="eastAsia" w:asciiTheme="minorEastAsia" w:hAnsiTheme="minorEastAsia" w:eastAsiaTheme="minorEastAsia"/>
                <w:color w:val="auto"/>
                <w:sz w:val="15"/>
                <w:szCs w:val="15"/>
                <w:highlight w:val="none"/>
              </w:rPr>
              <w:t>作业场所20亩以下，系数为0；20-30亩，系数为1；30亩-40亩，系数为2；以此类推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100亩及以上的，系数为9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不符合标准的运输车辆，系数为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；2.无</w:t>
            </w:r>
            <w:r>
              <w:rPr>
                <w:rFonts w:asciiTheme="minorEastAsia" w:hAnsiTheme="minorEastAsia" w:eastAsiaTheme="minorEastAsia"/>
                <w:color w:val="auto"/>
                <w:sz w:val="15"/>
                <w:szCs w:val="15"/>
                <w:highlight w:val="none"/>
              </w:rPr>
              <w:t>准运证的，系数为</w:t>
            </w:r>
            <w:r>
              <w:rPr>
                <w:rFonts w:hint="eastAsia" w:asciiTheme="minorEastAsia" w:hAnsiTheme="minorEastAsia" w:eastAsiaTheme="minorEastAsia"/>
                <w:color w:val="auto"/>
                <w:sz w:val="15"/>
                <w:szCs w:val="15"/>
                <w:highlight w:val="none"/>
              </w:rPr>
              <w:t>2。</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变量系数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4"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未采取措施防止建筑垃圾遗撒、泄漏</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处罚条款：第四十条第一款 责令立即改正并清除遗撒、泄漏的建筑垃圾，处2万元以上10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olor w:val="auto"/>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未造成</w:t>
            </w:r>
            <w:r>
              <w:rPr>
                <w:rFonts w:asciiTheme="minorEastAsia" w:hAnsiTheme="minorEastAsia" w:eastAsiaTheme="minorEastAsia"/>
                <w:color w:val="auto"/>
                <w:sz w:val="15"/>
                <w:szCs w:val="15"/>
                <w:highlight w:val="none"/>
              </w:rPr>
              <w:t>遗撒、泄漏的，系数</w:t>
            </w:r>
            <w:r>
              <w:rPr>
                <w:rFonts w:hint="eastAsia" w:asciiTheme="minorEastAsia" w:hAnsiTheme="minorEastAsia" w:eastAsiaTheme="minorEastAsia"/>
                <w:color w:val="auto"/>
                <w:sz w:val="15"/>
                <w:szCs w:val="15"/>
                <w:highlight w:val="none"/>
              </w:rPr>
              <w:t>0；污染道路长21－30米的，系数1；31－40米的，系数2；以此类推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2.建筑垃圾占地面积10㎡以下的，系数0；11—15㎡，系数为1；16-20㎡，系数2，以此类推，面积26㎡及以上的，系数4；</w:t>
            </w:r>
          </w:p>
          <w:p>
            <w:pPr>
              <w:widowControl w:val="0"/>
              <w:numPr>
                <w:ilvl w:val="0"/>
                <w:numId w:val="0"/>
              </w:numPr>
              <w:jc w:val="both"/>
              <w:rPr>
                <w:rFonts w:hint="eastAsia" w:asciiTheme="minorEastAsia" w:hAnsiTheme="minorEastAsia" w:eastAsiaTheme="minorEastAsia" w:cstheme="minorEastAsia"/>
                <w:b w:val="0"/>
                <w:bCs w:val="0"/>
                <w:strike w:val="0"/>
                <w:dstrike w:val="0"/>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3.建筑垃圾重量在4.5吨以下的，系数0；4.5-9吨的，系数1，以此类推，18吨及以上的，系数4；在面积和长度无法取证的情况下，可以适用此情形。</w:t>
            </w:r>
          </w:p>
          <w:p>
            <w:pPr>
              <w:widowControl w:val="0"/>
              <w:numPr>
                <w:ilvl w:val="0"/>
                <w:numId w:val="0"/>
              </w:numPr>
              <w:jc w:val="both"/>
              <w:rPr>
                <w:rFonts w:hint="eastAsia"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产生较大环境污染或者社会影响的，系数</w:t>
            </w:r>
            <w:r>
              <w:rPr>
                <w:rFonts w:hint="eastAsia" w:asciiTheme="minorEastAsia" w:hAnsiTheme="minorEastAsia" w:eastAsiaTheme="minorEastAsia"/>
                <w:color w:val="auto"/>
                <w:sz w:val="15"/>
                <w:szCs w:val="15"/>
                <w:highlight w:val="none"/>
                <w:lang w:val="en-US" w:eastAsia="zh-CN"/>
              </w:rPr>
              <w:t>2-4。</w:t>
            </w:r>
          </w:p>
          <w:p>
            <w:pPr>
              <w:spacing w:line="232" w:lineRule="exact"/>
              <w:rPr>
                <w:rFonts w:cs="宋体" w:asciiTheme="minorEastAsia" w:hAnsiTheme="minorEastAsia" w:eastAsiaTheme="minorEastAsia"/>
                <w:b/>
                <w:bCs/>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90"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w:t>
            </w:r>
            <w:r>
              <w:rPr>
                <w:rFonts w:hint="eastAsia" w:asciiTheme="minorEastAsia" w:hAnsiTheme="minorEastAsia" w:eastAsiaTheme="minorEastAsia"/>
                <w:color w:val="auto"/>
                <w:sz w:val="15"/>
                <w:szCs w:val="15"/>
                <w:highlight w:val="none"/>
              </w:rPr>
              <w:t>运输</w:t>
            </w:r>
            <w:r>
              <w:rPr>
                <w:rFonts w:asciiTheme="minorEastAsia" w:hAnsiTheme="minorEastAsia" w:eastAsiaTheme="minorEastAsia"/>
                <w:color w:val="auto"/>
                <w:sz w:val="15"/>
                <w:szCs w:val="15"/>
                <w:highlight w:val="none"/>
              </w:rPr>
              <w:t>服务单位</w:t>
            </w:r>
            <w:r>
              <w:rPr>
                <w:rFonts w:hint="eastAsia" w:asciiTheme="minorEastAsia" w:hAnsiTheme="minorEastAsia" w:eastAsiaTheme="minorEastAsia"/>
                <w:color w:val="auto"/>
                <w:sz w:val="15"/>
                <w:szCs w:val="15"/>
                <w:highlight w:val="none"/>
              </w:rPr>
              <w:t>将建筑垃圾与其他生活垃圾、危险废物混装混运</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条款：第四十条</w:t>
            </w:r>
            <w:r>
              <w:rPr>
                <w:rFonts w:hint="eastAsia" w:asciiTheme="minorEastAsia" w:hAnsiTheme="minorEastAsia" w:eastAsiaTheme="minorEastAsia"/>
                <w:color w:val="auto"/>
                <w:sz w:val="15"/>
                <w:szCs w:val="15"/>
                <w:highlight w:val="none"/>
              </w:rPr>
              <w:t>第一款 责令立即改正，处2万元以上10万元以下罚款；情节严重的，由城市管理综合执法部门吊销生活垃圾运输经营许可</w:t>
            </w:r>
            <w:r>
              <w:rPr>
                <w:rFonts w:asciiTheme="minorEastAsia" w:hAnsiTheme="minorEastAsia" w:eastAsiaTheme="minorEastAsia"/>
                <w:color w:val="auto"/>
                <w:sz w:val="15"/>
                <w:szCs w:val="15"/>
                <w:highlight w:val="none"/>
              </w:rPr>
              <w:t xml:space="preserve"> </w:t>
            </w:r>
            <w:r>
              <w:rPr>
                <w:rFonts w:hint="eastAsia"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运输车辆</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4.5吨</w:t>
            </w:r>
            <w:r>
              <w:rPr>
                <w:rFonts w:asciiTheme="minorEastAsia" w:hAnsiTheme="minorEastAsia" w:eastAsiaTheme="minorEastAsia"/>
                <w:color w:val="auto"/>
                <w:sz w:val="15"/>
                <w:szCs w:val="15"/>
                <w:highlight w:val="none"/>
              </w:rPr>
              <w:t>以上）</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.与</w:t>
            </w:r>
            <w:r>
              <w:rPr>
                <w:rFonts w:asciiTheme="minorEastAsia" w:hAnsiTheme="minorEastAsia" w:eastAsiaTheme="minorEastAsia"/>
                <w:color w:val="auto"/>
                <w:sz w:val="15"/>
                <w:szCs w:val="15"/>
                <w:highlight w:val="none"/>
              </w:rPr>
              <w:t>危险废物混装</w:t>
            </w:r>
            <w:r>
              <w:rPr>
                <w:rFonts w:hint="eastAsia" w:asciiTheme="minorEastAsia" w:hAnsiTheme="minorEastAsia" w:eastAsiaTheme="minorEastAsia"/>
                <w:color w:val="auto"/>
                <w:sz w:val="15"/>
                <w:szCs w:val="15"/>
                <w:highlight w:val="none"/>
              </w:rPr>
              <w:t>混运</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3.同一运输单位存在多辆车辆混装混运的，系数为2-4。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numPr>
                <w:ilvl w:val="0"/>
                <w:numId w:val="5"/>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3"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同一运输单位多辆车辆存在违规的，系数为5-9。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5"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-3；5000㎡以上2万㎡及以下的，系数4-6；2万㎡以上的，系数7-9。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成环境秩序较严重影响的，系数5-9。</w:t>
            </w:r>
          </w:p>
        </w:tc>
        <w:tc>
          <w:tcPr>
            <w:tcW w:w="1785"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罚款数额＝100000×（1＋常量系数＋变量系数＋区域系数）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widowControl w:val="0"/>
              <w:numPr>
                <w:ilvl w:val="0"/>
                <w:numId w:val="0"/>
              </w:numPr>
              <w:jc w:val="both"/>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1"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的，系数为</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w:t>
            </w:r>
            <w:r>
              <w:rPr>
                <w:rFonts w:asciiTheme="minorEastAsia" w:hAnsiTheme="minorEastAsia" w:eastAsiaTheme="minorEastAsia"/>
                <w:color w:val="auto"/>
                <w:sz w:val="15"/>
                <w:szCs w:val="15"/>
                <w:highlight w:val="none"/>
              </w:rPr>
              <w:t>为</w:t>
            </w:r>
            <w:r>
              <w:rPr>
                <w:rFonts w:hint="eastAsia" w:asciiTheme="minorEastAsia" w:hAnsiTheme="minorEastAsia" w:eastAsiaTheme="minorEastAsia"/>
                <w:color w:val="auto"/>
                <w:sz w:val="15"/>
                <w:szCs w:val="15"/>
                <w:highlight w:val="none"/>
              </w:rPr>
              <w:t>2，以此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9。</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asciiTheme="minorEastAsia" w:hAnsiTheme="minorEastAsia" w:eastAsiaTheme="minorEastAsia"/>
                <w:color w:val="auto"/>
                <w:sz w:val="15"/>
                <w:szCs w:val="15"/>
                <w:highlight w:val="none"/>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38"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台账而记录内容不完整的，系数为</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或者台账弄虚作假的，系数为</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其它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1"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8"/>
            <w:bookmarkStart w:id="38" w:name="_Toc495418307"/>
            <w:bookmarkStart w:id="39" w:name="_Toc1748480692"/>
            <w:r>
              <w:rPr>
                <w:rFonts w:hint="eastAsia" w:asciiTheme="minorEastAsia" w:hAnsiTheme="minorEastAsia" w:eastAsiaTheme="minorEastAsia"/>
                <w:color w:val="auto"/>
                <w:sz w:val="21"/>
                <w:szCs w:val="21"/>
                <w:highlight w:val="none"/>
              </w:rPr>
              <w:t>《北京市养犬管理规定》案由1项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2"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110851449"/>
            <w:bookmarkStart w:id="41" w:name="_Toc986557284"/>
            <w:bookmarkStart w:id="42" w:name="_Toc1377620528"/>
            <w:r>
              <w:rPr>
                <w:rFonts w:hint="eastAsia" w:asciiTheme="minorEastAsia" w:hAnsiTheme="minorEastAsia" w:eastAsiaTheme="minorEastAsia"/>
                <w:color w:val="auto"/>
                <w:sz w:val="21"/>
                <w:szCs w:val="21"/>
                <w:highlight w:val="none"/>
              </w:rPr>
              <w:t>《北京市长城保护管理办法》案由1项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5"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3" w:name="_Toc703776516"/>
            <w:bookmarkStart w:id="44" w:name="_Toc110851450"/>
            <w:bookmarkStart w:id="45" w:name="_Toc39814009"/>
            <w:r>
              <w:rPr>
                <w:rFonts w:hint="eastAsia" w:asciiTheme="minorEastAsia" w:hAnsiTheme="minorEastAsia" w:eastAsiaTheme="minorEastAsia"/>
                <w:color w:val="auto"/>
                <w:sz w:val="21"/>
                <w:szCs w:val="21"/>
                <w:highlight w:val="none"/>
              </w:rPr>
              <w:t>《北京历史文化名城保护条例》案由1项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1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4"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6" w:name="_Toc110851451"/>
            <w:bookmarkStart w:id="47" w:name="_Toc958675012"/>
            <w:bookmarkStart w:id="48" w:name="_Toc1498766390"/>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对其它管线正常使用造成影响的，系数4；</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影响交通通行，或者造成其它安全隐患的，系数4。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对其它管线正常使用造成影响，或者造成其它安全隐患的，系数4。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经责令改正仍未及时清除或者报告的，自责改之日起每逾期1天，系数1，以此累加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罚款数额＝200×（1＋区域系数＋变量系数）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经责令改正仍未及时处理的，自责改之日起每逾期1天，系数1，以此累加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经责令改正，仍未制定入地方案，并及时采取入地措施的，自责改之日起每逾期5天，系数1，以此累加</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×（1＋区域系数＋变量系数）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6"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9" w:name="_Toc110851452"/>
            <w:bookmarkStart w:id="50" w:name="_Toc1563678502"/>
            <w:bookmarkStart w:id="51" w:name="_Toc1839556778"/>
            <w:r>
              <w:rPr>
                <w:rFonts w:hint="eastAsia" w:asciiTheme="minorEastAsia" w:hAnsiTheme="minorEastAsia" w:eastAsiaTheme="minorEastAsia"/>
                <w:color w:val="auto"/>
                <w:sz w:val="21"/>
                <w:szCs w:val="21"/>
                <w:highlight w:val="none"/>
              </w:rPr>
              <w:t>《城市照明管理规定》案由2项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存在其它已严重危害或者影响设施正常运行的行为，系数为</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c>
          <w:tcPr>
            <w:tcW w:w="824"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1.刻划、涂污照明设施多处，系数1-9；2.严重污损照明设施的，系数10-19；3.存在其它已严重危害或者影响设施正常运行的行为，系数为20-29。</w:t>
            </w:r>
          </w:p>
        </w:tc>
        <w:tc>
          <w:tcPr>
            <w:tcW w:w="1785"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3"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52" w:name="_Toc275604405"/>
            <w:bookmarkStart w:id="53" w:name="_Toc110851453"/>
            <w:bookmarkStart w:id="54" w:name="_Toc186628637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3"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7" w:hRule="atLeast"/>
          <w:jc w:val="center"/>
        </w:trPr>
        <w:tc>
          <w:tcPr>
            <w:tcW w:w="94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617"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3"/>
              <w:bidi w:val="0"/>
              <w:rPr>
                <w:rFonts w:ascii="黑体" w:hAnsi="黑体" w:eastAsia="黑体" w:cs="仿宋_GB2312"/>
                <w:color w:val="auto"/>
                <w:highlight w:val="none"/>
                <w:lang w:val="en"/>
              </w:rPr>
            </w:pPr>
            <w:bookmarkStart w:id="55" w:name="_Toc435705406"/>
            <w:bookmarkStart w:id="56" w:name="_Toc1709548156"/>
            <w:r>
              <w:rPr>
                <w:rFonts w:hint="eastAsia" w:ascii="黑体" w:hAnsi="黑体" w:eastAsia="黑体" w:cs="黑体"/>
                <w:b w:val="0"/>
                <w:bCs w:val="0"/>
                <w:color w:val="auto"/>
                <w:highlight w:val="none"/>
              </w:rPr>
              <w:t>市政管理方面</w:t>
            </w:r>
            <w:bookmarkEnd w:id="55"/>
            <w:bookmarkEnd w:id="5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trHeight w:val="453" w:hRule="atLeast"/>
          <w:jc w:val="center"/>
        </w:trPr>
        <w:tc>
          <w:tcPr>
            <w:tcW w:w="14218" w:type="dxa"/>
            <w:gridSpan w:val="9"/>
            <w:tcBorders>
              <w:left w:val="single" w:color="000000" w:sz="4" w:space="0"/>
              <w:bottom w:val="single" w:color="000000" w:sz="4" w:space="0"/>
              <w:right w:val="single" w:color="000000"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7" w:name="_Toc1018838380"/>
            <w:bookmarkStart w:id="58" w:name="_Toc1607059839"/>
            <w:r>
              <w:rPr>
                <w:rFonts w:hint="eastAsia"/>
                <w:color w:val="auto"/>
                <w:sz w:val="21"/>
                <w:szCs w:val="21"/>
                <w:highlight w:val="none"/>
                <w:lang w:val="en-US" w:eastAsia="zh-CN"/>
              </w:rPr>
              <w:t>《北京市无障碍环境建设条例》案由6</w:t>
            </w:r>
            <w:bookmarkEnd w:id="57"/>
            <w:r>
              <w:rPr>
                <w:rFonts w:hint="eastAsia"/>
                <w:color w:val="auto"/>
                <w:sz w:val="21"/>
                <w:szCs w:val="21"/>
                <w:highlight w:val="none"/>
                <w:lang w:val="en-US" w:eastAsia="zh-CN"/>
              </w:rPr>
              <w:t>项</w:t>
            </w:r>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同时违反第十四条第一款规定中两项的，系数为4；同时违反三项及三项以上的，系数为9。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32"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19"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造成行人伤亡或其它事故的，系数1。</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1"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8"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1.对通行秩序、市容秩序造成较大影响的，系数4；2.造成行人伤亡或其它事故的，系数9。</w:t>
            </w:r>
          </w:p>
        </w:tc>
        <w:tc>
          <w:tcPr>
            <w:tcW w:w="17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5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2"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1.对通行秩序造成较大影响的，系数4；2.造成行人伤亡或其它事故的，系数9。</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p>
            <w:pPr>
              <w:spacing w:line="220"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对通行秩序、市容秩序造成较大影响的，或者造成行人伤亡或其它事故的，系数1。</w:t>
            </w:r>
          </w:p>
        </w:tc>
        <w:tc>
          <w:tcPr>
            <w:tcW w:w="17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逾期不改正的情形，不记入本项“</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8" w:hRule="atLeast"/>
          <w:jc w:val="center"/>
        </w:trPr>
        <w:tc>
          <w:tcPr>
            <w:tcW w:w="14218" w:type="dxa"/>
            <w:gridSpan w:val="9"/>
            <w:shd w:val="clear" w:color="auto" w:fill="auto"/>
            <w:vAlign w:val="center"/>
          </w:tcPr>
          <w:p>
            <w:pPr>
              <w:pStyle w:val="4"/>
              <w:bidi w:val="0"/>
              <w:jc w:val="center"/>
              <w:rPr>
                <w:rFonts w:hint="default" w:ascii="宋体" w:hAnsi="宋体" w:eastAsia="宋体" w:cs="宋体"/>
                <w:color w:val="auto"/>
                <w:sz w:val="21"/>
                <w:szCs w:val="21"/>
                <w:highlight w:val="none"/>
                <w:lang w:val="en-US"/>
              </w:rPr>
            </w:pPr>
            <w:bookmarkStart w:id="59" w:name="_Toc175167693"/>
            <w:bookmarkStart w:id="60" w:name="_Toc1038902727"/>
            <w:r>
              <w:rPr>
                <w:rFonts w:hint="eastAsia" w:ascii="宋体" w:hAnsi="宋体" w:eastAsia="宋体" w:cs="宋体"/>
                <w:color w:val="auto"/>
                <w:sz w:val="21"/>
                <w:szCs w:val="21"/>
                <w:highlight w:val="none"/>
                <w:lang w:val="en-US" w:eastAsia="zh-CN"/>
              </w:rPr>
              <w:t>《中华人民共和国无障碍环境建设法》案由2项</w:t>
            </w:r>
            <w:bookmarkEnd w:id="5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500"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restart"/>
            <w:shd w:val="clear" w:color="auto" w:fill="auto"/>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94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04"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；2.造成行人伤亡或其它事故的，系数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常量</w:t>
            </w:r>
            <w:r>
              <w:rPr>
                <w:rFonts w:hint="eastAsia" w:ascii="宋体" w:hAnsi="宋体" w:eastAsia="宋体" w:cs="仿宋_GB2312"/>
                <w:color w:val="auto"/>
                <w:sz w:val="15"/>
                <w:szCs w:val="15"/>
                <w:highlight w:val="none"/>
              </w:rPr>
              <w:t>系数+变量系数+区域系数）</w:t>
            </w:r>
          </w:p>
        </w:tc>
        <w:tc>
          <w:tcPr>
            <w:tcW w:w="2385" w:type="dxa"/>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逾期不改正的情形，不记入本项“</w:t>
            </w:r>
            <w:r>
              <w:rPr>
                <w:rFonts w:hint="eastAsia" w:ascii="宋体" w:hAnsi="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p>
        </w:tc>
        <w:tc>
          <w:tcPr>
            <w:tcW w:w="824" w:type="dxa"/>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3" w:hRule="atLeast"/>
          <w:jc w:val="center"/>
        </w:trPr>
        <w:tc>
          <w:tcPr>
            <w:tcW w:w="14218" w:type="dxa"/>
            <w:gridSpan w:val="9"/>
            <w:shd w:val="clear" w:color="auto" w:fill="auto"/>
            <w:vAlign w:val="center"/>
          </w:tcPr>
          <w:p>
            <w:pPr>
              <w:pStyle w:val="4"/>
              <w:bidi w:val="0"/>
              <w:jc w:val="center"/>
              <w:rPr>
                <w:color w:val="auto"/>
                <w:highlight w:val="none"/>
              </w:rPr>
            </w:pPr>
            <w:bookmarkStart w:id="61" w:name="_Toc1724920233"/>
            <w:r>
              <w:rPr>
                <w:rFonts w:hint="eastAsia"/>
                <w:color w:val="auto"/>
                <w:sz w:val="21"/>
                <w:szCs w:val="21"/>
                <w:highlight w:val="none"/>
              </w:rPr>
              <w:t>《城市道路管理条例》《北京市城市道路管理办法》案由16项</w:t>
            </w:r>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需要</w:t>
            </w:r>
            <w:r>
              <w:rPr>
                <w:rFonts w:cs="宋体" w:asciiTheme="minorEastAsia" w:hAnsiTheme="minorEastAsia" w:eastAsiaTheme="minorEastAsia"/>
                <w:color w:val="auto"/>
                <w:sz w:val="15"/>
                <w:szCs w:val="15"/>
                <w:highlight w:val="none"/>
              </w:rPr>
              <w:t>作出</w:t>
            </w:r>
            <w:r>
              <w:rPr>
                <w:rFonts w:hint="eastAsia" w:cs="宋体" w:asciiTheme="minorEastAsia" w:hAnsiTheme="minorEastAsia" w:eastAsiaTheme="minorEastAsia"/>
                <w:color w:val="auto"/>
                <w:sz w:val="15"/>
                <w:szCs w:val="15"/>
                <w:highlight w:val="none"/>
              </w:rPr>
              <w:t>其它处罚额度决定的，说明理由，报案审会决定</w:t>
            </w:r>
            <w:r>
              <w:rPr>
                <w:rFonts w:cs="宋体" w:asciiTheme="minorEastAsia" w:hAnsiTheme="minorEastAsia" w:eastAsiaTheme="minorEastAsia"/>
                <w:color w:val="auto"/>
                <w:sz w:val="15"/>
                <w:szCs w:val="15"/>
                <w:highlight w:val="none"/>
              </w:rPr>
              <w:t>。</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；3.造成行人伤亡或其它严重事故的，系数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1.违法行为持续2天以上的，含2天，系数1；2.违法地点位于人口相对集中地区或者交通路口等存在较大安全隐患的情形，系数2；3.造成行人伤亡或其它严重事故的，系数9。</w:t>
            </w:r>
          </w:p>
        </w:tc>
        <w:tc>
          <w:tcPr>
            <w:tcW w:w="17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应在24小时内申请补办，逾期未申请补办的，每延后1天，系数1。</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1.对通行秩序、市容秩序造成较大影响的，系数4；2.损毁地下管线或市政设施的，系数9；3.造成行人伤亡或其它严重事故的，系数9。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1.对城市道路造成较大损害的，或者对通行秩序、市容秩序造成较大影响的，系数4；2.造成行人伤亡或其它严重事故的，系数9。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c>
          <w:tcPr>
            <w:tcW w:w="824" w:type="dxa"/>
            <w:shd w:val="clear" w:color="auto" w:fill="auto"/>
            <w:vAlign w:val="center"/>
          </w:tcPr>
          <w:p>
            <w:pPr>
              <w:spacing w:line="25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在桥梁上架设压力在4公斤/平方厘米（0.4兆帕）以上的煤气管道、10千伏以上的高压电线和其它易燃易爆管线</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1.造成人员伤亡或者其它严重事故的，系数3；</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2.对桥梁造成损害影响使用的，系数3。</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擅自在桥梁或者路灯设施上设置广告牌或者其它挂浮物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3.对桥梁、路灯设施造成损坏影响使用的，系数9。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1.影响交通通行，或者造成其它安全隐患的，系数4；</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2.造成行人伤亡或者其它严重事故的，系数9；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1.对通行秩序、市容秩序造成较大影响的，系数4；2.造成行人伤亡或其它严重事故的，系数9；3.对桥梁造成损害影响使用的，系数9。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62" w:name="_Toc1973624040"/>
            <w:bookmarkStart w:id="63" w:name="_Toc110851455"/>
            <w:bookmarkStart w:id="64" w:name="_Toc884119906"/>
            <w:r>
              <w:rPr>
                <w:rFonts w:hint="eastAsia" w:asciiTheme="minorEastAsia" w:hAnsiTheme="minorEastAsia" w:eastAsiaTheme="minorEastAsia"/>
                <w:color w:val="auto"/>
                <w:sz w:val="21"/>
                <w:szCs w:val="21"/>
                <w:highlight w:val="none"/>
              </w:rPr>
              <w:t>《北京市地下设施检查井井盖管理规定》案由5项</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c>
          <w:tcPr>
            <w:tcW w:w="824" w:type="dxa"/>
            <w:shd w:val="clear" w:color="auto" w:fill="auto"/>
            <w:vAlign w:val="center"/>
          </w:tcPr>
          <w:p>
            <w:pPr>
              <w:spacing w:line="22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系数为1；2.未在规定时间（城市主要道路、公共场所和居民居住区等地区4小时内，其它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。3.因未及时补装、维修或更换，致人伤亡或车辆损毁等严重事故的，变量系数9。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20"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1．擅自移动车站、机场、居民小区、医院、学校、体育场馆、影剧院、繁华商业街区、旅游景区等人口集中地区井盖的，系数4；2.致人伤亡或者损害车辆等严重事故的，系数9。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1．车站、机场、居民小区、医院、学校、体育场馆、影剧院、繁华商业街区、旅游景区等人口集中地区范围内的，系数4；2.致人伤亡或者损害车辆等严重事故的，系数9。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区域台帐与人口集中地区点位重叠时，系数不累加计算。</w:t>
            </w:r>
          </w:p>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5" w:hRule="atLeast"/>
          <w:jc w:val="center"/>
        </w:trPr>
        <w:tc>
          <w:tcPr>
            <w:tcW w:w="14218" w:type="dxa"/>
            <w:gridSpan w:val="9"/>
            <w:shd w:val="clear" w:color="auto" w:fill="auto"/>
            <w:vAlign w:val="center"/>
          </w:tcPr>
          <w:p>
            <w:pPr>
              <w:pStyle w:val="3"/>
              <w:keepNext w:val="0"/>
              <w:keepLines w:val="0"/>
              <w:rPr>
                <w:rFonts w:ascii="黑体" w:hAnsi="黑体" w:eastAsia="黑体"/>
                <w:b w:val="0"/>
                <w:color w:val="auto"/>
                <w:sz w:val="24"/>
                <w:szCs w:val="24"/>
                <w:highlight w:val="none"/>
              </w:rPr>
            </w:pPr>
            <w:bookmarkStart w:id="65" w:name="_Toc110851456"/>
            <w:bookmarkStart w:id="66" w:name="_Toc1693504403"/>
            <w:bookmarkStart w:id="67" w:name="_Toc782261727"/>
            <w:r>
              <w:rPr>
                <w:rFonts w:hint="eastAsia" w:ascii="黑体" w:hAnsi="黑体" w:eastAsia="黑体"/>
                <w:b w:val="0"/>
                <w:color w:val="auto"/>
                <w:sz w:val="36"/>
                <w:szCs w:val="36"/>
                <w:highlight w:val="none"/>
              </w:rPr>
              <w:t>公用事业管理方面</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4"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68" w:name="_Toc1349825120"/>
            <w:bookmarkStart w:id="69" w:name="_Toc110851457"/>
            <w:bookmarkStart w:id="70" w:name="_Toc333158386"/>
            <w:r>
              <w:rPr>
                <w:rFonts w:hint="eastAsia" w:asciiTheme="minorEastAsia" w:hAnsiTheme="minorEastAsia" w:eastAsiaTheme="minorEastAsia"/>
                <w:color w:val="auto"/>
                <w:sz w:val="21"/>
                <w:szCs w:val="21"/>
                <w:highlight w:val="none"/>
              </w:rPr>
              <w:t>《城镇燃气管理条例》案由30项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p>
        </w:tc>
        <w:tc>
          <w:tcPr>
            <w:tcW w:w="1785" w:type="dxa"/>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tcBorders>
              <w:left w:val="single" w:color="auto" w:sz="4" w:space="0"/>
            </w:tcBorders>
            <w:shd w:val="clear" w:color="auto" w:fill="FFFFFF"/>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8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1.持续时间超过半年的，系数4；持续时间1年以上，系数9；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spacing w:val="-6"/>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p>
        </w:tc>
        <w:tc>
          <w:tcPr>
            <w:tcW w:w="1785"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区级</w:t>
            </w:r>
          </w:p>
          <w:p>
            <w:pPr>
              <w:autoSpaceDE w:val="0"/>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违法行为持续时间超过半年的，系数4；1年以上，系数9；2.未按燃气管理部门要求整改，或整改后再次发生类似违法行为的，系数9；3.发生相关燃气安全事故的，系数9。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8"/>
              <w:rPr>
                <w:rFonts w:hint="eastAsia" w:asciiTheme="minorEastAsia" w:hAnsiTheme="minorEastAsia" w:eastAsiaTheme="minorEastAsia" w:cstheme="minorEastAsia"/>
                <w:color w:val="auto"/>
                <w:spacing w:val="-4"/>
                <w:sz w:val="15"/>
                <w:szCs w:val="15"/>
                <w:highlight w:val="yellow"/>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9"/>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一、（十七）</w:t>
            </w:r>
          </w:p>
          <w:p>
            <w:pPr>
              <w:pStyle w:val="9"/>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1.未在有较大危险因素的生产经营场所和有关设施、设备上设置明显的安全警示标志有 5 处以下的，处 2 万元以下的罚款；逾期未改正的，处 5 万元以上 10 万元以下的罚款，对其直接负责的主管人员和其他直接责任人员处 1万元以上 2 万元以下的罚款；</w:t>
            </w:r>
          </w:p>
          <w:p>
            <w:pPr>
              <w:pStyle w:val="9"/>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2.未在有较大危险因素的生产经营场所和有关设施、设备上设置明显的安全警示标志有 5 处以上 10 处以下的，处 2 万元以上 4 万元以下的罚款；逾期未改正的，处 10 万元以上 15 万元以下的罚款，对其直接负责的主管人员和其他直接责任人员处 1 万元以上 2 万元以下的罚款；</w:t>
            </w:r>
          </w:p>
          <w:p>
            <w:pPr>
              <w:pStyle w:val="9"/>
              <w:rPr>
                <w:rFonts w:hint="eastAsia"/>
                <w:lang w:val="en-US" w:eastAsia="zh-CN"/>
              </w:rPr>
            </w:pPr>
            <w:r>
              <w:rPr>
                <w:rFonts w:hint="eastAsia" w:cs="Times New Roman" w:asciiTheme="minorEastAsia" w:hAnsiTheme="minorEastAsia" w:eastAsiaTheme="minorEastAsia"/>
                <w:color w:val="auto"/>
                <w:spacing w:val="-4"/>
                <w:sz w:val="15"/>
                <w:szCs w:val="15"/>
                <w:highlight w:val="none"/>
                <w:lang w:val="en-US" w:eastAsia="zh-CN"/>
              </w:rPr>
              <w:t>3.未在有较大危险因素的生产经营场所和有关设施、设备上设置明显的安全警示标志有 10 处以上的，处 4 万元以上 5 万元以下的罚款；逾期未改正的，处 15 万元以上 20 万元以下的罚款，对其直接负责的主管人员和其他直接责任人员处 1 万元以上 2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3"/>
              <w:ind w:left="0" w:leftChars="0" w:firstLine="0" w:firstLineChars="0"/>
              <w:rPr>
                <w:color w:val="auto"/>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780" w:type="dxa"/>
            <w:gridSpan w:val="4"/>
            <w:shd w:val="clear" w:color="auto" w:fill="auto"/>
            <w:vAlign w:val="center"/>
          </w:tcPr>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【《北京市安全生产行政处罚自由裁量基准</w:t>
            </w:r>
            <w:r>
              <w:rPr>
                <w:rFonts w:hint="eastAsia" w:asciiTheme="minorEastAsia" w:hAnsiTheme="minorEastAsia" w:eastAsiaTheme="minorEastAsia" w:cstheme="minorEastAsia"/>
                <w:sz w:val="15"/>
                <w:szCs w:val="15"/>
                <w:highlight w:val="none"/>
                <w:lang w:val="en-US" w:eastAsia="zh-CN"/>
              </w:rPr>
              <w:t>（</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pStyle w:val="9"/>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一、（二十七）</w:t>
            </w:r>
          </w:p>
          <w:p>
            <w:pPr>
              <w:pStyle w:val="9"/>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1.对 1 处一般事故隐患未采取措施消除的，处 2 万元以下的罚款；拒不执行的，对其直接负责的主管人员和其他直接责任人员处 5 万元以上 7 万元以下的罚款；</w:t>
            </w:r>
          </w:p>
          <w:p>
            <w:pPr>
              <w:pStyle w:val="9"/>
              <w:rPr>
                <w:rFonts w:hint="eastAsia" w:asciiTheme="minorEastAsia" w:hAnsiTheme="minorEastAsia" w:eastAsiaTheme="minorEastAsia" w:cstheme="minorEastAsia"/>
                <w:b w:val="0"/>
                <w:bCs w:val="0"/>
                <w:color w:val="auto"/>
                <w:spacing w:val="-4"/>
                <w:sz w:val="15"/>
                <w:szCs w:val="15"/>
                <w:highlight w:val="none"/>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2.对 2 处一般事故隐患未采取措施消除的，处 2 万元以上 4 万元以下的罚款；拒不执行的，对其直接负责的主管人员和其他直接责任人员处 7 万元以上 9 万元以下的罚款；</w:t>
            </w:r>
          </w:p>
          <w:p>
            <w:pPr>
              <w:pStyle w:val="9"/>
              <w:rPr>
                <w:rFonts w:hint="eastAsia" w:asciiTheme="minorEastAsia" w:hAnsiTheme="minorEastAsia" w:eastAsiaTheme="minorEastAsia" w:cstheme="minorEastAsia"/>
                <w:b w:val="0"/>
                <w:bCs w:val="0"/>
                <w:sz w:val="15"/>
                <w:szCs w:val="15"/>
                <w:lang w:val="en-US" w:eastAsia="zh-CN"/>
              </w:rPr>
            </w:pPr>
            <w:r>
              <w:rPr>
                <w:rFonts w:hint="eastAsia" w:asciiTheme="minorEastAsia" w:hAnsiTheme="minorEastAsia" w:eastAsiaTheme="minorEastAsia" w:cstheme="minorEastAsia"/>
                <w:b w:val="0"/>
                <w:bCs w:val="0"/>
                <w:color w:val="auto"/>
                <w:spacing w:val="-4"/>
                <w:sz w:val="15"/>
                <w:szCs w:val="15"/>
                <w:highlight w:val="none"/>
                <w:lang w:val="en-US" w:eastAsia="zh-CN"/>
              </w:rPr>
              <w:t>3.对重大事故隐患或者 3 处以上一般事故隐患未采取措施消除的，处 4 万元以上 5 万元以下的罚款；拒不执行的，对其直接负责的主管人员和其他直接责任人员处 9 万元以上 10 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2385" w:type="dxa"/>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存在</w:t>
            </w:r>
            <w:r>
              <w:rPr>
                <w:rFonts w:hint="eastAsia" w:cs="宋体" w:asciiTheme="minorEastAsia" w:hAnsiTheme="minorEastAsia" w:eastAsiaTheme="minorEastAsia"/>
                <w:color w:val="auto"/>
                <w:kern w:val="0"/>
                <w:sz w:val="15"/>
                <w:szCs w:val="15"/>
                <w:highlight w:val="none"/>
                <w:lang w:val="en-US" w:eastAsia="zh-CN"/>
              </w:rPr>
              <w:t>2个以上不合格安全条件的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责令停止违法行为，限期恢复原状或者采取其它补救措施，对单位处5万元以上10万元以下罚款，对个人处5000元以上5万元以下罚款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17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1.损坏燃气设施或者其它影响用气情形的，系数7；2.发生燃气事故，存在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17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pStyle w:val="23"/>
              <w:ind w:left="0" w:leftChars="0" w:firstLine="0" w:firstLineChars="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责令限期改正，恢复原状或者采取其它补救措施，对单位处5万元以上10万元以下罚款，对个人处5000元以上5万元以下罚款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rPr>
              <w:t>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发生在人口集中地区或人员密集场所的，系数2；2.导致相关燃气安全事故的，系数4。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发生在人口集中地区或人员密集场所的，系数2；2.</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4-9；3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导致</w:t>
            </w:r>
            <w:r>
              <w:rPr>
                <w:rFonts w:hint="eastAsia" w:cs="宋体" w:asciiTheme="minorEastAsia" w:hAnsiTheme="minorEastAsia" w:eastAsiaTheme="minorEastAsia"/>
                <w:color w:val="auto"/>
                <w:kern w:val="0"/>
                <w:sz w:val="15"/>
                <w:szCs w:val="15"/>
                <w:highlight w:val="none"/>
              </w:rPr>
              <w:t>相关燃气安全事故的，系数9。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71" w:name="_Toc110851458"/>
            <w:bookmarkStart w:id="72" w:name="_Toc1968530984"/>
            <w:bookmarkStart w:id="73" w:name="_Toc1483790773"/>
            <w:r>
              <w:rPr>
                <w:rFonts w:hint="eastAsia" w:asciiTheme="minorEastAsia" w:hAnsiTheme="minorEastAsia" w:eastAsiaTheme="minorEastAsia"/>
                <w:color w:val="auto"/>
                <w:sz w:val="21"/>
                <w:szCs w:val="21"/>
                <w:highlight w:val="none"/>
              </w:rPr>
              <w:t>《北京市燃气管理条例》案由26项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系数为</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p>
            <w:pPr>
              <w:spacing w:line="232" w:lineRule="exact"/>
              <w:rPr>
                <w:rFonts w:cs="仿宋_GB2312"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6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1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4"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57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500"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3"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需要作出200元以下罚款决定的，由执法人员在案卷中说明理由并自行决定。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6"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500户（含500户）或者非居民用户达到5户（含5户）的，系数为1；</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1"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c>
          <w:tcPr>
            <w:tcW w:w="2304"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strike w:val="0"/>
                <w:dstrike w:val="0"/>
                <w:color w:val="auto"/>
                <w:kern w:val="0"/>
                <w:sz w:val="15"/>
                <w:szCs w:val="15"/>
                <w:highlight w:val="none"/>
              </w:rPr>
              <w:t>其它影响用气情形的，系数5-8；2.发生燃气事故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或者其它严重影响用气情形的，系数9。</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；能够及时改正的，可作出不予处罚决定。</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0"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200户（含200户）-500户或者非居民用户达到3户（含3户）-5户的，系数为4；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500户（含500户）或者非居民用户达到5户（含5户）的，系数为9；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存在其它影响用气情形的，系数</w:t>
            </w:r>
            <w:r>
              <w:rPr>
                <w:rFonts w:hint="eastAsia" w:cs="宋体" w:asciiTheme="minorEastAsia" w:hAnsiTheme="minorEastAsia" w:eastAsiaTheme="minorEastAsia"/>
                <w:color w:val="auto"/>
                <w:kern w:val="0"/>
                <w:sz w:val="15"/>
                <w:szCs w:val="15"/>
                <w:highlight w:val="none"/>
                <w:lang w:val="en-US" w:eastAsia="zh-CN"/>
              </w:rPr>
              <w:t>4-8</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或者其它严重影响用气情形的，系数</w:t>
            </w:r>
            <w:r>
              <w:rPr>
                <w:rFonts w:hint="eastAsia" w:cs="宋体" w:asciiTheme="minorEastAsia" w:hAnsiTheme="minorEastAsia" w:eastAsiaTheme="minorEastAsia"/>
                <w:color w:val="auto"/>
                <w:kern w:val="0"/>
                <w:sz w:val="15"/>
                <w:szCs w:val="15"/>
                <w:highlight w:val="none"/>
                <w:lang w:val="en-US" w:eastAsia="zh-CN"/>
              </w:rPr>
              <w:t>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其它严重影响用气情形的，系数1。</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82"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1.同时存在两项（含两项）以上违法行为的，系数5-9；2.违法行为影响正常用气的，系数5-9；3.发生燃气事故，存在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7" w:hRule="atLeast"/>
          <w:jc w:val="center"/>
        </w:trPr>
        <w:tc>
          <w:tcPr>
            <w:tcW w:w="94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500"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违法行为影响正常用气的，系数5-9；</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安全隐患或者的，系数9。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500" w:type="dxa"/>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w:t>
            </w:r>
            <w:r>
              <w:rPr>
                <w:rFonts w:hint="eastAsia" w:cs="仿宋_GB2312" w:asciiTheme="minorEastAsia" w:hAnsiTheme="minorEastAsia" w:eastAsiaTheme="minorEastAsia"/>
                <w:color w:val="auto"/>
                <w:kern w:val="0"/>
                <w:sz w:val="15"/>
                <w:szCs w:val="15"/>
                <w:highlight w:val="none"/>
                <w:lang w:eastAsia="zh-CN"/>
              </w:rPr>
              <w:t>或者存在</w:t>
            </w:r>
            <w:r>
              <w:rPr>
                <w:rFonts w:hint="eastAsia" w:cs="仿宋_GB2312" w:asciiTheme="minorEastAsia" w:hAnsiTheme="minorEastAsia" w:eastAsiaTheme="minorEastAsia"/>
                <w:color w:val="auto"/>
                <w:kern w:val="0"/>
                <w:sz w:val="15"/>
                <w:szCs w:val="15"/>
                <w:highlight w:val="none"/>
              </w:rPr>
              <w:t>其它影响用气情形的，系数0.5；2.发生燃气事故，存在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或者其它严重影响用气情形的，系数1。</w:t>
            </w:r>
          </w:p>
        </w:tc>
        <w:tc>
          <w:tcPr>
            <w:tcW w:w="1785" w:type="dxa"/>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rPr>
              <w:t>其它影响用气情形的，</w:t>
            </w:r>
            <w:r>
              <w:rPr>
                <w:rFonts w:hint="eastAsia" w:cs="宋体" w:asciiTheme="minorEastAsia" w:hAnsiTheme="minorEastAsia" w:eastAsiaTheme="minorEastAsia"/>
                <w:color w:val="auto"/>
                <w:kern w:val="0"/>
                <w:sz w:val="15"/>
                <w:szCs w:val="15"/>
                <w:highlight w:val="none"/>
              </w:rPr>
              <w:t>系数7</w:t>
            </w:r>
            <w:r>
              <w:rPr>
                <w:rFonts w:hint="eastAsia" w:cs="仿宋_GB2312" w:asciiTheme="minorEastAsia" w:hAnsiTheme="minorEastAsia" w:eastAsiaTheme="minorEastAsia"/>
                <w:color w:val="auto"/>
                <w:kern w:val="0"/>
                <w:sz w:val="15"/>
                <w:szCs w:val="15"/>
                <w:highlight w:val="none"/>
              </w:rPr>
              <w:t>；2.发生燃气事故，存在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或者其它严重影响用气情形的，系数9。</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0" w:hRule="atLeast"/>
          <w:jc w:val="center"/>
        </w:trPr>
        <w:tc>
          <w:tcPr>
            <w:tcW w:w="94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500" w:type="dxa"/>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发生在人口集中地区</w:t>
            </w:r>
            <w:r>
              <w:rPr>
                <w:rFonts w:hint="eastAsia" w:cs="宋体" w:asciiTheme="minorEastAsia" w:hAnsiTheme="minorEastAsia" w:eastAsiaTheme="minorEastAsia"/>
                <w:color w:val="auto"/>
                <w:kern w:val="0"/>
                <w:sz w:val="15"/>
                <w:szCs w:val="15"/>
                <w:highlight w:val="none"/>
              </w:rPr>
              <w:t>或人员密集场所</w:t>
            </w:r>
            <w:r>
              <w:rPr>
                <w:rFonts w:hint="eastAsia" w:cs="仿宋_GB2312" w:asciiTheme="minorEastAsia" w:hAnsiTheme="minorEastAsia" w:eastAsiaTheme="minorEastAsia"/>
                <w:color w:val="auto"/>
                <w:kern w:val="0"/>
                <w:sz w:val="15"/>
                <w:szCs w:val="15"/>
                <w:highlight w:val="none"/>
              </w:rPr>
              <w:t>的，系数2；2.导致相关燃气安全事故的，系数4。</w:t>
            </w:r>
          </w:p>
        </w:tc>
        <w:tc>
          <w:tcPr>
            <w:tcW w:w="17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常量系数</w:t>
            </w:r>
            <w:r>
              <w:rPr>
                <w:rFonts w:hint="eastAsia" w:cs="仿宋_GB2312"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0" w:hRule="atLeast"/>
          <w:jc w:val="center"/>
        </w:trPr>
        <w:tc>
          <w:tcPr>
            <w:tcW w:w="14218" w:type="dxa"/>
            <w:gridSpan w:val="9"/>
            <w:shd w:val="clear" w:color="auto" w:fill="auto"/>
            <w:vAlign w:val="center"/>
          </w:tcPr>
          <w:p>
            <w:pPr>
              <w:pStyle w:val="4"/>
              <w:widowControl w:val="0"/>
              <w:spacing w:line="232" w:lineRule="exact"/>
              <w:jc w:val="center"/>
              <w:rPr>
                <w:rFonts w:asciiTheme="minorEastAsia" w:hAnsiTheme="minorEastAsia" w:eastAsiaTheme="minorEastAsia"/>
                <w:color w:val="auto"/>
                <w:sz w:val="15"/>
                <w:szCs w:val="15"/>
                <w:highlight w:val="none"/>
              </w:rPr>
            </w:pPr>
            <w:bookmarkStart w:id="74" w:name="_Toc110851459"/>
            <w:bookmarkStart w:id="75" w:name="_Toc697937810"/>
            <w:bookmarkStart w:id="76" w:name="_Toc1517927781"/>
            <w:r>
              <w:rPr>
                <w:rFonts w:hint="eastAsia" w:asciiTheme="minorEastAsia" w:hAnsiTheme="minorEastAsia" w:eastAsiaTheme="minorEastAsia"/>
                <w:color w:val="auto"/>
                <w:sz w:val="21"/>
                <w:szCs w:val="21"/>
                <w:highlight w:val="none"/>
              </w:rPr>
              <w:t>《北京市消防条例》案由1项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违反条款：第二十八条第（四）项；处罚条款：第八十三条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7"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1.适用于餐饮等行业的生产经营单位使用燃气，逾期未改正的情形。</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特大型、大型餐饮经营者，变量系数为1；（以餐饮服务许可标注的类别为准）</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7"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0"/>
            <w:bookmarkStart w:id="78" w:name="_Toc1826085962"/>
            <w:bookmarkStart w:id="79" w:name="_Toc2108634677"/>
            <w:r>
              <w:rPr>
                <w:rFonts w:hint="eastAsia" w:asciiTheme="minorEastAsia" w:hAnsiTheme="minorEastAsia" w:eastAsiaTheme="minorEastAsia"/>
                <w:color w:val="auto"/>
                <w:sz w:val="21"/>
                <w:szCs w:val="21"/>
                <w:highlight w:val="none"/>
              </w:rPr>
              <w:t>《北京市清洁燃料车辆加气站管理规定》案由7项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8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使用明火检查</w:t>
            </w:r>
            <w:r>
              <w:rPr>
                <w:rFonts w:hint="eastAsia" w:cs="宋体" w:asciiTheme="minorEastAsia" w:hAnsiTheme="minorEastAsia" w:eastAsiaTheme="minorEastAsia"/>
                <w:color w:val="auto"/>
                <w:kern w:val="0"/>
                <w:sz w:val="15"/>
                <w:szCs w:val="15"/>
                <w:highlight w:val="none"/>
                <w:lang w:eastAsia="zh-CN"/>
              </w:rPr>
              <w:t>燃气泄漏</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1.发生在人口集中地区，存在较大安全隐患的，系数2；2.发生事故的，系数4。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32"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p>
        </w:tc>
        <w:tc>
          <w:tcPr>
            <w:tcW w:w="17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市级</w:t>
            </w:r>
          </w:p>
          <w:p>
            <w:pPr>
              <w:spacing w:line="220" w:lineRule="exact"/>
              <w:ind w:left="-7"/>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1473999580"/>
            <w:bookmarkStart w:id="81" w:name="_Toc110851461"/>
            <w:bookmarkStart w:id="82" w:name="_Toc1514974869"/>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3"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autoSpaceDE w:val="0"/>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故意隐瞒相关情况，对安全、稳定、质量合格供热造成较大影响的，系数为1。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9"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5"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7"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天，变量系数为</w:t>
            </w:r>
            <w:r>
              <w:rPr>
                <w:rFonts w:hint="eastAsia" w:cs="宋体" w:asciiTheme="minorEastAsia" w:hAnsiTheme="minorEastAsia" w:eastAsiaTheme="minorEastAsia"/>
                <w:color w:val="auto"/>
                <w:kern w:val="0"/>
                <w:sz w:val="15"/>
                <w:szCs w:val="15"/>
                <w:highlight w:val="none"/>
                <w:lang w:val="en-US" w:eastAsia="zh-CN"/>
              </w:rPr>
              <w:t>1，3天的，系数2，以此类推，6天及以上的，系数5；2.造成较大社会影响的，系数3-5。</w:t>
            </w:r>
          </w:p>
        </w:tc>
        <w:tc>
          <w:tcPr>
            <w:tcW w:w="17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9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按照《基准》的规定执行</w:t>
            </w:r>
            <w:r>
              <w:rPr>
                <w:rFonts w:hint="eastAsia" w:cs="宋体" w:asciiTheme="minorEastAsia" w:hAnsiTheme="minorEastAsia" w:eastAsiaTheme="minorEastAsia"/>
                <w:color w:val="auto"/>
                <w:kern w:val="0"/>
                <w:sz w:val="15"/>
                <w:szCs w:val="15"/>
                <w:highlight w:val="none"/>
                <w:lang w:eastAsia="zh-CN"/>
              </w:rPr>
              <w:t>。</w:t>
            </w: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hint="eastAsia"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w:t>
            </w:r>
          </w:p>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9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autoSpaceDE w:val="0"/>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26"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1．拆改行为明显影响到其它用户供暖效果的，系数为5；2.造成供暖中止等供暖事故的，系数为9。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1．严重影响到正常供暖的，系数为5；2.造成供暖事故的，系数为9。</w:t>
            </w:r>
          </w:p>
        </w:tc>
        <w:tc>
          <w:tcPr>
            <w:tcW w:w="17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26" w:lineRule="exact"/>
              <w:ind w:left="6" w:hanging="21"/>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26" w:lineRule="exact"/>
              <w:ind w:left="6" w:hanging="21"/>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1．明显影响到采暖效果的，系数为0.5；2.造成供暖中止等供暖事故的，系数为1。</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4"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1"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6"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危害、损坏供热设施的行为</w:t>
            </w:r>
          </w:p>
        </w:tc>
        <w:tc>
          <w:tcPr>
            <w:tcW w:w="2789"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1.对供热设施造成一定损害的，系数为1；2.一定程度上影响到供暖效果的，系数为3；3.造成供暖事故的，系数为5。</w:t>
            </w:r>
          </w:p>
        </w:tc>
        <w:tc>
          <w:tcPr>
            <w:tcW w:w="17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3" w:name="_Toc984069521"/>
            <w:bookmarkStart w:id="84" w:name="_Toc110851462"/>
            <w:bookmarkStart w:id="85" w:name="_Toc819278804"/>
            <w:r>
              <w:rPr>
                <w:rFonts w:hint="eastAsia" w:asciiTheme="minorEastAsia" w:hAnsiTheme="minorEastAsia" w:eastAsiaTheme="minorEastAsia"/>
                <w:color w:val="auto"/>
                <w:sz w:val="21"/>
                <w:szCs w:val="21"/>
                <w:highlight w:val="none"/>
              </w:rPr>
              <w:t>《北京市民用建筑节能管理办法》案由2项</w:t>
            </w:r>
            <w:bookmarkEnd w:id="83"/>
            <w:bookmarkEnd w:id="84"/>
            <w:bookmarkEnd w:id="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0"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区级</w:t>
            </w:r>
          </w:p>
          <w:p>
            <w:pPr>
              <w:spacing w:line="232" w:lineRule="exact"/>
              <w:jc w:val="center"/>
              <w:rPr>
                <w:rFonts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2"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6" w:name="_Toc636329439"/>
            <w:bookmarkStart w:id="87" w:name="_Toc1311839352"/>
            <w:bookmarkStart w:id="88" w:name="_Toc110851463"/>
            <w:bookmarkStart w:id="89" w:name="_Toc2100881276"/>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6"/>
            <w:bookmarkEnd w:id="8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3" w:hRule="atLeast"/>
          <w:jc w:val="center"/>
        </w:trPr>
        <w:tc>
          <w:tcPr>
            <w:tcW w:w="94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pPr>
              <w:pStyle w:val="9"/>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p>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自</w:t>
            </w:r>
            <w:r>
              <w:rPr>
                <w:rFonts w:hint="eastAsia" w:cs="宋体" w:asciiTheme="minorEastAsia" w:hAnsiTheme="minorEastAsia" w:eastAsiaTheme="minorEastAsia"/>
                <w:color w:val="auto"/>
                <w:kern w:val="0"/>
                <w:sz w:val="15"/>
                <w:szCs w:val="15"/>
                <w:highlight w:val="none"/>
                <w:lang w:val="en-US" w:eastAsia="zh-CN"/>
              </w:rPr>
              <w:t>2024年3月1日起施行。</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hint="eastAsia"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lang w:eastAsia="zh-Hans"/>
              </w:rPr>
            </w:pPr>
            <w:bookmarkStart w:id="90" w:name="_Toc2041415668"/>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lang w:eastAsia="zh-Hans"/>
              </w:rPr>
              <w:t>中华人民共和国安全生产法</w:t>
            </w:r>
            <w:r>
              <w:rPr>
                <w:rFonts w:asciiTheme="minorEastAsia" w:hAnsiTheme="minorEastAsia" w:eastAsiaTheme="minorEastAsia"/>
                <w:color w:val="auto"/>
                <w:sz w:val="21"/>
                <w:szCs w:val="21"/>
                <w:highlight w:val="none"/>
                <w:lang w:eastAsia="zh-Hans"/>
              </w:rPr>
              <w:t>》</w:t>
            </w:r>
            <w:r>
              <w:rPr>
                <w:rFonts w:hint="eastAsia" w:asciiTheme="minorEastAsia" w:hAnsiTheme="minorEastAsia" w:eastAsiaTheme="minorEastAsia"/>
                <w:color w:val="auto"/>
                <w:sz w:val="21"/>
                <w:szCs w:val="21"/>
                <w:highlight w:val="none"/>
              </w:rPr>
              <w:t>《北京市安全生产条例》</w:t>
            </w:r>
            <w:r>
              <w:rPr>
                <w:rFonts w:asciiTheme="minorEastAsia" w:hAnsiTheme="minorEastAsia" w:eastAsiaTheme="minorEastAsia"/>
                <w:color w:val="auto"/>
                <w:sz w:val="21"/>
                <w:szCs w:val="21"/>
                <w:highlight w:val="none"/>
                <w:lang w:eastAsia="zh-Hans"/>
              </w:rPr>
              <w:t>案由</w:t>
            </w:r>
            <w:r>
              <w:rPr>
                <w:rFonts w:hint="eastAsia" w:asciiTheme="minorEastAsia" w:hAnsiTheme="minorEastAsia" w:eastAsiaTheme="minorEastAsia"/>
                <w:color w:val="auto"/>
                <w:sz w:val="21"/>
                <w:szCs w:val="21"/>
                <w:highlight w:val="none"/>
              </w:rPr>
              <w:t>12</w:t>
            </w:r>
            <w:r>
              <w:rPr>
                <w:rFonts w:asciiTheme="minorEastAsia" w:hAnsiTheme="minorEastAsia" w:eastAsiaTheme="minorEastAsia"/>
                <w:color w:val="auto"/>
                <w:sz w:val="21"/>
                <w:szCs w:val="21"/>
                <w:highlight w:val="none"/>
                <w:lang w:eastAsia="zh-Hans"/>
              </w:rPr>
              <w:t>项</w:t>
            </w:r>
            <w:bookmarkEnd w:id="88"/>
            <w:bookmarkEnd w:id="89"/>
            <w:bookmarkEnd w:id="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7"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违反条款:《中华人民共和国安全生产法》第二十一条第（一）项至第（七）项（根据实际选择）;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罚条款:第九十四条第一款,责令限期改正，处二万元以上五万元以下的罚款；逾期未改正的，处五万元以上十万元以下的罚款，责令生产经营单位停产停业整顿。</w:t>
            </w:r>
          </w:p>
        </w:tc>
        <w:tc>
          <w:tcPr>
            <w:tcW w:w="8165" w:type="dxa"/>
            <w:gridSpan w:val="5"/>
            <w:shd w:val="clear" w:color="auto" w:fill="auto"/>
            <w:vAlign w:val="center"/>
          </w:tcPr>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1.未履行第一项至第七项中任一项职责的，处 2 万元以上 3 万元以下的罚款；逾期未改正的，处 5 万元以上 7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2.未履行第一项至第七项中任两项职责的，处 3 万元以上 4 万元以下的罚款；逾期未改正的，处 7 万元以上 9 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3.未履行第一项至第七项中任三项以上职责的，处 4 万元以上 5 万元以下的罚款；逾期未改正的，处 9 万元以上 10 万元以下的罚款。</w:t>
            </w:r>
          </w:p>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8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8165" w:type="dxa"/>
            <w:gridSpan w:val="5"/>
            <w:shd w:val="clear" w:color="auto" w:fill="auto"/>
            <w:vAlign w:val="center"/>
          </w:tcPr>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highlight w:val="none"/>
                <w:lang w:val="en-US" w:eastAsia="zh-CN"/>
              </w:rPr>
              <w:t>北京市安全生产行政处罚自由裁量基准（</w:t>
            </w:r>
            <w:r>
              <w:rPr>
                <w:rFonts w:hint="default" w:asciiTheme="minorEastAsia" w:hAnsiTheme="minorEastAsia" w:eastAsiaTheme="minorEastAsia" w:cstheme="minorEastAsia"/>
                <w:sz w:val="15"/>
                <w:szCs w:val="15"/>
                <w:highlight w:val="none"/>
                <w:lang w:val="en-US" w:eastAsia="zh-CN"/>
              </w:rPr>
              <w:t>2024</w:t>
            </w:r>
            <w:r>
              <w:rPr>
                <w:rFonts w:hint="eastAsia" w:asciiTheme="minorEastAsia" w:hAnsiTheme="minorEastAsia" w:eastAsiaTheme="minorEastAsia" w:cstheme="minorEastAsia"/>
                <w:sz w:val="15"/>
                <w:szCs w:val="15"/>
                <w:highlight w:val="none"/>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1.违反第五项、第七项中任一项职责的，并处2万元以上3万元以下的罚款；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2.同时违反第五项、第七项两项职责的，并处3万元以上5万元以下的罚款。</w:t>
            </w:r>
          </w:p>
        </w:tc>
        <w:tc>
          <w:tcPr>
            <w:tcW w:w="824"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6"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未按照规定设置安全生产管理机构或者配备安全生产管理人员</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color w:val="auto"/>
                <w:highlight w:val="none"/>
              </w:rPr>
            </w:pPr>
            <w:r>
              <w:rPr>
                <w:rFonts w:hint="eastAsia" w:asciiTheme="minorEastAsia" w:hAnsiTheme="minorEastAsia" w:eastAsiaTheme="minorEastAsia"/>
                <w:color w:val="auto"/>
                <w:sz w:val="15"/>
                <w:szCs w:val="15"/>
                <w:highlight w:val="none"/>
              </w:rPr>
              <w:t>违反条款：第二十四条第二款；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widowControl/>
              <w:suppressLineNumbers w:val="0"/>
              <w:jc w:val="left"/>
              <w:rPr>
                <w:rFonts w:ascii="宋体" w:hAnsi="宋体" w:eastAsia="宋体" w:cs="宋体"/>
                <w:kern w:val="0"/>
                <w:sz w:val="15"/>
                <w:szCs w:val="15"/>
                <w:lang w:val="en-US" w:eastAsia="zh-CN" w:bidi="ar"/>
              </w:rPr>
            </w:pPr>
            <w:r>
              <w:rPr>
                <w:rFonts w:ascii="宋体" w:hAnsi="宋体" w:eastAsia="宋体" w:cs="宋体"/>
                <w:kern w:val="0"/>
                <w:sz w:val="15"/>
                <w:szCs w:val="15"/>
                <w:lang w:val="en-US" w:eastAsia="zh-CN" w:bidi="ar"/>
              </w:rPr>
              <w:t>1.除矿山、金属冶炼、建筑施工、运输单位和危险物品的生产、经营、储存、装卸单位以外的生产经营单位，从业人员总数为 100人或者 100人以下， 未配备专职或者兼职安全生产管理人员的处 3万元以下的罚款；逾期未改正的，并处 10 万元以上 13万元以下的罚款，对其直接负责的主管人员和其他直接责任人员处2万元以上3万元以下的罚款；</w:t>
            </w:r>
          </w:p>
          <w:p>
            <w:pPr>
              <w:keepNext w:val="0"/>
              <w:keepLines w:val="0"/>
              <w:widowControl/>
              <w:suppressLineNumbers w:val="0"/>
              <w:jc w:val="left"/>
              <w:rPr>
                <w:sz w:val="15"/>
                <w:szCs w:val="15"/>
              </w:rPr>
            </w:pPr>
            <w:r>
              <w:rPr>
                <w:rFonts w:ascii="宋体" w:hAnsi="宋体" w:eastAsia="宋体" w:cs="宋体"/>
                <w:kern w:val="0"/>
                <w:sz w:val="15"/>
                <w:szCs w:val="15"/>
                <w:lang w:val="en-US" w:eastAsia="zh-CN" w:bidi="ar"/>
              </w:rPr>
              <w:t xml:space="preserve"> 2.除矿山、金属冶炼、建筑施工、运输单位和危险物品的生产、经营、储存、装卸单位以外的生产经营单位，从业人员总数超过 100 人，未设置安全生产管理机构或者未配备专职安全生产管理人员的，处3万元以上5万元以下的罚款；逾期未改正的，并处13万元以上15万元以下的罚款，对其直接负责的主管人员和其他直接责任人员处3万元以上4万元以下的罚款；</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58" w:hRule="atLeast"/>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其他负责人和安全生产管理人员未履行本法规定的安全生产管理职责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dstrike w:val="0"/>
                <w:color w:val="auto"/>
                <w:kern w:val="0"/>
                <w:sz w:val="15"/>
                <w:szCs w:val="15"/>
                <w:highlight w:val="none"/>
                <w:lang w:val="en-US" w:eastAsia="zh-CN" w:bidi="ar-SA"/>
              </w:rPr>
              <w:t>1</w:t>
            </w:r>
            <w:r>
              <w:rPr>
                <w:rFonts w:hint="eastAsia" w:cs="宋体" w:asciiTheme="minorEastAsia" w:hAnsiTheme="minorEastAsia" w:eastAsiaTheme="minorEastAsia"/>
                <w:strike w:val="0"/>
                <w:dstrike w:val="0"/>
                <w:color w:val="auto"/>
                <w:kern w:val="0"/>
                <w:sz w:val="15"/>
                <w:szCs w:val="15"/>
                <w:highlight w:val="none"/>
                <w:lang w:val="en-US" w:eastAsia="zh-CN" w:bidi="ar-SA"/>
              </w:rPr>
              <w:t>.未履行第一项至第七项中任一项职责的，处1万元以上2万元以下的罚款；</w:t>
            </w:r>
          </w:p>
          <w:p>
            <w:pPr>
              <w:spacing w:line="232" w:lineRule="exact"/>
              <w:ind w:left="6" w:leftChars="0" w:hanging="21" w:firstLineChars="0"/>
              <w:rPr>
                <w:rFonts w:hint="eastAsia" w:cs="宋体" w:asciiTheme="minorEastAsia" w:hAnsiTheme="minorEastAsia" w:eastAsiaTheme="minorEastAsia"/>
                <w:strike w:val="0"/>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2.未履行第一项至第七项中任两项职责的，处2万元以上3万元以下的罚款；</w:t>
            </w:r>
          </w:p>
          <w:p>
            <w:pPr>
              <w:spacing w:line="232" w:lineRule="exact"/>
              <w:ind w:left="6" w:leftChars="0" w:hanging="21" w:firstLineChars="0"/>
              <w:rPr>
                <w:rFonts w:cs="宋体" w:asciiTheme="minorEastAsia" w:hAnsiTheme="minorEastAsia" w:eastAsiaTheme="minorEastAsia"/>
                <w:strike/>
                <w:dstrike w:val="0"/>
                <w:color w:val="auto"/>
                <w:kern w:val="0"/>
                <w:sz w:val="15"/>
                <w:szCs w:val="15"/>
                <w:highlight w:val="none"/>
                <w:lang w:val="en-US" w:eastAsia="zh-CN" w:bidi="ar-SA"/>
              </w:rPr>
            </w:pPr>
            <w:r>
              <w:rPr>
                <w:rFonts w:hint="eastAsia" w:cs="宋体" w:asciiTheme="minorEastAsia" w:hAnsiTheme="minorEastAsia" w:eastAsiaTheme="minorEastAsia"/>
                <w:strike w:val="0"/>
                <w:dstrike w:val="0"/>
                <w:color w:val="auto"/>
                <w:kern w:val="0"/>
                <w:sz w:val="15"/>
                <w:szCs w:val="15"/>
                <w:highlight w:val="none"/>
                <w:lang w:val="en-US" w:eastAsia="zh-CN" w:bidi="ar-SA"/>
              </w:rPr>
              <w:t>3.未履行第一项至第七项中任三项以上职责的，处3万元的罚款；</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72"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对从业人员、被派遣劳动者、实习学生进行安全生产教育和培训的人数为3人以下的，处5万元以下的罚款；逾期未改正的，处10万元以上15万元以下的罚款，对其直接负责的主管人员和其他直接责任人员 2万元以上3万元以下的罚款；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对从业人员、被派遣劳动者、实习学生进行安全生产教育和培训的人数为3人以上的，处5万元以上10万元以下的罚款；逾期未改正的，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41"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bCs/>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款，责令限期改正，处十万元以下的罚款；逾期未改正的，责令停产停业整顿，并处十万元以上二十万元以下的罚款，对其直接负责的主管人员和其他直接责任人员处二万元以上五万元以下的罚款。 </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7"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1.生产经营单位未如实记录安全生产教育和培训情况的人数为 5 人以下的，处 5 万元以下的罚款；逾期未改正的，并处 10 万元以上 15 万元以下的罚款，对其直接负责的主管人员和其他责任人员处 2 万元以上 4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2.生产经营单位未如实记录安全生产教育和培训情况人数为 5 人以上的，处 5 万元以上 10 万元以下的罚款；逾期未改正的，并处 15 万元以上 20 万元以下的罚款，对其直接负责的主管人员和其他责任人员处 4 万元以上 5 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未在有较大危险因素的生产经营场所和有关设施、设备上设置明显的安全警示标志</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未在有较大危险因素的生产经营场所和有关设施、设备上设置明显的安全警示标志有5处以下的，处2万元以下的罚款；逾期未改正的，处5万元以上10万元以下的罚款，对其直接负责的主管人员和其他直接责任人员处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2.未在有较大危险因素的生产经营场所和有关设施、设备上设置明显的安全警示标志有5处以上10处以下的，处2万元以上 4万元以下的罚款；逾期未改正的，处10万元以上15万元以下的罚款，对其直接负责的主管人员和其他直接责任人员处 1万元以上2万元以下的罚款；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未在有较大危险因素的生产经营场所和有关设施、设备上设置明显的安全警示标志有10处以上的，处4万元以上5万元以下的罚款；逾期未改正的，处15万元以上20万元以下的罚款，对其直接负责的主管人员和其他直接责任人员处1万元以上 2万元以下的罚款。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18"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未建立事故隐患排查治理制度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未建立事故隐患排查治理制度，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9"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未如实记录事故隐患排查治理情况或者未向从业人员通报</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存在未将事故隐患排查治理情况如实记录或者未向从业人员通报情况之一的，处5万元以下的罚款；逾期未改正的，并处10万元以上15万元以下的罚款，对其直接负责的主管人员和其他直接责任人员处2万元以上4万元以下的罚款；</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未将事故隐患排查治理情况如实记录并且未向从业人员通报的，处5万元以上10万元以下的罚款；逾期未改正的，并处15万元以上20万元以下的罚款，对其直接负责的主管人员和其他直接责任人员处4万元以上5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重大事故隐患排查治理情况未按照规定报告</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8165" w:type="dxa"/>
            <w:gridSpan w:val="5"/>
            <w:shd w:val="clear" w:color="auto" w:fill="auto"/>
            <w:vAlign w:val="center"/>
          </w:tcPr>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20" w:lineRule="exact"/>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除危险物品的生产、经营、储存、装卸单位以及矿山、金属冶炼、建筑施工、运输单位以外的生产经营单位，重大事故隐患排查治理情况未按照规定报告的，处5万元以下的罚款；逾期未改正的，并处10万元以上15万元以下的罚款，对其直接负责的主管人员和其他直接责任人员处2万元以上3万元以下的罚款；</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9" w:hRule="atLeast"/>
          <w:jc w:val="center"/>
        </w:trPr>
        <w:tc>
          <w:tcPr>
            <w:tcW w:w="94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未向从业人员如实告知有关安全生产事项</w:t>
            </w:r>
          </w:p>
        </w:tc>
        <w:tc>
          <w:tcPr>
            <w:tcW w:w="2789"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restart"/>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1.生产经营单位未按照规定向从业人员如实告知作业场所和工作岗位存在的危险因素、防范措施以及事故应急措施中的任一项安全生产事项的，处 5万元以下的罚款；逾期未改正的，并处10万元以上15万元以下的罚款，对其直接负责的主管人员和其他直接责任人员处2万元以上3万元以下的罚款；</w:t>
            </w:r>
          </w:p>
          <w:p>
            <w:pPr>
              <w:spacing w:line="232" w:lineRule="exact"/>
              <w:ind w:left="6" w:hanging="21"/>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生产经营单位未按照规定向从业人员如实告知作业场所和工作岗位存在的危险因素、防范措施以及事故应急措施中的任两项安全生产事项的，处5万元以上10万元以下的罚款；逾期未改正的，并处15万元以上20万元以下的罚款，对其直接负责的主管人员和其他直接责任人员处3万元以上5万元以下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3.生产经营单位未按照规定向从业人员如实告知作业场所和工作岗位存在的危险因素、防范措施以及事故应急措施中的全部安全生产事项的，处10万元的罚款；逾期未改正的，并处20万元的罚款，对其直接负责的主管人员和其他直接责任人员处5万元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r>
              <w:rPr>
                <w:rFonts w:cs="宋体" w:asciiTheme="minorEastAsia" w:hAnsiTheme="minorEastAsia" w:eastAsiaTheme="minorEastAsia"/>
                <w:strike/>
                <w:dstrike w:val="0"/>
                <w:color w:val="auto"/>
                <w:kern w:val="0"/>
                <w:sz w:val="15"/>
                <w:szCs w:val="15"/>
                <w:highlight w:val="none"/>
              </w:rPr>
              <w:br w:type="textWrapping"/>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5" w:hRule="atLeast"/>
          <w:jc w:val="center"/>
        </w:trPr>
        <w:tc>
          <w:tcPr>
            <w:tcW w:w="94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5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8165" w:type="dxa"/>
            <w:gridSpan w:val="5"/>
            <w:vMerge w:val="continue"/>
            <w:shd w:val="clear" w:color="auto" w:fill="auto"/>
            <w:vAlign w:val="center"/>
          </w:tcPr>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5"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拒绝、阻碍负有安全生产监督管理职责的部门依法实施监督检查</w:t>
            </w:r>
          </w:p>
        </w:tc>
        <w:tc>
          <w:tcPr>
            <w:tcW w:w="2789" w:type="dxa"/>
            <w:shd w:val="clear" w:color="auto" w:fill="auto"/>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1.生产经营单位拒绝安全生产行政执法人员依法监督检查，拒不改正的，</w:t>
            </w:r>
            <w:r>
              <w:rPr>
                <w:rFonts w:hint="default" w:cs="宋体" w:asciiTheme="minorEastAsia" w:hAnsiTheme="minorEastAsia" w:eastAsiaTheme="minorEastAsia"/>
                <w:strike w:val="0"/>
                <w:dstrike w:val="0"/>
                <w:color w:val="auto"/>
                <w:kern w:val="0"/>
                <w:sz w:val="15"/>
                <w:szCs w:val="15"/>
                <w:highlight w:val="none"/>
                <w:lang w:val="en-US" w:eastAsia="zh-CN"/>
              </w:rPr>
              <w:t>处2万元以上10万元以下的罚款，对其直接负责的主管人员和其他直接责任人员处1万元的罚款；</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2.生产经营单位阻碍安全生产行政执法人员依法监督检查，拒不改正的，处10万元以上20万元以下的罚款，对其直接负责的主管人员和其他直接责任人员处1万元以上2万元以下的罚款。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未执行专项安全生产管理措施逾期未改正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 处罚条款：第六十一条，责令限期改正；逾期未改正的，责令停止生产经营活动。</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ind w:left="6" w:hanging="21"/>
              <w:jc w:val="lef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无</w:t>
            </w: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8"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1" w:name="_Toc110851464"/>
            <w:bookmarkStart w:id="92" w:name="_Toc1075063771"/>
            <w:bookmarkStart w:id="93" w:name="_Toc1963656805"/>
            <w:r>
              <w:rPr>
                <w:rFonts w:hint="eastAsia" w:asciiTheme="minorEastAsia" w:hAnsiTheme="minorEastAsia" w:eastAsiaTheme="minorEastAsia"/>
                <w:color w:val="auto"/>
                <w:sz w:val="21"/>
                <w:szCs w:val="21"/>
                <w:highlight w:val="none"/>
              </w:rPr>
              <w:t>《北京市生产安全事故隐患排查治理办法》</w:t>
            </w:r>
            <w:r>
              <w:rPr>
                <w:rFonts w:hint="eastAsia" w:asciiTheme="minorEastAsia" w:hAnsiTheme="minorEastAsia" w:eastAsiaTheme="minorEastAsia"/>
                <w:color w:val="auto"/>
                <w:sz w:val="21"/>
                <w:szCs w:val="21"/>
                <w:highlight w:val="none"/>
                <w:lang w:eastAsia="zh-Hans"/>
              </w:rPr>
              <w:t>案由</w:t>
            </w:r>
            <w:r>
              <w:rPr>
                <w:rFonts w:asciiTheme="minorEastAsia" w:hAnsiTheme="minorEastAsia" w:eastAsiaTheme="minorEastAsia"/>
                <w:color w:val="auto"/>
                <w:sz w:val="21"/>
                <w:szCs w:val="21"/>
                <w:highlight w:val="none"/>
                <w:lang w:eastAsia="zh-Hans"/>
              </w:rPr>
              <w:t>2</w:t>
            </w:r>
            <w:r>
              <w:rPr>
                <w:rFonts w:hint="eastAsia" w:asciiTheme="minorEastAsia" w:hAnsiTheme="minorEastAsia" w:eastAsiaTheme="minorEastAsia"/>
                <w:color w:val="auto"/>
                <w:sz w:val="21"/>
                <w:szCs w:val="21"/>
                <w:highlight w:val="none"/>
                <w:lang w:eastAsia="zh-Hans"/>
              </w:rPr>
              <w:t>项</w:t>
            </w:r>
            <w:bookmarkEnd w:id="91"/>
            <w:bookmarkEnd w:id="92"/>
            <w:bookmarkEnd w:id="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主要负责人未履行规定的事故隐患排查治理职责</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1.经责令限期改正，主要负责人未履行其中任一项职责的，对主要负责人处2万元以上3万元以下的罚款；</w:t>
            </w: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2.经责令限期改正，主要负责人未履行其中任两项以上职责的，对主要负责人处3万元以上5万元以下的罚款。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32" w:hRule="atLeast"/>
          <w:jc w:val="center"/>
        </w:trPr>
        <w:tc>
          <w:tcPr>
            <w:tcW w:w="9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未定期通报事故隐患排查治理情况，或者未公示重大事故隐患的危害程度、影响范围和应急措施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8165" w:type="dxa"/>
            <w:gridSpan w:val="5"/>
            <w:shd w:val="clear" w:color="auto" w:fill="auto"/>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pStyle w:val="8"/>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北京市应急管理局关于印发《北京市应急管理轻微违法行为依法不予行政处罚事项清单》的通知（京应急规文〔2023〕2号）</w:t>
            </w:r>
          </w:p>
          <w:p>
            <w:pPr>
              <w:pStyle w:val="8"/>
              <w:rPr>
                <w:rFonts w:hint="eastAsia" w:asciiTheme="minorEastAsia" w:hAnsiTheme="minorEastAsia" w:eastAsiaTheme="minorEastAsia" w:cstheme="minorEastAsia"/>
                <w:b/>
                <w:bCs/>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全部具备相应“不予处罚适用条件”的，依法不予行政处罚。</w:t>
            </w: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b/>
                <w:bCs/>
                <w:color w:val="auto"/>
                <w:spacing w:val="-4"/>
                <w:sz w:val="15"/>
                <w:szCs w:val="15"/>
                <w:highlight w:val="none"/>
                <w:lang w:val="en-US" w:eastAsia="zh-CN"/>
              </w:rPr>
              <w:t>不予处罚适用条件：</w:t>
            </w:r>
            <w:r>
              <w:rPr>
                <w:rFonts w:hint="eastAsia" w:asciiTheme="minorEastAsia" w:hAnsiTheme="minorEastAsia" w:eastAsiaTheme="minorEastAsia" w:cstheme="minorEastAsia"/>
                <w:color w:val="auto"/>
                <w:spacing w:val="-4"/>
                <w:sz w:val="15"/>
                <w:szCs w:val="15"/>
                <w:highlight w:val="none"/>
                <w:lang w:val="en-US" w:eastAsia="zh-CN"/>
              </w:rPr>
              <w:t>1.首次被发现；2.已向从业人员通报了隐患排查治理情况但未每月通报，或者就重大事故隐患的危害程度、影响范围和应急措施已向从业人员进行了公示但公示不全；3.及时改正；4.危害后果轻微。</w:t>
            </w:r>
          </w:p>
          <w:p>
            <w:pPr>
              <w:pStyle w:val="8"/>
              <w:rPr>
                <w:rFonts w:hint="eastAsia" w:asciiTheme="minorEastAsia" w:hAnsiTheme="minorEastAsia" w:eastAsiaTheme="minorEastAsia" w:cstheme="minorEastAsia"/>
                <w:color w:val="auto"/>
                <w:spacing w:val="-4"/>
                <w:sz w:val="15"/>
                <w:szCs w:val="15"/>
                <w:highlight w:val="none"/>
                <w:lang w:val="en-US" w:eastAsia="zh-CN"/>
              </w:rPr>
            </w:pPr>
          </w:p>
          <w:p>
            <w:pPr>
              <w:pStyle w:val="8"/>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r>
              <w:rPr>
                <w:rFonts w:hint="eastAsia" w:asciiTheme="minorEastAsia" w:hAnsiTheme="minorEastAsia" w:eastAsiaTheme="minorEastAsia" w:cstheme="minorEastAsia"/>
                <w:sz w:val="15"/>
                <w:szCs w:val="15"/>
                <w:lang w:val="en-US" w:eastAsia="zh-CN"/>
              </w:rPr>
              <w:t>北京市安全生产行政处罚自由裁量基准（</w:t>
            </w:r>
            <w:r>
              <w:rPr>
                <w:rFonts w:hint="default" w:asciiTheme="minorEastAsia" w:hAnsiTheme="minorEastAsia" w:eastAsiaTheme="minorEastAsia" w:cstheme="minorEastAsia"/>
                <w:sz w:val="15"/>
                <w:szCs w:val="15"/>
                <w:lang w:val="en-US" w:eastAsia="zh-CN"/>
              </w:rPr>
              <w:t>2024</w:t>
            </w:r>
            <w:r>
              <w:rPr>
                <w:rFonts w:hint="eastAsia" w:asciiTheme="minorEastAsia" w:hAnsiTheme="minorEastAsia" w:eastAsiaTheme="minorEastAsia" w:cstheme="minorEastAsia"/>
                <w:sz w:val="15"/>
                <w:szCs w:val="15"/>
                <w:lang w:val="en-US" w:eastAsia="zh-CN"/>
              </w:rPr>
              <w:t xml:space="preserve"> 年修订版）。“以上”包含本数、“以下”除法律规定的包含本数和最高档的“以下”包含本数外，其余均不包含本数。</w:t>
            </w:r>
            <w:r>
              <w:rPr>
                <w:rFonts w:hint="eastAsia" w:asciiTheme="minorEastAsia" w:hAnsiTheme="minorEastAsia" w:eastAsiaTheme="minorEastAsia" w:cstheme="minorEastAsia"/>
                <w:color w:val="auto"/>
                <w:spacing w:val="-4"/>
                <w:sz w:val="15"/>
                <w:szCs w:val="15"/>
                <w:highlight w:val="none"/>
                <w:lang w:val="en-US" w:eastAsia="zh-CN"/>
              </w:rPr>
              <w:t>】</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cs="宋体" w:asciiTheme="minorEastAsia" w:hAnsiTheme="minorEastAsia" w:eastAsiaTheme="minorEastAsia"/>
                <w:strike w:val="0"/>
                <w:dstrike w:val="0"/>
                <w:color w:val="auto"/>
                <w:kern w:val="0"/>
                <w:sz w:val="15"/>
                <w:szCs w:val="15"/>
                <w:highlight w:val="none"/>
                <w:lang w:val="en-US" w:eastAsia="zh-CN"/>
              </w:rPr>
              <w:t>1.存在虽向从业人员通报了隐患排查治理情况但未每月通报，或者就重大</w:t>
            </w:r>
            <w:r>
              <w:rPr>
                <w:rFonts w:hint="default" w:cs="宋体" w:asciiTheme="minorEastAsia" w:hAnsiTheme="minorEastAsia" w:eastAsiaTheme="minorEastAsia"/>
                <w:strike w:val="0"/>
                <w:dstrike w:val="0"/>
                <w:color w:val="auto"/>
                <w:kern w:val="0"/>
                <w:sz w:val="15"/>
                <w:szCs w:val="15"/>
                <w:highlight w:val="none"/>
                <w:lang w:val="en-US" w:eastAsia="zh-CN"/>
              </w:rPr>
              <w:t xml:space="preserve">事故隐患的危害程度、影响范围和应急措施虽向从业人员进行了公示但公示不全的，可以处2万元以下的罚款；逾期未改正的，并处5万元以上7万元以下的罚款； </w:t>
            </w:r>
          </w:p>
          <w:p>
            <w:pPr>
              <w:spacing w:line="232" w:lineRule="exact"/>
              <w:ind w:left="6" w:hanging="21"/>
              <w:rPr>
                <w:rFonts w:cs="宋体" w:asciiTheme="minorEastAsia" w:hAnsiTheme="minorEastAsia" w:eastAsiaTheme="minorEastAsia"/>
                <w:strike w:val="0"/>
                <w:dstrike w:val="0"/>
                <w:color w:val="auto"/>
                <w:kern w:val="0"/>
                <w:sz w:val="15"/>
                <w:szCs w:val="15"/>
                <w:highlight w:val="none"/>
              </w:rPr>
            </w:pPr>
            <w:r>
              <w:rPr>
                <w:rFonts w:hint="default" w:cs="宋体" w:asciiTheme="minorEastAsia" w:hAnsiTheme="minorEastAsia" w:eastAsiaTheme="minorEastAsia"/>
                <w:strike w:val="0"/>
                <w:dstrike w:val="0"/>
                <w:color w:val="auto"/>
                <w:kern w:val="0"/>
                <w:sz w:val="15"/>
                <w:szCs w:val="15"/>
                <w:highlight w:val="none"/>
                <w:lang w:val="en-US" w:eastAsia="zh-CN"/>
              </w:rPr>
              <w:t>2.未向从业人员通报隐患排查治理情况，或者未向从业人员公示事故隐患的危害程度、影响范围和应急措施的，可以处2万元以上5万元以下的罚款；逾期未改正的，并处7万元以上10万元以下的罚款。</w:t>
            </w:r>
          </w:p>
          <w:p>
            <w:pPr>
              <w:spacing w:line="232" w:lineRule="exact"/>
              <w:ind w:left="6" w:hanging="21"/>
              <w:rPr>
                <w:rFonts w:cs="宋体" w:asciiTheme="minorEastAsia" w:hAnsiTheme="minorEastAsia" w:eastAsiaTheme="minorEastAsia"/>
                <w:strike/>
                <w:dstrike w:val="0"/>
                <w:color w:val="auto"/>
                <w:kern w:val="0"/>
                <w:sz w:val="15"/>
                <w:szCs w:val="15"/>
                <w:highlight w:val="none"/>
              </w:rPr>
            </w:pPr>
          </w:p>
        </w:tc>
        <w:tc>
          <w:tcPr>
            <w:tcW w:w="824"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0"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4" w:name="_Toc110851465"/>
            <w:bookmarkStart w:id="95" w:name="_Toc780858134"/>
            <w:bookmarkStart w:id="96" w:name="_Toc1911813594"/>
            <w:r>
              <w:rPr>
                <w:rFonts w:hint="eastAsia" w:asciiTheme="minorEastAsia" w:hAnsiTheme="minorEastAsia" w:eastAsiaTheme="minorEastAsia"/>
                <w:color w:val="auto"/>
                <w:sz w:val="21"/>
                <w:szCs w:val="21"/>
                <w:highlight w:val="none"/>
              </w:rPr>
              <w:t>《北京市单用途预付卡管理条例》案由7项</w:t>
            </w:r>
            <w:bookmarkEnd w:id="94"/>
            <w:bookmarkEnd w:id="95"/>
            <w:bookmarkEnd w:id="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20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造成较大社会影响或者严重后果的，系数4。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6" w:hRule="atLeast"/>
          <w:jc w:val="center"/>
        </w:trPr>
        <w:tc>
          <w:tcPr>
            <w:tcW w:w="14218" w:type="dxa"/>
            <w:gridSpan w:val="9"/>
            <w:shd w:val="clear" w:color="auto" w:fill="auto"/>
            <w:vAlign w:val="center"/>
          </w:tcPr>
          <w:p>
            <w:pPr>
              <w:pStyle w:val="3"/>
              <w:keepNext w:val="0"/>
              <w:keepLines w:val="0"/>
              <w:rPr>
                <w:rFonts w:ascii="黑体" w:hAnsi="黑体" w:eastAsia="黑体"/>
                <w:b w:val="0"/>
                <w:color w:val="auto"/>
                <w:sz w:val="24"/>
                <w:szCs w:val="24"/>
                <w:highlight w:val="none"/>
              </w:rPr>
            </w:pPr>
            <w:bookmarkStart w:id="97" w:name="_Toc1495699393"/>
            <w:bookmarkStart w:id="98" w:name="_Toc110851466"/>
            <w:bookmarkStart w:id="99" w:name="_Toc1781030255"/>
            <w:r>
              <w:rPr>
                <w:rFonts w:hint="eastAsia" w:ascii="黑体" w:hAnsi="黑体" w:eastAsia="黑体"/>
                <w:b w:val="0"/>
                <w:color w:val="auto"/>
                <w:sz w:val="36"/>
                <w:szCs w:val="36"/>
                <w:highlight w:val="none"/>
              </w:rPr>
              <w:t>园林绿化管理方面</w:t>
            </w:r>
            <w:bookmarkEnd w:id="97"/>
            <w:bookmarkEnd w:id="98"/>
            <w:bookmarkEnd w:id="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0" w:name="_Toc110851467"/>
            <w:bookmarkStart w:id="101" w:name="_Toc1801139429"/>
            <w:bookmarkStart w:id="102" w:name="_Toc1097138893"/>
            <w:r>
              <w:rPr>
                <w:rFonts w:hint="eastAsia" w:asciiTheme="minorEastAsia" w:hAnsiTheme="minorEastAsia" w:eastAsiaTheme="minorEastAsia"/>
                <w:color w:val="auto"/>
                <w:sz w:val="21"/>
                <w:szCs w:val="21"/>
                <w:highlight w:val="none"/>
              </w:rPr>
              <w:t>《北京市绿化条例》案由16项</w:t>
            </w:r>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以内，变量系数为0，闲置面积1000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，变量系数增加1；</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闲置时间超过一年的，系数为4；3. 尘土飞扬，对市容环境造成严重影响的，系数9。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1.造成树木死亡（胸径小于30厘米且不满3株），绿化设施损毁、景区风貌破坏较重的，或者造成较大社会影响的，系数为2；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系数为4；造成树木大面积死亡（胸径30厘米以上树木3棵以上，以及树木死亡10株以上的），或者造成珍贵树种死亡，景区风貌破坏严重难以复原，以及其它社会恶劣影响和重大经济损失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1.造成树木死亡（胸径小于30厘米且不满3株），绿地损毁的，变量系数为1；</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2.造成树木大面积死亡（胸径30厘米以上的，或树木死亡3株以上），绿地使用功能丧失，或者其它社会恶劣影响和重大经济损失的，变量系数为3。</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在树木旁或者绿地内倾倒、排放污水、垃圾、渣土及其</w:t>
            </w:r>
            <w:r>
              <w:rPr>
                <w:rFonts w:hint="eastAsia" w:cs="宋体" w:asciiTheme="minorEastAsia" w:hAnsiTheme="minorEastAsia" w:eastAsiaTheme="minorEastAsia"/>
                <w:color w:val="auto"/>
                <w:kern w:val="0"/>
                <w:sz w:val="15"/>
                <w:szCs w:val="15"/>
                <w:highlight w:val="none"/>
                <w:shd w:val="clear" w:fill="FF0000"/>
                <w:lang w:eastAsia="zh-CN"/>
              </w:rPr>
              <w:t>他</w:t>
            </w:r>
            <w:r>
              <w:rPr>
                <w:rFonts w:hint="eastAsia" w:cs="宋体" w:asciiTheme="minorEastAsia" w:hAnsiTheme="minorEastAsia" w:eastAsiaTheme="minorEastAsia"/>
                <w:color w:val="auto"/>
                <w:kern w:val="0"/>
                <w:sz w:val="15"/>
                <w:szCs w:val="15"/>
                <w:highlight w:val="none"/>
              </w:rPr>
              <w:t>废弃物</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6"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8"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6"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5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5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造成树木、绿地或绿化设施损毁严重的，系数9。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1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擅自改变公共绿地性质和用途的，系数5-9；主动改正违法行为或者减轻违法后果的，系数1-4。2.改变其它绿地的，系数1-4；3.存在其它情节严重或者社会影响恶劣的情形，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罚款数额＝面积×300×（1＋变量系数）</w:t>
            </w:r>
          </w:p>
        </w:tc>
        <w:tc>
          <w:tcPr>
            <w:tcW w:w="2385"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按照《基准》的规定执行</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常量系数＋区域系数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1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存在以下情节的，增加变量系数：违反规定截除（擅自砍伐）第五十九条第一款四种情形之外树木主干、去除树冠的，系数 1-5。</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存在以下情节的，增加相应变量系数:1.临时占用公共绿地的，系数5-9；主动改正违法行为或者减轻违法后果的，系数1-4。2.临时占用其它绿地的，系数1-4；3.存在其它情节严重或者社会影响恶劣的情形，系数5-9。</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 +变量系数）</w:t>
            </w:r>
          </w:p>
        </w:tc>
        <w:tc>
          <w:tcPr>
            <w:tcW w:w="2385" w:type="dxa"/>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b/>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1"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3" w:name="_Toc110851468"/>
            <w:bookmarkStart w:id="104" w:name="_Toc177791596"/>
            <w:bookmarkStart w:id="105" w:name="_Toc1516675248"/>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103"/>
            <w:bookmarkEnd w:id="104"/>
            <w:bookmarkEnd w:id="10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5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c>
          <w:tcPr>
            <w:tcW w:w="824"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0"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6" w:name="_Toc1446129084"/>
            <w:bookmarkStart w:id="107" w:name="_Toc110851469"/>
            <w:bookmarkStart w:id="108" w:name="_Toc1576301640"/>
            <w:bookmarkStart w:id="109" w:name="_Toc1284883561"/>
            <w:r>
              <w:rPr>
                <w:rFonts w:hint="eastAsia" w:cs="宋体" w:asciiTheme="minorEastAsia" w:hAnsiTheme="minorEastAsia" w:eastAsiaTheme="minorEastAsia"/>
                <w:color w:val="auto"/>
                <w:sz w:val="21"/>
                <w:szCs w:val="21"/>
                <w:highlight w:val="none"/>
              </w:rPr>
              <w:t>《古树名木保护条例》案由11项</w:t>
            </w:r>
            <w:bookmarkEnd w:id="106"/>
            <w:bookmarkEnd w:id="107"/>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2.未制定移植和养护方案，或未按照方案执行的，变量系数0.6-1;</w:t>
            </w:r>
          </w:p>
          <w:p>
            <w:pPr>
              <w:numPr>
                <w:ilvl w:val="0"/>
                <w:numId w:val="0"/>
              </w:num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3.造成古树名木死亡的，变量系数1。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7"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1.制定相应移植和养护方案但未经审核批准的，变量系数0-0.5;</w:t>
            </w:r>
          </w:p>
          <w:p>
            <w:pPr>
              <w:numPr>
                <w:ilvl w:val="0"/>
                <w:numId w:val="0"/>
              </w:num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2.未制定移植和养护方案的，变量系数0.6-1;</w:t>
            </w:r>
          </w:p>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3.造成古树名木死亡的，变量系数1.5。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9"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45"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，变量系数0-0.5。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2.造成古树名木死亡的，变量系数1.5。</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500"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5"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8" w:hRule="atLeast"/>
          <w:jc w:val="center"/>
        </w:trPr>
        <w:tc>
          <w:tcPr>
            <w:tcW w:w="9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02"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olor w:val="auto"/>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56"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1.一级保护的古树或名木，系数2-3;二级保护的古树，系数0-1。</w:t>
            </w:r>
          </w:p>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2株，系数1;3株，系数2；4株及以上的，系数3。</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ascii="宋体" w:hAnsi="宋体" w:eastAsia="宋体" w:cs="宋体"/>
                <w:color w:val="auto"/>
                <w:kern w:val="0"/>
                <w:sz w:val="15"/>
                <w:szCs w:val="15"/>
                <w:highlight w:val="none"/>
              </w:rPr>
            </w:pPr>
          </w:p>
        </w:tc>
        <w:tc>
          <w:tcPr>
            <w:tcW w:w="23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2株，系数1；3株，系数2；以此类推，10株及以上的，系数9。</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3.涉及保护设施或保护标志3处及以上的，系数1。</w:t>
            </w:r>
          </w:p>
        </w:tc>
        <w:tc>
          <w:tcPr>
            <w:tcW w:w="1785"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元以下罚款决定的，由执法人员在案卷中说明理由并自行决定。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 w:hRule="atLeast"/>
          <w:jc w:val="center"/>
        </w:trPr>
        <w:tc>
          <w:tcPr>
            <w:tcW w:w="94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500"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1.一级保护的古树或名木，系数6-9;二级保护的古树，系数0-5。</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2株，系数1;3株，系数2,以此类推，10株及以上的，系数9。</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树木生长在中心城区和城市副中心或者自然保护区、风景名胜区、森林公园等自然保护区和历史文化街区、风景保护区、历史名园及名人故居的，系数0-0.5。</w:t>
            </w: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cs="宋体"/>
                <w:color w:val="auto"/>
                <w:kern w:val="0"/>
                <w:sz w:val="15"/>
                <w:szCs w:val="15"/>
                <w:highlight w:val="none"/>
                <w:lang w:val="en-US" w:eastAsia="zh-CN"/>
              </w:rPr>
              <w:t>+变量系数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rPr>
              <w:t>它额度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numPr>
                <w:ilvl w:val="0"/>
                <w:numId w:val="0"/>
              </w:numPr>
              <w:spacing w:line="232" w:lineRule="exact"/>
              <w:ind w:left="0" w:leftChars="0" w:firstLine="0" w:firstLineChars="0"/>
              <w:rPr>
                <w:rFonts w:hint="eastAsia" w:ascii="宋体" w:hAnsi="宋体" w:cs="宋体"/>
                <w:color w:val="auto"/>
                <w:kern w:val="0"/>
                <w:sz w:val="15"/>
                <w:szCs w:val="15"/>
                <w:highlight w:val="none"/>
                <w:lang w:val="en-US" w:eastAsia="zh-CN"/>
              </w:rPr>
            </w:pPr>
          </w:p>
        </w:tc>
        <w:tc>
          <w:tcPr>
            <w:tcW w:w="1785"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385" w:type="dxa"/>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拒不停止违法行为</w:t>
            </w:r>
            <w:r>
              <w:rPr>
                <w:rFonts w:hint="eastAsia" w:ascii="宋体" w:hAnsi="宋体" w:eastAsia="宋体" w:cs="仿宋_GB2312"/>
                <w:color w:val="auto"/>
                <w:sz w:val="15"/>
                <w:szCs w:val="15"/>
                <w:highlight w:val="none"/>
              </w:rPr>
              <w:t>的情形，不记入本项“</w:t>
            </w:r>
            <w:r>
              <w:rPr>
                <w:rFonts w:hint="eastAsia" w:ascii="宋体" w:hAnsi="宋体" w:eastAsia="宋体" w:cs="仿宋_GB2312"/>
                <w:color w:val="auto"/>
                <w:sz w:val="15"/>
                <w:szCs w:val="15"/>
                <w:highlight w:val="none"/>
                <w:lang w:eastAsia="zh-CN"/>
              </w:rPr>
              <w:t>常量系数</w:t>
            </w:r>
            <w:r>
              <w:rPr>
                <w:rFonts w:hint="eastAsia" w:ascii="宋体" w:hAnsi="宋体" w:eastAsia="宋体" w:cs="仿宋_GB2312"/>
                <w:color w:val="auto"/>
                <w:sz w:val="15"/>
                <w:szCs w:val="15"/>
                <w:highlight w:val="none"/>
              </w:rPr>
              <w:t>”</w:t>
            </w:r>
            <w:r>
              <w:rPr>
                <w:rFonts w:hint="eastAsia" w:ascii="宋体" w:hAnsi="宋体" w:eastAsia="宋体" w:cs="仿宋_GB2312"/>
                <w:color w:val="auto"/>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3" w:hRule="atLeast"/>
          <w:jc w:val="center"/>
        </w:trPr>
        <w:tc>
          <w:tcPr>
            <w:tcW w:w="14218" w:type="dxa"/>
            <w:gridSpan w:val="9"/>
            <w:noWrap w:val="0"/>
            <w:vAlign w:val="center"/>
          </w:tcPr>
          <w:p>
            <w:pPr>
              <w:pStyle w:val="4"/>
              <w:bidi w:val="0"/>
              <w:jc w:val="center"/>
              <w:rPr>
                <w:rFonts w:hint="eastAsia"/>
                <w:lang w:val="en-US" w:eastAsia="zh-CN"/>
              </w:rPr>
            </w:pPr>
            <w:bookmarkStart w:id="110" w:name="_Toc1270096950"/>
            <w:r>
              <w:rPr>
                <w:rFonts w:hint="eastAsia"/>
              </w:rPr>
              <w:t>《北京市古树名木保护管理条例》案由</w:t>
            </w:r>
            <w:r>
              <w:rPr>
                <w:rFonts w:hint="eastAsia"/>
                <w:lang w:val="en-US" w:eastAsia="zh-CN"/>
              </w:rPr>
              <w:t>3项</w:t>
            </w:r>
            <w:bookmarkEnd w:id="1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33"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0" w:hRule="atLeast"/>
          <w:jc w:val="center"/>
        </w:trPr>
        <w:tc>
          <w:tcPr>
            <w:tcW w:w="9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500"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94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500"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损伤一级古树或者具有特殊历史价值和特别珍贵名木的，系数为2。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3" w:hRule="atLeast"/>
          <w:jc w:val="center"/>
        </w:trPr>
        <w:tc>
          <w:tcPr>
            <w:tcW w:w="940" w:type="dxa"/>
            <w:vMerge w:val="continue"/>
            <w:noWrap w:val="0"/>
            <w:vAlign w:val="center"/>
          </w:tcPr>
          <w:p>
            <w:pPr>
              <w:spacing w:line="232" w:lineRule="exact"/>
              <w:jc w:val="center"/>
              <w:rPr>
                <w:rFonts w:ascii="宋体" w:hAnsi="宋体" w:eastAsia="宋体"/>
                <w:color w:val="auto"/>
                <w:sz w:val="15"/>
                <w:szCs w:val="15"/>
                <w:highlight w:val="none"/>
              </w:rPr>
            </w:pPr>
          </w:p>
        </w:tc>
        <w:tc>
          <w:tcPr>
            <w:tcW w:w="1500" w:type="dxa"/>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造成一级古树或者具有特殊历史价值和特别珍贵名木死亡的，系数为2。</w:t>
            </w:r>
          </w:p>
        </w:tc>
        <w:tc>
          <w:tcPr>
            <w:tcW w:w="1785"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w:t>
            </w:r>
            <w:r>
              <w:rPr>
                <w:rFonts w:hint="eastAsia" w:ascii="宋体" w:hAnsi="宋体" w:eastAsia="宋体" w:cs="仿宋_GB2312"/>
                <w:color w:val="auto"/>
                <w:kern w:val="0"/>
                <w:sz w:val="15"/>
                <w:szCs w:val="15"/>
                <w:highlight w:val="none"/>
              </w:rPr>
              <w:t>为株数。</w:t>
            </w:r>
          </w:p>
        </w:tc>
        <w:tc>
          <w:tcPr>
            <w:tcW w:w="2385"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8" w:hRule="atLeast"/>
          <w:jc w:val="center"/>
        </w:trPr>
        <w:tc>
          <w:tcPr>
            <w:tcW w:w="94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500"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04" w:type="dxa"/>
            <w:noWrap w:val="0"/>
            <w:vAlign w:val="center"/>
          </w:tcPr>
          <w:p>
            <w:pPr>
              <w:pStyle w:val="8"/>
              <w:spacing w:line="212" w:lineRule="exact"/>
              <w:jc w:val="both"/>
              <w:rPr>
                <w:rFonts w:hint="default"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rPr>
              <w:t>擅自处理死亡一级古树的，变量系数4；二级古树的，变量系数3</w:t>
            </w:r>
            <w:r>
              <w:rPr>
                <w:rFonts w:hint="eastAsia" w:ascii="宋体" w:hAnsi="宋体" w:eastAsia="宋体" w:cs="宋体"/>
                <w:color w:val="auto"/>
                <w:kern w:val="0"/>
                <w:sz w:val="15"/>
                <w:szCs w:val="15"/>
                <w:highlight w:val="none"/>
                <w:lang w:eastAsia="zh-CN"/>
              </w:rPr>
              <w:t>。</w:t>
            </w:r>
          </w:p>
        </w:tc>
        <w:tc>
          <w:tcPr>
            <w:tcW w:w="1785"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常量系数</w:t>
            </w:r>
            <w:r>
              <w:rPr>
                <w:rFonts w:hint="eastAsia" w:ascii="宋体" w:hAnsi="宋体" w:eastAsia="宋体" w:cs="宋体"/>
                <w:color w:val="auto"/>
                <w:kern w:val="0"/>
                <w:sz w:val="15"/>
                <w:szCs w:val="15"/>
                <w:highlight w:val="none"/>
              </w:rPr>
              <w:t>＋变量系数）×N。N为株数。</w:t>
            </w:r>
          </w:p>
        </w:tc>
        <w:tc>
          <w:tcPr>
            <w:tcW w:w="2385" w:type="dxa"/>
            <w:noWrap w:val="0"/>
            <w:vAlign w:val="center"/>
          </w:tcPr>
          <w:p>
            <w:pPr>
              <w:spacing w:line="232" w:lineRule="exact"/>
              <w:rPr>
                <w:rFonts w:ascii="宋体" w:hAnsi="宋体" w:eastAsia="宋体" w:cs="宋体"/>
                <w:color w:val="auto"/>
                <w:kern w:val="0"/>
                <w:sz w:val="15"/>
                <w:szCs w:val="15"/>
                <w:highlight w:val="none"/>
              </w:rPr>
            </w:pPr>
          </w:p>
        </w:tc>
        <w:tc>
          <w:tcPr>
            <w:tcW w:w="82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1" w:name="_Toc110851470"/>
            <w:bookmarkStart w:id="112" w:name="_Toc465734653"/>
            <w:bookmarkStart w:id="113" w:name="_Toc1662411082"/>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11"/>
            <w:bookmarkEnd w:id="112"/>
            <w:bookmarkEnd w:id="1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按照《基准》规定的执行</w:t>
            </w:r>
            <w:r>
              <w:rPr>
                <w:rFonts w:hint="eastAsia" w:cs="宋体" w:asciiTheme="minorEastAsia" w:hAnsiTheme="minorEastAsia" w:eastAsiaTheme="minorEastAsia"/>
                <w:color w:val="auto"/>
                <w:kern w:val="0"/>
                <w:sz w:val="15"/>
                <w:szCs w:val="15"/>
                <w:highlight w:val="none"/>
                <w:lang w:eastAsia="zh-CN"/>
              </w:rPr>
              <w:t>。</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9"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1"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785"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6"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2304"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2385"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tcBorders>
              <w:bottom w:val="single" w:color="auto" w:sz="4" w:space="0"/>
            </w:tcBorders>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1.改变</w:t>
            </w:r>
            <w:r>
              <w:rPr>
                <w:rFonts w:cs="宋体" w:asciiTheme="minorEastAsia" w:hAnsiTheme="minorEastAsia" w:eastAsiaTheme="minorEastAsia"/>
                <w:color w:val="auto"/>
                <w:kern w:val="0"/>
                <w:sz w:val="15"/>
                <w:szCs w:val="15"/>
                <w:highlight w:val="none"/>
              </w:rPr>
              <w:t>市主要公园</w:t>
            </w:r>
            <w:r>
              <w:rPr>
                <w:rFonts w:hint="eastAsia" w:cs="宋体" w:asciiTheme="minorEastAsia" w:hAnsiTheme="minorEastAsia" w:eastAsiaTheme="minorEastAsia"/>
                <w:color w:val="auto"/>
                <w:kern w:val="0"/>
                <w:sz w:val="15"/>
                <w:szCs w:val="15"/>
                <w:highlight w:val="none"/>
              </w:rPr>
              <w:t>功能</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2" w:hRule="atLeast"/>
          <w:jc w:val="center"/>
        </w:trPr>
        <w:tc>
          <w:tcPr>
            <w:tcW w:w="9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2385"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p>
        </w:tc>
        <w:tc>
          <w:tcPr>
            <w:tcW w:w="17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＋变量系数）×面积。</w:t>
            </w:r>
          </w:p>
        </w:tc>
        <w:tc>
          <w:tcPr>
            <w:tcW w:w="2385"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5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1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1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北京市主要公园</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系数5-9</w:t>
            </w:r>
            <w:r>
              <w:rPr>
                <w:rFonts w:hint="eastAsia" w:cs="宋体" w:asciiTheme="minorEastAsia" w:hAnsiTheme="minorEastAsia" w:eastAsiaTheme="minorEastAsia"/>
                <w:color w:val="auto"/>
                <w:kern w:val="0"/>
                <w:sz w:val="15"/>
                <w:szCs w:val="15"/>
                <w:highlight w:val="none"/>
              </w:rPr>
              <w:t>；2.其它公园的，系数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14218" w:type="dxa"/>
            <w:gridSpan w:val="9"/>
            <w:shd w:val="clear" w:color="auto" w:fill="auto"/>
            <w:vAlign w:val="center"/>
          </w:tcPr>
          <w:p>
            <w:pPr>
              <w:pStyle w:val="3"/>
              <w:bidi w:val="0"/>
              <w:rPr>
                <w:rFonts w:ascii="黑体" w:hAnsi="黑体" w:eastAsia="黑体" w:cs="宋体"/>
                <w:color w:val="auto"/>
                <w:kern w:val="0"/>
                <w:highlight w:val="none"/>
              </w:rPr>
            </w:pPr>
            <w:bookmarkStart w:id="114" w:name="_Toc277585206"/>
            <w:r>
              <w:rPr>
                <w:rFonts w:hint="eastAsia" w:ascii="黑体" w:hAnsi="黑体" w:eastAsia="黑体" w:cs="黑体"/>
                <w:b w:val="0"/>
                <w:bCs w:val="0"/>
                <w:color w:val="auto"/>
                <w:highlight w:val="none"/>
              </w:rPr>
              <w:t>环境保护管理方面</w:t>
            </w:r>
            <w:bookmarkEnd w:id="1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7" w:hRule="atLeast"/>
          <w:jc w:val="center"/>
        </w:trPr>
        <w:tc>
          <w:tcPr>
            <w:tcW w:w="14218" w:type="dxa"/>
            <w:gridSpan w:val="9"/>
            <w:shd w:val="clear" w:color="auto" w:fill="auto"/>
            <w:vAlign w:val="center"/>
          </w:tcPr>
          <w:p>
            <w:pPr>
              <w:pStyle w:val="4"/>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15" w:name="_Toc335980618"/>
            <w:r>
              <w:rPr>
                <w:rFonts w:hint="eastAsia"/>
                <w:color w:val="auto"/>
                <w:sz w:val="21"/>
                <w:szCs w:val="21"/>
                <w:highlight w:val="none"/>
              </w:rPr>
              <w:t>《中华人民共和国大气污染防治法》案由18项</w:t>
            </w:r>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1.垃圾占地面积10㎡以下的，系数0；11－15㎡的，系数1；16－20㎡系数2，以此类推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。2.逾期不清的，每逾期2天，系数为１，以此累加</w:t>
            </w:r>
            <w:r>
              <w:rPr>
                <w:rFonts w:hint="eastAsia" w:cs="宋体" w:asciiTheme="minorEastAsia" w:hAnsiTheme="minorEastAsia" w:eastAsiaTheme="minorEastAsia"/>
                <w:color w:val="auto"/>
                <w:sz w:val="15"/>
                <w:szCs w:val="15"/>
                <w:highlight w:val="none"/>
                <w:lang w:eastAsia="zh-CN"/>
              </w:rPr>
              <w:t>，逾期</w:t>
            </w:r>
            <w:r>
              <w:rPr>
                <w:rFonts w:hint="eastAsia" w:cs="宋体" w:asciiTheme="minorEastAsia" w:hAnsiTheme="minorEastAsia" w:eastAsiaTheme="minorEastAsia"/>
                <w:color w:val="auto"/>
                <w:sz w:val="15"/>
                <w:szCs w:val="15"/>
                <w:highlight w:val="none"/>
                <w:lang w:val="en-US" w:eastAsia="zh-CN"/>
              </w:rPr>
              <w:t>18天及以上的，</w:t>
            </w:r>
            <w:r>
              <w:rPr>
                <w:rFonts w:hint="eastAsia" w:cs="Batang" w:asciiTheme="minorEastAsia" w:hAnsiTheme="minorEastAsia" w:eastAsiaTheme="minorEastAsia"/>
                <w:color w:val="auto"/>
                <w:sz w:val="15"/>
                <w:szCs w:val="15"/>
                <w:highlight w:val="none"/>
                <w:lang w:eastAsia="zh-CN"/>
              </w:rPr>
              <w:t>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3.造成尘土飞扬，严重污染环境的，系数为</w:t>
            </w:r>
            <w:r>
              <w:rPr>
                <w:rFonts w:hint="eastAsia" w:asciiTheme="minorEastAsia" w:hAnsiTheme="minorEastAsia" w:eastAsiaTheme="minorEastAsia"/>
                <w:color w:val="auto"/>
                <w:sz w:val="15"/>
                <w:szCs w:val="15"/>
                <w:highlight w:val="none"/>
                <w:lang w:val="en-US" w:eastAsia="zh-CN"/>
              </w:rPr>
              <w:t>5-</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+变量系数+区域系数）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6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尘土飞扬，对环境造成严重影响的，系数5-9。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4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9"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25"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1.经责令改正，仍拒不接受监督检查的，系数为4；2.空气重污染预警期间，拒不接受监督检查的，系数4；3.造成大气污染或者不良社会影响等较为严重情形之一的，系数为4-9。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“拒不配合”的情形，不纳入本案由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90" w:hRule="atLeast"/>
          <w:jc w:val="center"/>
        </w:trPr>
        <w:tc>
          <w:tcPr>
            <w:tcW w:w="9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1.经责令改正，仍弄虚作假的，系数为4；2.空气重污染预警期间，弄虚作假的，系数4；3.造成大气污染或者不良社会影响等较为严重情形之一的，系数为4-9。</w:t>
            </w:r>
          </w:p>
        </w:tc>
        <w:tc>
          <w:tcPr>
            <w:tcW w:w="17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Times New Roman"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虚假陈述”的情形，不纳入本案由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9" w:hRule="atLeast"/>
          <w:jc w:val="center"/>
        </w:trPr>
        <w:tc>
          <w:tcPr>
            <w:tcW w:w="14218" w:type="dxa"/>
            <w:gridSpan w:val="9"/>
            <w:tcBorders>
              <w:bottom w:val="single" w:color="auto" w:sz="4" w:space="0"/>
            </w:tcBorders>
            <w:shd w:val="clear" w:color="auto" w:fill="auto"/>
            <w:vAlign w:val="center"/>
          </w:tcPr>
          <w:p>
            <w:pPr>
              <w:pStyle w:val="4"/>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16" w:name="_Toc1112923929"/>
            <w:r>
              <w:rPr>
                <w:rFonts w:hint="eastAsia"/>
                <w:color w:val="auto"/>
                <w:sz w:val="21"/>
                <w:szCs w:val="21"/>
                <w:highlight w:val="none"/>
              </w:rPr>
              <w:t>《北京市大气污染防治条例》案由8项</w:t>
            </w:r>
            <w:bookmarkEnd w:id="1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p>
        </w:tc>
        <w:tc>
          <w:tcPr>
            <w:tcW w:w="17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7"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产生较大环境污染或者社会影响的，系数为5-8；造成事故或者其它社会恶劣影响的，系数为9。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2"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1.对大气环境或者生产生活造成较大影响的，系数2-3；2.导致其它事故发生的，系数3。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1"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1.对大气环境或者生产生活造成较大影响的，系数5-9；2.导致其它事故发生的，系数9。</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vMerge w:val="restart"/>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1.对大气环境或者生产生活造成较大影响的，系数2-3；2.导致事故发生或者其它恶劣影响的，系数为3。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5"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1.占用无障碍设施或者机动车道、绿地的，系数为2；2.占用其它公共场地面积较大，或者造成通行秩序、市容环境秩序较为混乱的，系数为2。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根据案件情形，需要作出公式之外其它罚款额度处罚的，报案审会决定。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07" w:hRule="atLeast"/>
          <w:jc w:val="center"/>
        </w:trPr>
        <w:tc>
          <w:tcPr>
            <w:tcW w:w="9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违法行为持续时间较长、占用场地规模较大、群众多次举报（3次以上，含3次），或者造成通行秩序、市容环境秩序较为混乱等情形之一的，系数为4。</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67"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违反条款：第八十三条；处罚条款：第一百二十一条：责令改正，处二千元以上二万以下罚款；拒不改正的，车辆不得上道路行驶。</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车辆同时存在不符合条件、未安装卫星定位系统、未密闭等2种以上（含2种）行为的，系数4；造成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40"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0" w:hRule="atLeast"/>
          <w:jc w:val="center"/>
        </w:trPr>
        <w:tc>
          <w:tcPr>
            <w:tcW w:w="9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500"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产生较大环境污染或者社会影响的，系数为5-8；造成社会恶劣影响或者其它严重后果的，系数为9。</w:t>
            </w:r>
          </w:p>
        </w:tc>
        <w:tc>
          <w:tcPr>
            <w:tcW w:w="17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2385"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7" w:name="_Toc110851471"/>
            <w:bookmarkStart w:id="118" w:name="_Toc1745180410"/>
            <w:bookmarkStart w:id="119" w:name="_Toc2026065898"/>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7"/>
            <w:bookmarkEnd w:id="118"/>
            <w:bookmarkEnd w:id="1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jc w:val="center"/>
        </w:trPr>
        <w:tc>
          <w:tcPr>
            <w:tcW w:w="940"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500"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tabs>
                <w:tab w:val="left" w:pos="312"/>
              </w:tabs>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噪声较大或者持续时间较长，或者造成其它社会恶劣影响等情形，系数为1；2.媒体曝光，造成不良社会影响的，系数2；3.在中（高）考考场周边的，系数2。</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7" w:hRule="atLeast"/>
          <w:jc w:val="center"/>
        </w:trPr>
        <w:tc>
          <w:tcPr>
            <w:tcW w:w="14218" w:type="dxa"/>
            <w:gridSpan w:val="9"/>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20" w:name="_Toc110851472"/>
            <w:bookmarkStart w:id="121" w:name="_Toc193344115"/>
            <w:bookmarkStart w:id="122" w:name="_Toc1713601146"/>
            <w:r>
              <w:rPr>
                <w:rStyle w:val="33"/>
                <w:rFonts w:hint="eastAsia" w:asciiTheme="minorEastAsia" w:hAnsiTheme="minorEastAsia" w:eastAsiaTheme="minorEastAsia"/>
                <w:color w:val="auto"/>
                <w:sz w:val="21"/>
                <w:szCs w:val="21"/>
                <w:highlight w:val="none"/>
              </w:rPr>
              <w:t>《中华人民共和国噪声污染防治法》案由</w:t>
            </w:r>
            <w:r>
              <w:rPr>
                <w:rStyle w:val="33"/>
                <w:rFonts w:hint="eastAsia" w:asciiTheme="minorEastAsia" w:hAnsiTheme="minorEastAsia" w:eastAsiaTheme="minorEastAsia"/>
                <w:color w:val="auto"/>
                <w:sz w:val="21"/>
                <w:szCs w:val="21"/>
                <w:highlight w:val="none"/>
                <w:lang w:val="en-US" w:eastAsia="zh-CN"/>
              </w:rPr>
              <w:t>6</w:t>
            </w:r>
            <w:r>
              <w:rPr>
                <w:rStyle w:val="33"/>
                <w:rFonts w:hint="eastAsia" w:asciiTheme="minorEastAsia" w:hAnsiTheme="minorEastAsia" w:eastAsiaTheme="minorEastAsia"/>
                <w:color w:val="auto"/>
                <w:sz w:val="21"/>
                <w:szCs w:val="21"/>
                <w:highlight w:val="none"/>
              </w:rPr>
              <w:t>项</w:t>
            </w:r>
            <w:bookmarkEnd w:id="120"/>
            <w:bookmarkEnd w:id="121"/>
            <w:bookmarkEnd w:id="1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1.噪声较大或者持续时间较长，系数1-4；2.存在在中高考等特殊时段，投诉举报较多，媒体曝光，或者造成其它社会恶劣影响等情形的，系数5-9。</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2"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24" w:type="dxa"/>
            <w:vMerge w:val="restart"/>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0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2.造成投诉举报较多，或者其他社会恶劣影响的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3"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系数1-4</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系数5-9。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系数1</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rPr>
              <w:t>系数2-3</w:t>
            </w:r>
            <w:r>
              <w:rPr>
                <w:rFonts w:hint="eastAsia" w:asciiTheme="minorEastAsia" w:hAnsiTheme="minorEastAsia" w:eastAsiaTheme="minorEastAsia"/>
                <w:color w:val="auto"/>
                <w:sz w:val="15"/>
                <w:szCs w:val="15"/>
                <w:highlight w:val="none"/>
                <w:lang w:val="en"/>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《基准》“拒不改正”的情形，不纳入本案由</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23" w:name="_Toc110851473"/>
            <w:bookmarkStart w:id="124" w:name="_Toc760985315"/>
            <w:r>
              <w:rPr>
                <w:rFonts w:hint="eastAsia" w:cs="宋体" w:asciiTheme="minorEastAsia" w:hAnsiTheme="minorEastAsia" w:eastAsiaTheme="minorEastAsia"/>
                <w:color w:val="auto"/>
                <w:kern w:val="0"/>
                <w:sz w:val="15"/>
                <w:szCs w:val="15"/>
                <w:highlight w:val="none"/>
                <w:lang w:val="en-US" w:eastAsia="zh-CN"/>
              </w:rPr>
              <w:t>4</w:t>
            </w:r>
          </w:p>
        </w:tc>
        <w:tc>
          <w:tcPr>
            <w:tcW w:w="1500" w:type="dxa"/>
            <w:shd w:val="clear" w:color="auto" w:fill="auto"/>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或者投诉举报较多的，系数1-2;2.存在较大安全隐患或者造成社会恶劣影响的，系数3-4。</w:t>
            </w:r>
          </w:p>
        </w:tc>
        <w:tc>
          <w:tcPr>
            <w:tcW w:w="17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系数1-4</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3" w:hRule="atLeast"/>
          <w:jc w:val="center"/>
        </w:trPr>
        <w:tc>
          <w:tcPr>
            <w:tcW w:w="940" w:type="dxa"/>
            <w:vMerge w:val="continue"/>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500"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04"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系数1</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ascii="宋体" w:hAnsi="宋体" w:eastAsia="宋体"/>
                <w:color w:val="auto"/>
                <w:sz w:val="15"/>
                <w:szCs w:val="15"/>
                <w:highlight w:val="none"/>
                <w:lang w:val="en"/>
              </w:rPr>
              <w:t>,</w:t>
            </w:r>
            <w:r>
              <w:rPr>
                <w:rFonts w:hint="eastAsia" w:ascii="宋体" w:hAnsi="宋体" w:eastAsia="宋体"/>
                <w:color w:val="auto"/>
                <w:sz w:val="15"/>
                <w:szCs w:val="15"/>
                <w:highlight w:val="none"/>
              </w:rPr>
              <w:t>系数2-3</w:t>
            </w:r>
            <w:r>
              <w:rPr>
                <w:rFonts w:hint="eastAsia" w:ascii="宋体" w:hAnsi="宋体" w:eastAsia="宋体"/>
                <w:color w:val="auto"/>
                <w:sz w:val="15"/>
                <w:szCs w:val="15"/>
                <w:highlight w:val="none"/>
                <w:lang w:val="en"/>
              </w:rPr>
              <w:t>。</w:t>
            </w:r>
          </w:p>
        </w:tc>
        <w:tc>
          <w:tcPr>
            <w:tcW w:w="1785" w:type="dxa"/>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＋变量系数）</w:t>
            </w:r>
          </w:p>
        </w:tc>
        <w:tc>
          <w:tcPr>
            <w:tcW w:w="2385" w:type="dxa"/>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《基准》“拒不改正”的情形，不纳入本案由</w:t>
            </w:r>
            <w:r>
              <w:rPr>
                <w:rFonts w:hint="eastAsia" w:ascii="宋体" w:hAnsi="宋体" w:eastAsia="宋体"/>
                <w:color w:val="auto"/>
                <w:sz w:val="15"/>
                <w:szCs w:val="15"/>
                <w:highlight w:val="none"/>
                <w:lang w:eastAsia="zh-CN"/>
              </w:rPr>
              <w:t>常量系数</w:t>
            </w:r>
            <w:r>
              <w:rPr>
                <w:rFonts w:hint="eastAsia" w:ascii="宋体" w:hAnsi="宋体" w:eastAsia="宋体"/>
                <w:color w:val="auto"/>
                <w:sz w:val="15"/>
                <w:szCs w:val="15"/>
                <w:highlight w:val="none"/>
              </w:rPr>
              <w:t>。</w:t>
            </w:r>
          </w:p>
        </w:tc>
        <w:tc>
          <w:tcPr>
            <w:tcW w:w="824" w:type="dxa"/>
            <w:vMerge w:val="continue"/>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1" w:hRule="atLeast"/>
          <w:jc w:val="center"/>
        </w:trPr>
        <w:tc>
          <w:tcPr>
            <w:tcW w:w="14218" w:type="dxa"/>
            <w:gridSpan w:val="9"/>
            <w:shd w:val="clear" w:color="auto" w:fill="auto"/>
            <w:vAlign w:val="center"/>
          </w:tcPr>
          <w:p>
            <w:pPr>
              <w:pStyle w:val="3"/>
              <w:keepNext w:val="0"/>
              <w:keepLines w:val="0"/>
              <w:rPr>
                <w:rFonts w:ascii="黑体" w:hAnsi="黑体" w:eastAsia="黑体"/>
                <w:b w:val="0"/>
                <w:color w:val="auto"/>
                <w:sz w:val="24"/>
                <w:szCs w:val="24"/>
                <w:highlight w:val="none"/>
              </w:rPr>
            </w:pPr>
            <w:bookmarkStart w:id="125" w:name="_Toc1152737938"/>
            <w:r>
              <w:rPr>
                <w:rFonts w:hint="eastAsia" w:ascii="黑体" w:hAnsi="黑体" w:eastAsia="黑体"/>
                <w:b w:val="0"/>
                <w:color w:val="auto"/>
                <w:sz w:val="36"/>
                <w:szCs w:val="36"/>
                <w:highlight w:val="none"/>
              </w:rPr>
              <w:t>施工现场管理方面</w:t>
            </w:r>
            <w:bookmarkEnd w:id="123"/>
            <w:bookmarkEnd w:id="124"/>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6" w:name="_Toc110851474"/>
            <w:bookmarkStart w:id="127" w:name="_Toc1669927446"/>
            <w:bookmarkStart w:id="128" w:name="_Toc1377348640"/>
            <w:r>
              <w:rPr>
                <w:rFonts w:hint="eastAsia" w:asciiTheme="minorEastAsia" w:hAnsiTheme="minorEastAsia" w:eastAsiaTheme="minorEastAsia"/>
                <w:color w:val="auto"/>
                <w:sz w:val="21"/>
                <w:szCs w:val="21"/>
                <w:highlight w:val="none"/>
              </w:rPr>
              <w:t>《北京市大气污染防治条例》施工现场执法案由16项</w:t>
            </w:r>
            <w:bookmarkEnd w:id="126"/>
            <w:bookmarkEnd w:id="127"/>
            <w:bookmarkEnd w:id="1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需要作出其它罚款额度的，说明理由，报案审会决定。</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2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1.未按规定管护围挡长度16-30米的，系数1；31-45米的，系数2，以此类推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未对施工现场内除主要道路和物料堆放场地外其它场地进行覆盖或者临时绿化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6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8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按照《基准》规定</w:t>
            </w:r>
            <w:r>
              <w:rPr>
                <w:rFonts w:asciiTheme="minorEastAsia" w:hAnsiTheme="minorEastAsia" w:eastAsiaTheme="minorEastAsia"/>
                <w:color w:val="auto"/>
                <w:sz w:val="15"/>
                <w:szCs w:val="15"/>
                <w:highlight w:val="none"/>
              </w:rPr>
              <w:t>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污染道路长21－30米的，系数1；31－40米的，系数2；以此类推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3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路面长21－30米的，系数1；31－40米的，系数2；以此类推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未修复的道路长21－30米的，系数1；31－40米的，系数2；以此类推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2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7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+变量系数+区域系数）</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2"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9" w:name="_Toc854219027"/>
            <w:bookmarkStart w:id="130" w:name="_Toc110851475"/>
            <w:bookmarkStart w:id="131" w:name="_Toc1405674276"/>
            <w:r>
              <w:rPr>
                <w:rFonts w:hint="eastAsia" w:asciiTheme="minorEastAsia" w:hAnsiTheme="minorEastAsia" w:eastAsiaTheme="minorEastAsia"/>
                <w:color w:val="auto"/>
                <w:sz w:val="21"/>
                <w:szCs w:val="21"/>
                <w:highlight w:val="none"/>
              </w:rPr>
              <w:t>《北京市建设工程施工现场管理办法》案由13项</w:t>
            </w:r>
            <w:bookmarkEnd w:id="129"/>
            <w:bookmarkEnd w:id="130"/>
            <w:bookmarkEnd w:id="1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5-9</w:t>
            </w:r>
            <w:r>
              <w:rPr>
                <w:rFonts w:hint="eastAsia" w:asciiTheme="minorEastAsia" w:hAnsiTheme="minorEastAsia" w:eastAsiaTheme="minorEastAsia"/>
                <w:color w:val="auto"/>
                <w:sz w:val="15"/>
                <w:szCs w:val="15"/>
                <w:highlight w:val="none"/>
              </w:rPr>
              <w:t>；2.期间发生危害公共安全行为的，系数9。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5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1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以内，变量系数为</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2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w:t>
            </w:r>
            <w:r>
              <w:rPr>
                <w:rFonts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6－</w:t>
            </w:r>
            <w:r>
              <w:rPr>
                <w:rFonts w:asciiTheme="minorEastAsia" w:hAnsiTheme="minorEastAsia" w:eastAsiaTheme="minorEastAsia"/>
                <w:color w:val="auto"/>
                <w:sz w:val="15"/>
                <w:szCs w:val="15"/>
                <w:highlight w:val="none"/>
              </w:rPr>
              <w:t>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5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。2.其他严重污染环境情形的，系数为9。</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6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未设置时间持续较长、垃圾堆放量较大，垃圾飘洒、恶臭等环境脏乱严重等情形，系数为1。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2"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未搭设密闭式专用垃圾通道时间持续较长或不采用容器吊运时间较长的，系数为1。</w:t>
            </w:r>
          </w:p>
        </w:tc>
        <w:tc>
          <w:tcPr>
            <w:tcW w:w="1785" w:type="dxa"/>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常量系数＋变量系数＋区域系数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w:t>
            </w:r>
            <w:r>
              <w:rPr>
                <w:rFonts w:hint="eastAsia" w:cs="宋体" w:asciiTheme="minorEastAsia" w:hAnsiTheme="minorEastAsia" w:eastAsiaTheme="minorEastAsia"/>
                <w:color w:val="auto"/>
                <w:kern w:val="0"/>
                <w:sz w:val="15"/>
                <w:szCs w:val="15"/>
                <w:highlight w:val="none"/>
              </w:rPr>
              <w:t>罚款额度的，说明</w:t>
            </w:r>
            <w:r>
              <w:rPr>
                <w:rFonts w:cs="宋体" w:asciiTheme="minorEastAsia" w:hAnsiTheme="minorEastAsia" w:eastAsiaTheme="minorEastAsia"/>
                <w:color w:val="auto"/>
                <w:kern w:val="0"/>
                <w:sz w:val="15"/>
                <w:szCs w:val="15"/>
                <w:highlight w:val="none"/>
              </w:rPr>
              <w:t>理由，报</w:t>
            </w:r>
            <w:r>
              <w:rPr>
                <w:rFonts w:hint="eastAsia" w:cs="宋体" w:asciiTheme="minorEastAsia" w:hAnsiTheme="minorEastAsia" w:eastAsiaTheme="minorEastAsia"/>
                <w:color w:val="auto"/>
                <w:kern w:val="0"/>
                <w:sz w:val="15"/>
                <w:szCs w:val="15"/>
                <w:highlight w:val="none"/>
              </w:rPr>
              <w:t>案</w:t>
            </w:r>
            <w:r>
              <w:rPr>
                <w:rFonts w:cs="宋体" w:asciiTheme="minorEastAsia" w:hAnsiTheme="minorEastAsia" w:eastAsiaTheme="minorEastAsia"/>
                <w:color w:val="auto"/>
                <w:kern w:val="0"/>
                <w:sz w:val="15"/>
                <w:szCs w:val="15"/>
                <w:highlight w:val="none"/>
              </w:rPr>
              <w:t>审会决定</w:t>
            </w:r>
            <w:r>
              <w:rPr>
                <w:rFonts w:hint="eastAsia" w:cs="宋体" w:asciiTheme="minorEastAsia" w:hAnsiTheme="minorEastAsia" w:eastAsiaTheme="minorEastAsia"/>
                <w:color w:val="auto"/>
                <w:kern w:val="0"/>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6" w:hRule="atLeast"/>
          <w:jc w:val="center"/>
        </w:trPr>
        <w:tc>
          <w:tcPr>
            <w:tcW w:w="14218" w:type="dxa"/>
            <w:gridSpan w:val="9"/>
            <w:shd w:val="clear" w:color="auto" w:fill="auto"/>
            <w:vAlign w:val="center"/>
          </w:tcPr>
          <w:p>
            <w:pPr>
              <w:pStyle w:val="3"/>
              <w:keepNext w:val="0"/>
              <w:keepLines w:val="0"/>
              <w:rPr>
                <w:rFonts w:ascii="黑体" w:hAnsi="黑体" w:eastAsia="黑体"/>
                <w:b w:val="0"/>
                <w:color w:val="auto"/>
                <w:sz w:val="24"/>
                <w:szCs w:val="24"/>
                <w:highlight w:val="none"/>
              </w:rPr>
            </w:pPr>
            <w:bookmarkStart w:id="132" w:name="_Toc1256403622"/>
            <w:bookmarkStart w:id="133" w:name="_Toc110851476"/>
            <w:bookmarkStart w:id="134" w:name="_Toc871540661"/>
            <w:r>
              <w:rPr>
                <w:rFonts w:hint="eastAsia" w:ascii="黑体" w:hAnsi="黑体" w:eastAsia="黑体"/>
                <w:b w:val="0"/>
                <w:color w:val="auto"/>
                <w:sz w:val="36"/>
                <w:szCs w:val="36"/>
                <w:highlight w:val="none"/>
              </w:rPr>
              <w:t>停车场管理方面</w:t>
            </w:r>
            <w:bookmarkEnd w:id="132"/>
            <w:bookmarkEnd w:id="133"/>
            <w:bookmarkEnd w:id="1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5" w:name="_Toc509001082"/>
            <w:bookmarkStart w:id="136" w:name="_Toc110851477"/>
            <w:bookmarkStart w:id="137" w:name="_Toc939413149"/>
            <w:r>
              <w:rPr>
                <w:rFonts w:hint="eastAsia" w:asciiTheme="minorEastAsia" w:hAnsiTheme="minorEastAsia" w:eastAsiaTheme="minorEastAsia"/>
                <w:color w:val="auto"/>
                <w:sz w:val="21"/>
                <w:szCs w:val="21"/>
                <w:highlight w:val="none"/>
              </w:rPr>
              <w:t>《北京市机动车停车管理办法》案由13项</w:t>
            </w:r>
            <w:bookmarkEnd w:id="135"/>
            <w:bookmarkEnd w:id="136"/>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2304"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rPr>
              <w:t>按照《基准》的规定执行</w:t>
            </w:r>
            <w:r>
              <w:rPr>
                <w:rFonts w:hint="eastAsia" w:cs="宋体" w:asciiTheme="minorEastAsia" w:hAnsiTheme="minorEastAsia" w:eastAsiaTheme="minorEastAsia"/>
                <w:bCs/>
                <w:color w:val="auto"/>
                <w:kern w:val="0"/>
                <w:sz w:val="15"/>
                <w:szCs w:val="15"/>
                <w:highlight w:val="none"/>
                <w:lang w:eastAsia="zh-CN"/>
              </w:rPr>
              <w:t>。</w:t>
            </w:r>
          </w:p>
        </w:tc>
        <w:tc>
          <w:tcPr>
            <w:tcW w:w="1785" w:type="dxa"/>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常量系数＋区域系数</w:t>
            </w:r>
            <w:r>
              <w:rPr>
                <w:rFonts w:hint="eastAsia" w:cs="宋体" w:asciiTheme="minorEastAsia" w:hAnsiTheme="minorEastAsia" w:eastAsiaTheme="minorEastAsia"/>
                <w:bCs/>
                <w:color w:val="auto"/>
                <w:kern w:val="0"/>
                <w:sz w:val="15"/>
                <w:szCs w:val="15"/>
                <w:highlight w:val="none"/>
              </w:rPr>
              <w:t>）</w:t>
            </w:r>
          </w:p>
        </w:tc>
        <w:tc>
          <w:tcPr>
            <w:tcW w:w="2385" w:type="dxa"/>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违反条款：第二十条第一款；处罚条款：第三十二条第二款:处1万元罚款.</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0"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认定可参照国家GB11/T-596-2008标准），系数0.5；同时存在本款2个以上（含2个）违法形态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8"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9"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构成变量系数规定的情形之一，或者一年内2次以上同类违法行为受到告诫或处罚的，视为情节严重。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5"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停车场管理单位在停车区域从事影响车辆安全停放的其</w:t>
            </w:r>
            <w:r>
              <w:rPr>
                <w:rFonts w:hint="eastAsia" w:asciiTheme="minorEastAsia" w:hAnsiTheme="minorEastAsia" w:eastAsiaTheme="minorEastAsia"/>
                <w:color w:val="auto"/>
                <w:sz w:val="15"/>
                <w:szCs w:val="15"/>
                <w:highlight w:val="none"/>
                <w:shd w:val="clear" w:fill="FF0000"/>
                <w:lang w:eastAsia="zh-CN"/>
              </w:rPr>
              <w:t>他</w:t>
            </w:r>
            <w:r>
              <w:rPr>
                <w:rFonts w:hint="eastAsia" w:asciiTheme="minorEastAsia" w:hAnsiTheme="minorEastAsia" w:eastAsiaTheme="minorEastAsia"/>
                <w:color w:val="auto"/>
                <w:sz w:val="15"/>
                <w:szCs w:val="15"/>
                <w:highlight w:val="none"/>
              </w:rPr>
              <w:t>经营活动</w:t>
            </w:r>
          </w:p>
        </w:tc>
        <w:tc>
          <w:tcPr>
            <w:tcW w:w="2789" w:type="dxa"/>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p>
        </w:tc>
        <w:tc>
          <w:tcPr>
            <w:tcW w:w="17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致使周边交通拥堵或者诱发其它停车事故、交通事故的，或者一年内2次以上同类违法行为受到告诫或处罚的，视为情节严重。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3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1" w:hRule="atLeast"/>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一年内群众投诉3次以上，或者诱发其它停车事故、交通事故、治安事件的，系数1。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群众3次以上投诉，或者诱发其它停车事故、交通事故、治安事件的，或者一年内2次以上同类违法行为受到告诫或处罚的，视为情节严重。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逾期不改正的情形，不记入本项“</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5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一年内群众投诉3次以上的，系数1。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9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一年内群众投诉3次以上的，系数1；2.设置地桩、地锁等障碍物数量2个，系数1；3个，系数2，以此累加</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；3.存在其它严重影响通行和市容秩序、致使公共安全等事件的，系数9。</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常量系数＋变量系数＋区域系数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8" w:name="_Toc1557995543"/>
            <w:bookmarkStart w:id="139" w:name="_Toc110851478"/>
            <w:bookmarkStart w:id="140" w:name="_Toc865250467"/>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8"/>
            <w:bookmarkEnd w:id="139"/>
            <w:bookmarkEnd w:id="1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4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7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9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1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1.仅限于中心城区范围内经营性停车设施；2.《条例》未涉及的停车设施经营单位应遵守的其它规定，依据《办法》第二十一条规定执行。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6"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1" w:name="_Toc110851479"/>
            <w:bookmarkStart w:id="142" w:name="_Toc67594986"/>
            <w:bookmarkStart w:id="143" w:name="_Toc1046708354"/>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41"/>
            <w:bookmarkEnd w:id="142"/>
            <w:bookmarkEnd w:id="1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17"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5" w:hRule="atLeast"/>
          <w:jc w:val="center"/>
        </w:trPr>
        <w:tc>
          <w:tcPr>
            <w:tcW w:w="94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500"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c>
          <w:tcPr>
            <w:tcW w:w="824"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9" w:hRule="atLeast"/>
          <w:jc w:val="center"/>
        </w:trPr>
        <w:tc>
          <w:tcPr>
            <w:tcW w:w="94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500"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适应于非经营性非机车停车场。</w:t>
            </w:r>
          </w:p>
        </w:tc>
        <w:tc>
          <w:tcPr>
            <w:tcW w:w="824"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87" w:hRule="atLeast"/>
          <w:jc w:val="center"/>
        </w:trPr>
        <w:tc>
          <w:tcPr>
            <w:tcW w:w="94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1" w:hRule="atLeast"/>
          <w:jc w:val="center"/>
        </w:trPr>
        <w:tc>
          <w:tcPr>
            <w:tcW w:w="94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需要做出其它处罚额度的，报案审会决定。</w:t>
            </w:r>
          </w:p>
        </w:tc>
        <w:tc>
          <w:tcPr>
            <w:tcW w:w="824"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65"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按照《北京市非机动车管理条例》进行查处。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24"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385"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1" w:hRule="atLeast"/>
          <w:jc w:val="center"/>
        </w:trPr>
        <w:tc>
          <w:tcPr>
            <w:tcW w:w="94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55" w:hRule="atLeast"/>
          <w:jc w:val="center"/>
        </w:trPr>
        <w:tc>
          <w:tcPr>
            <w:tcW w:w="94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+区域系数）</w:t>
            </w:r>
          </w:p>
        </w:tc>
        <w:tc>
          <w:tcPr>
            <w:tcW w:w="2385" w:type="dxa"/>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tc>
        <w:tc>
          <w:tcPr>
            <w:tcW w:w="824"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73" w:hRule="atLeast"/>
          <w:jc w:val="center"/>
        </w:trPr>
        <w:tc>
          <w:tcPr>
            <w:tcW w:w="14218" w:type="dxa"/>
            <w:gridSpan w:val="9"/>
            <w:shd w:val="clear" w:color="auto" w:fill="auto"/>
            <w:vAlign w:val="center"/>
          </w:tcPr>
          <w:p>
            <w:pPr>
              <w:pStyle w:val="3"/>
              <w:keepNext w:val="0"/>
              <w:keepLines w:val="0"/>
              <w:rPr>
                <w:rFonts w:ascii="黑体" w:hAnsi="黑体" w:eastAsia="黑体"/>
                <w:b w:val="0"/>
                <w:color w:val="auto"/>
                <w:sz w:val="24"/>
                <w:szCs w:val="24"/>
                <w:highlight w:val="none"/>
              </w:rPr>
            </w:pPr>
            <w:bookmarkStart w:id="144" w:name="_Toc110851480"/>
            <w:bookmarkStart w:id="145" w:name="_Toc2072679585"/>
            <w:bookmarkStart w:id="146" w:name="_Toc516849734"/>
            <w:r>
              <w:rPr>
                <w:rFonts w:hint="eastAsia" w:ascii="黑体" w:hAnsi="黑体" w:eastAsia="黑体"/>
                <w:b w:val="0"/>
                <w:color w:val="auto"/>
                <w:sz w:val="36"/>
                <w:szCs w:val="36"/>
                <w:highlight w:val="none"/>
              </w:rPr>
              <w:t>交通运输管理方面</w:t>
            </w:r>
            <w:bookmarkEnd w:id="144"/>
            <w:bookmarkEnd w:id="145"/>
            <w:bookmarkEnd w:id="1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7" w:name="_Toc110851481"/>
            <w:bookmarkStart w:id="148" w:name="_Toc1833599949"/>
            <w:bookmarkStart w:id="149" w:name="_Toc1749370373"/>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7"/>
            <w:bookmarkEnd w:id="148"/>
            <w:bookmarkEnd w:id="1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43"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500" w:type="dxa"/>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cs="宋体" w:asciiTheme="minorEastAsia" w:hAnsiTheme="minorEastAsia" w:eastAsiaTheme="minorEastAsia"/>
                <w:bCs/>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shd w:val="clear" w:color="auto" w:fill="auto"/>
            <w:vAlign w:val="center"/>
          </w:tcPr>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街道</w:t>
            </w:r>
          </w:p>
          <w:p>
            <w:pPr>
              <w:spacing w:line="204" w:lineRule="exact"/>
              <w:jc w:val="center"/>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3"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50" w:name="_Toc121789162"/>
            <w:bookmarkStart w:id="151" w:name="_Toc110851482"/>
            <w:bookmarkStart w:id="152" w:name="_Toc1828970082"/>
            <w:r>
              <w:rPr>
                <w:rFonts w:hint="eastAsia" w:asciiTheme="minorEastAsia" w:hAnsiTheme="minorEastAsia" w:eastAsiaTheme="minorEastAsia"/>
                <w:color w:val="auto"/>
                <w:sz w:val="21"/>
                <w:szCs w:val="21"/>
                <w:highlight w:val="none"/>
              </w:rPr>
              <w:t>《北京市查处非法客运若干规定》案由2项</w:t>
            </w:r>
            <w:bookmarkEnd w:id="150"/>
            <w:bookmarkEnd w:id="151"/>
            <w:bookmark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92" w:hRule="atLeast"/>
          <w:jc w:val="center"/>
        </w:trPr>
        <w:tc>
          <w:tcPr>
            <w:tcW w:w="94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22"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造成秩序混乱或者较大社会影响的，系数2-4；对组织行为，系数为2-4。</w:t>
            </w:r>
          </w:p>
        </w:tc>
        <w:tc>
          <w:tcPr>
            <w:tcW w:w="1785"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cs="宋体" w:asciiTheme="minorEastAsia" w:hAnsiTheme="minorEastAsia" w:eastAsiaTheme="minorEastAsia"/>
                <w:bCs/>
                <w:color w:val="auto"/>
                <w:kern w:val="0"/>
                <w:sz w:val="15"/>
                <w:szCs w:val="15"/>
                <w:highlight w:val="none"/>
                <w:lang w:eastAsia="zh-CN"/>
              </w:rPr>
              <w:t>＋区域系数</w:t>
            </w:r>
            <w:r>
              <w:rPr>
                <w:rFonts w:hint="eastAsia" w:cs="宋体" w:asciiTheme="minorEastAsia" w:hAnsiTheme="minorEastAsia" w:eastAsiaTheme="minorEastAsia"/>
                <w:bCs/>
                <w:color w:val="auto"/>
                <w:kern w:val="0"/>
                <w:sz w:val="15"/>
                <w:szCs w:val="15"/>
                <w:highlight w:val="none"/>
              </w:rPr>
              <w:t>）</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9" w:hRule="atLeast"/>
          <w:jc w:val="center"/>
        </w:trPr>
        <w:tc>
          <w:tcPr>
            <w:tcW w:w="9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造成秩序混乱或者较大社会影响的，系数1-3。</w:t>
            </w:r>
          </w:p>
        </w:tc>
        <w:tc>
          <w:tcPr>
            <w:tcW w:w="17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cs="宋体" w:asciiTheme="minorEastAsia" w:hAnsiTheme="minorEastAsia" w:eastAsiaTheme="minorEastAsia"/>
                <w:bCs/>
                <w:color w:val="auto"/>
                <w:sz w:val="15"/>
                <w:szCs w:val="15"/>
                <w:highlight w:val="none"/>
              </w:rPr>
              <w:t>）</w:t>
            </w:r>
          </w:p>
        </w:tc>
        <w:tc>
          <w:tcPr>
            <w:tcW w:w="2385"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4" w:hRule="atLeast"/>
          <w:jc w:val="center"/>
        </w:trPr>
        <w:tc>
          <w:tcPr>
            <w:tcW w:w="14218" w:type="dxa"/>
            <w:gridSpan w:val="9"/>
            <w:shd w:val="clear" w:color="auto" w:fill="auto"/>
            <w:vAlign w:val="center"/>
          </w:tcPr>
          <w:p>
            <w:pPr>
              <w:pStyle w:val="3"/>
              <w:keepNext w:val="0"/>
              <w:keepLines w:val="0"/>
              <w:rPr>
                <w:rFonts w:ascii="黑体" w:hAnsi="黑体" w:eastAsia="黑体"/>
                <w:b w:val="0"/>
                <w:color w:val="auto"/>
                <w:sz w:val="24"/>
                <w:szCs w:val="24"/>
                <w:highlight w:val="none"/>
              </w:rPr>
            </w:pPr>
            <w:bookmarkStart w:id="153" w:name="_Toc110851483"/>
            <w:bookmarkStart w:id="154" w:name="_Toc360901343"/>
            <w:bookmarkStart w:id="155" w:name="_Toc850008120"/>
            <w:r>
              <w:rPr>
                <w:rFonts w:hint="eastAsia" w:ascii="黑体" w:hAnsi="黑体" w:eastAsia="黑体"/>
                <w:b w:val="0"/>
                <w:color w:val="auto"/>
                <w:sz w:val="36"/>
                <w:szCs w:val="36"/>
                <w:highlight w:val="none"/>
              </w:rPr>
              <w:t>市场监督管理（流动无照经营）方面</w:t>
            </w:r>
            <w:bookmarkEnd w:id="153"/>
            <w:bookmarkEnd w:id="154"/>
            <w:bookmarkEnd w:id="1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76"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56" w:name="_Toc704954681"/>
            <w:bookmarkStart w:id="157" w:name="_Toc110851484"/>
            <w:bookmarkStart w:id="158" w:name="_Toc1085677499"/>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56"/>
            <w:bookmarkEnd w:id="157"/>
            <w:bookmarkEnd w:id="1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75"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按照《基准》的规定执行</w:t>
            </w:r>
            <w:r>
              <w:rPr>
                <w:rFonts w:hint="eastAsia" w:asciiTheme="minorEastAsia" w:hAnsiTheme="minorEastAsia" w:eastAsiaTheme="minorEastAsia"/>
                <w:color w:val="auto"/>
                <w:sz w:val="15"/>
                <w:szCs w:val="15"/>
                <w:highlight w:val="none"/>
                <w:lang w:eastAsia="zh-CN"/>
              </w:rPr>
              <w:t>。</w:t>
            </w:r>
          </w:p>
        </w:tc>
        <w:tc>
          <w:tcPr>
            <w:tcW w:w="17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常量系数＋区域系数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其它机动车、电动车为经营工具；经营违禁品；占用非机动车道或者其它公共场所面积较大；或者造成通行秩序、市容秩序混乱等无照经营情形，原则按照“摆摊设点”案由查处；需要给予500元以下较轻罚款的，说明理由，报案审会决定按照“无照经营”案由查处。</w:t>
            </w: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72"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500"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color w:val="auto"/>
                <w:sz w:val="15"/>
                <w:szCs w:val="15"/>
                <w:highlight w:val="none"/>
              </w:rPr>
              <w:t>。</w:t>
            </w:r>
          </w:p>
        </w:tc>
        <w:tc>
          <w:tcPr>
            <w:tcW w:w="1785" w:type="dxa"/>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常量系数</w:t>
            </w:r>
            <w:r>
              <w:rPr>
                <w:rFonts w:hint="eastAsia" w:cs="宋体" w:asciiTheme="minorEastAsia" w:hAnsiTheme="minorEastAsia" w:eastAsiaTheme="minorEastAsia"/>
                <w:bCs/>
                <w:color w:val="auto"/>
                <w:sz w:val="15"/>
                <w:szCs w:val="15"/>
                <w:highlight w:val="none"/>
              </w:rPr>
              <w:t>+变量系数</w:t>
            </w:r>
            <w:r>
              <w:rPr>
                <w:rFonts w:hint="eastAsia" w:asciiTheme="minorEastAsia" w:hAnsiTheme="minorEastAsia" w:eastAsiaTheme="minorEastAsia"/>
                <w:color w:val="auto"/>
                <w:sz w:val="15"/>
                <w:szCs w:val="15"/>
                <w:highlight w:val="none"/>
                <w:lang w:eastAsia="zh-CN"/>
              </w:rPr>
              <w:t>＋区域系数</w:t>
            </w:r>
            <w:r>
              <w:rPr>
                <w:rFonts w:hint="eastAsia" w:asciiTheme="minorEastAsia" w:hAnsiTheme="minorEastAsia" w:eastAsiaTheme="minorEastAsia"/>
                <w:color w:val="auto"/>
                <w:sz w:val="15"/>
                <w:szCs w:val="15"/>
                <w:highlight w:val="none"/>
              </w:rPr>
              <w:t>）</w:t>
            </w:r>
          </w:p>
        </w:tc>
        <w:tc>
          <w:tcPr>
            <w:tcW w:w="2385" w:type="dxa"/>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p>
        </w:tc>
        <w:tc>
          <w:tcPr>
            <w:tcW w:w="824"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04" w:hRule="atLeast"/>
          <w:jc w:val="center"/>
        </w:trPr>
        <w:tc>
          <w:tcPr>
            <w:tcW w:w="9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500"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2304"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造成秩序混乱或者较大社会影响的，系数1-3。</w:t>
            </w:r>
          </w:p>
        </w:tc>
        <w:tc>
          <w:tcPr>
            <w:tcW w:w="1785"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常量系数</w:t>
            </w:r>
            <w:r>
              <w:rPr>
                <w:rFonts w:hint="eastAsia" w:cs="宋体" w:asciiTheme="minorEastAsia" w:hAnsiTheme="minorEastAsia" w:eastAsiaTheme="minorEastAsia"/>
                <w:bCs/>
                <w:strike w:val="0"/>
                <w:dstrike w:val="0"/>
                <w:color w:val="auto"/>
                <w:sz w:val="15"/>
                <w:szCs w:val="15"/>
                <w:highlight w:val="none"/>
              </w:rPr>
              <w:t>+变量系数</w:t>
            </w:r>
            <w:r>
              <w:rPr>
                <w:rFonts w:hint="eastAsia" w:asciiTheme="minorEastAsia" w:hAnsiTheme="minorEastAsia" w:eastAsiaTheme="minorEastAsia"/>
                <w:strike w:val="0"/>
                <w:dstrike w:val="0"/>
                <w:color w:val="auto"/>
                <w:sz w:val="15"/>
                <w:szCs w:val="15"/>
                <w:highlight w:val="none"/>
                <w:lang w:eastAsia="zh-CN"/>
              </w:rPr>
              <w:t>＋区域系数</w:t>
            </w:r>
            <w:r>
              <w:rPr>
                <w:rFonts w:hint="eastAsia" w:cs="宋体" w:asciiTheme="minorEastAsia" w:hAnsiTheme="minorEastAsia" w:eastAsiaTheme="minorEastAsia"/>
                <w:bCs/>
                <w:strike w:val="0"/>
                <w:dstrike w:val="0"/>
                <w:color w:val="auto"/>
                <w:sz w:val="15"/>
                <w:szCs w:val="15"/>
                <w:highlight w:val="none"/>
              </w:rPr>
              <w:t>）</w:t>
            </w:r>
          </w:p>
        </w:tc>
        <w:tc>
          <w:tcPr>
            <w:tcW w:w="2385" w:type="dxa"/>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需要给予其它处罚额度的，报案审会决定。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82" w:hRule="atLeast"/>
          <w:jc w:val="center"/>
        </w:trPr>
        <w:tc>
          <w:tcPr>
            <w:tcW w:w="14218" w:type="dxa"/>
            <w:gridSpan w:val="9"/>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9" w:name="_Toc1160691890"/>
            <w:bookmarkStart w:id="160" w:name="_Toc110851485"/>
            <w:bookmarkStart w:id="161" w:name="_Toc1199414215"/>
            <w:r>
              <w:rPr>
                <w:rFonts w:hint="eastAsia" w:ascii="黑体" w:hAnsi="黑体" w:eastAsia="黑体"/>
                <w:b w:val="0"/>
                <w:color w:val="auto"/>
                <w:sz w:val="36"/>
                <w:szCs w:val="36"/>
                <w:highlight w:val="none"/>
              </w:rPr>
              <w:t>城</w:t>
            </w:r>
            <w:r>
              <w:rPr>
                <w:rFonts w:hint="eastAsia" w:ascii="黑体" w:hAnsi="黑体" w:eastAsia="黑体"/>
                <w:b w:val="0"/>
                <w:color w:val="auto"/>
                <w:sz w:val="36"/>
                <w:szCs w:val="36"/>
                <w:highlight w:val="none"/>
                <w:lang w:eastAsia="zh-CN"/>
              </w:rPr>
              <w:t>乡</w:t>
            </w:r>
            <w:r>
              <w:rPr>
                <w:rFonts w:hint="eastAsia" w:ascii="黑体" w:hAnsi="黑体" w:eastAsia="黑体"/>
                <w:b w:val="0"/>
                <w:color w:val="auto"/>
                <w:sz w:val="36"/>
                <w:szCs w:val="36"/>
                <w:highlight w:val="none"/>
              </w:rPr>
              <w:t>规划管理方面</w:t>
            </w:r>
            <w:bookmarkEnd w:id="159"/>
            <w:bookmarkEnd w:id="160"/>
            <w:bookmarkEnd w:id="1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62" w:name="_Toc110851486"/>
            <w:bookmarkStart w:id="163" w:name="_Toc187041735"/>
            <w:bookmarkStart w:id="164" w:name="_Toc811159149"/>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62"/>
            <w:bookmarkEnd w:id="163"/>
            <w:bookmarkEnd w:id="1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8569" w:type="dxa"/>
            <w:gridSpan w:val="5"/>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94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385" w:type="dxa"/>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tcBorders>
              <w:bottom w:val="single" w:color="auto" w:sz="4" w:space="0"/>
            </w:tcBorders>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69" w:type="dxa"/>
            <w:gridSpan w:val="5"/>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按照《基准》的有关规定执行</w:t>
            </w:r>
          </w:p>
        </w:tc>
        <w:tc>
          <w:tcPr>
            <w:tcW w:w="1785"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2" w:hRule="atLeast"/>
          <w:jc w:val="center"/>
        </w:trPr>
        <w:tc>
          <w:tcPr>
            <w:tcW w:w="14218" w:type="dxa"/>
            <w:gridSpan w:val="9"/>
            <w:shd w:val="clear" w:color="auto" w:fill="auto"/>
            <w:vAlign w:val="center"/>
          </w:tcPr>
          <w:p>
            <w:pPr>
              <w:pStyle w:val="3"/>
              <w:keepNext w:val="0"/>
              <w:keepLines w:val="0"/>
              <w:rPr>
                <w:rFonts w:ascii="黑体" w:hAnsi="黑体" w:eastAsia="黑体"/>
                <w:b w:val="0"/>
                <w:color w:val="auto"/>
                <w:sz w:val="24"/>
                <w:szCs w:val="24"/>
                <w:highlight w:val="none"/>
              </w:rPr>
            </w:pPr>
            <w:bookmarkStart w:id="165" w:name="_Toc250975437"/>
            <w:bookmarkStart w:id="166" w:name="_Toc110851487"/>
            <w:bookmarkStart w:id="167" w:name="_Toc453168720"/>
            <w:r>
              <w:rPr>
                <w:rFonts w:hint="eastAsia" w:ascii="黑体" w:hAnsi="黑体" w:eastAsia="黑体"/>
                <w:b w:val="0"/>
                <w:color w:val="auto"/>
                <w:sz w:val="36"/>
                <w:szCs w:val="36"/>
                <w:highlight w:val="none"/>
              </w:rPr>
              <w:t>旅游管理（黑导游）方面</w:t>
            </w:r>
            <w:bookmarkEnd w:id="165"/>
            <w:bookmarkEnd w:id="166"/>
            <w:bookmarkEnd w:id="1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5"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8" w:name="_Toc110851488"/>
            <w:bookmarkStart w:id="169" w:name="_Toc363033362"/>
            <w:bookmarkStart w:id="170" w:name="_Toc2018693019"/>
            <w:r>
              <w:rPr>
                <w:rFonts w:hint="eastAsia" w:asciiTheme="minorEastAsia" w:hAnsiTheme="minorEastAsia" w:eastAsiaTheme="minorEastAsia"/>
                <w:color w:val="auto"/>
                <w:sz w:val="21"/>
                <w:szCs w:val="21"/>
                <w:highlight w:val="none"/>
              </w:rPr>
              <w:t>《中华人民共和国旅游法》案由1项</w:t>
            </w:r>
            <w:bookmarkEnd w:id="168"/>
            <w:bookmarkEnd w:id="169"/>
            <w:bookmarkEnd w:id="1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6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在4A级景区，系数1；5A级景区，系数2。</w:t>
            </w:r>
          </w:p>
        </w:tc>
        <w:tc>
          <w:tcPr>
            <w:tcW w:w="1785" w:type="dxa"/>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需要给予其它处罚额度的，报案审会决定。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5" w:hRule="atLeast"/>
          <w:jc w:val="center"/>
        </w:trPr>
        <w:tc>
          <w:tcPr>
            <w:tcW w:w="14218" w:type="dxa"/>
            <w:gridSpan w:val="9"/>
            <w:shd w:val="clear" w:color="auto" w:fill="auto"/>
            <w:vAlign w:val="center"/>
          </w:tcPr>
          <w:p>
            <w:pPr>
              <w:pStyle w:val="3"/>
              <w:keepNext w:val="0"/>
              <w:keepLines w:val="0"/>
              <w:rPr>
                <w:rFonts w:ascii="黑体" w:hAnsi="黑体" w:eastAsia="黑体"/>
                <w:b w:val="0"/>
                <w:color w:val="auto"/>
                <w:sz w:val="36"/>
                <w:szCs w:val="36"/>
                <w:highlight w:val="none"/>
              </w:rPr>
            </w:pPr>
            <w:bookmarkStart w:id="171" w:name="_Toc8089072"/>
            <w:bookmarkStart w:id="172" w:name="_Toc110851489"/>
            <w:bookmarkStart w:id="173" w:name="_Toc2122998501"/>
            <w:r>
              <w:rPr>
                <w:rFonts w:hint="eastAsia" w:ascii="黑体" w:hAnsi="黑体" w:eastAsia="黑体"/>
                <w:b w:val="0"/>
                <w:color w:val="auto"/>
                <w:sz w:val="36"/>
                <w:szCs w:val="36"/>
                <w:highlight w:val="none"/>
              </w:rPr>
              <w:t>食品安全管理方面</w:t>
            </w:r>
            <w:bookmarkEnd w:id="171"/>
            <w:bookmarkEnd w:id="172"/>
            <w:bookmarkEnd w:id="1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7" w:hRule="atLeast"/>
          <w:jc w:val="center"/>
        </w:trPr>
        <w:tc>
          <w:tcPr>
            <w:tcW w:w="14218" w:type="dxa"/>
            <w:gridSpan w:val="9"/>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4" w:name="_Toc110851490"/>
            <w:bookmarkStart w:id="175" w:name="_Toc948913247"/>
            <w:bookmarkStart w:id="176" w:name="_Toc347100741"/>
            <w:r>
              <w:rPr>
                <w:rFonts w:hint="eastAsia" w:asciiTheme="minorEastAsia" w:hAnsiTheme="minorEastAsia" w:eastAsiaTheme="minorEastAsia"/>
                <w:color w:val="auto"/>
                <w:sz w:val="21"/>
                <w:szCs w:val="21"/>
                <w:highlight w:val="none"/>
              </w:rPr>
              <w:t>《北京市小规模食品生产经营管理规定》案由23项</w:t>
            </w:r>
            <w:bookmarkEnd w:id="174"/>
            <w:bookmarkEnd w:id="175"/>
            <w:bookmarkEnd w:id="1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备案载明的经营区域或经营时段的，系数</w:t>
            </w:r>
            <w:r>
              <w:rPr>
                <w:rFonts w:hint="eastAsia" w:cs="宋体" w:asciiTheme="minorEastAsia" w:hAnsiTheme="minorEastAsia" w:eastAsiaTheme="minorEastAsia"/>
                <w:color w:val="auto"/>
                <w:kern w:val="0"/>
                <w:sz w:val="15"/>
                <w:szCs w:val="15"/>
                <w:highlight w:val="none"/>
              </w:rPr>
              <w:t>为</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系数为</w:t>
            </w:r>
            <w:r>
              <w:rPr>
                <w:rFonts w:hint="eastAsia" w:cs="宋体" w:asciiTheme="minorEastAsia" w:hAnsiTheme="minorEastAsia" w:eastAsiaTheme="minorEastAsia"/>
                <w:color w:val="auto"/>
                <w:kern w:val="0"/>
                <w:sz w:val="15"/>
                <w:szCs w:val="15"/>
                <w:highlight w:val="none"/>
              </w:rPr>
              <w:t>5。</w:t>
            </w:r>
          </w:p>
        </w:tc>
        <w:tc>
          <w:tcPr>
            <w:tcW w:w="1785"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食品摊贩用非食品原料生产制作食品（在食品中添加食品添加剂以外的化学物质和其它可能危害人体健康的物质、用回收食品作为原料生产加工食品）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24"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3"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1" w:hRule="atLeast"/>
          <w:jc w:val="center"/>
        </w:trPr>
        <w:tc>
          <w:tcPr>
            <w:tcW w:w="9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案件情况按照</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金额的倍数执行</w:t>
            </w:r>
            <w:r>
              <w:rPr>
                <w:rFonts w:hint="eastAsia" w:cs="宋体" w:asciiTheme="minorEastAsia" w:hAnsiTheme="minorEastAsia" w:eastAsiaTheme="minorEastAsia"/>
                <w:color w:val="auto"/>
                <w:kern w:val="0"/>
                <w:sz w:val="15"/>
                <w:szCs w:val="15"/>
                <w:highlight w:val="none"/>
                <w:lang w:eastAsia="zh-CN"/>
              </w:rPr>
              <w:t>。</w:t>
            </w: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食品摊贩生产制作致病性微生物，农药残留、兽药残留、生物毒素、重金属等污染物质以及其它危害人体健康的物质含量超过食品安全标准限量的食品</w:t>
            </w:r>
          </w:p>
        </w:tc>
        <w:tc>
          <w:tcPr>
            <w:tcW w:w="2789"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0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4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3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食品摊贩生产制作其它不符合食品安全标准的食品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27"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为0.5；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，系数为</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区人民政府确定的不得经营的类别的，系数为</w:t>
            </w:r>
            <w:r>
              <w:rPr>
                <w:rFonts w:hint="eastAsia" w:asciiTheme="minorEastAsia" w:hAnsiTheme="minorEastAsia" w:eastAsiaTheme="minorEastAsia"/>
                <w:color w:val="auto"/>
                <w:sz w:val="15"/>
                <w:szCs w:val="15"/>
                <w:highlight w:val="none"/>
              </w:rPr>
              <w:t>0。</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76"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3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64"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标签的预包装食品，系数为2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不符合法律、法规规定的食品，系数为</w:t>
            </w:r>
            <w:r>
              <w:rPr>
                <w:rFonts w:hint="eastAsia" w:cs="宋体" w:asciiTheme="minorEastAsia" w:hAnsiTheme="minorEastAsia" w:eastAsiaTheme="minorEastAsia"/>
                <w:color w:val="auto"/>
                <w:kern w:val="0"/>
                <w:sz w:val="15"/>
                <w:szCs w:val="15"/>
                <w:highlight w:val="none"/>
              </w:rPr>
              <w:t>1。</w:t>
            </w: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w:t>
            </w:r>
            <w:r>
              <w:rPr>
                <w:rFonts w:cs="宋体" w:asciiTheme="minorEastAsia" w:hAnsiTheme="minorEastAsia" w:eastAsiaTheme="minorEastAsia"/>
                <w:color w:val="auto"/>
                <w:kern w:val="0"/>
                <w:sz w:val="15"/>
                <w:szCs w:val="15"/>
                <w:highlight w:val="none"/>
              </w:rPr>
              <w:t>系数）</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09"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71"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55"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3.其它可以认定为“情节严重”情形的。</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00"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48" w:hRule="atLeast"/>
          <w:jc w:val="center"/>
        </w:trPr>
        <w:tc>
          <w:tcPr>
            <w:tcW w:w="9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500"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常量系数</w:t>
            </w:r>
            <w:r>
              <w:rPr>
                <w:rFonts w:cs="宋体" w:asciiTheme="minorEastAsia" w:hAnsiTheme="minorEastAsia" w:eastAsiaTheme="minorEastAsia"/>
                <w:color w:val="auto"/>
                <w:kern w:val="0"/>
                <w:sz w:val="15"/>
                <w:szCs w:val="15"/>
                <w:highlight w:val="none"/>
              </w:rPr>
              <w:t>）</w:t>
            </w:r>
          </w:p>
        </w:tc>
        <w:tc>
          <w:tcPr>
            <w:tcW w:w="23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pPr>
              <w:pStyle w:val="3"/>
              <w:keepNext w:val="0"/>
              <w:keepLines w:val="0"/>
              <w:rPr>
                <w:rFonts w:ascii="黑体" w:hAnsi="黑体" w:eastAsia="黑体"/>
                <w:b w:val="0"/>
                <w:color w:val="auto"/>
                <w:sz w:val="24"/>
                <w:szCs w:val="24"/>
                <w:highlight w:val="none"/>
              </w:rPr>
            </w:pPr>
            <w:bookmarkStart w:id="177" w:name="_Toc110851491"/>
            <w:bookmarkStart w:id="178" w:name="_Toc41635676"/>
            <w:bookmarkStart w:id="179" w:name="_Toc1834866177"/>
            <w:r>
              <w:rPr>
                <w:rFonts w:hint="eastAsia" w:ascii="黑体" w:hAnsi="黑体" w:eastAsia="黑体"/>
                <w:b w:val="0"/>
                <w:color w:val="auto"/>
                <w:sz w:val="36"/>
                <w:szCs w:val="36"/>
                <w:highlight w:val="none"/>
              </w:rPr>
              <w:t>能源运行管理方面</w:t>
            </w:r>
            <w:bookmarkEnd w:id="177"/>
            <w:bookmarkEnd w:id="178"/>
            <w:bookmarkEnd w:id="1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90" w:hRule="atLeast"/>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FFFFFF"/>
            <w:vAlign w:val="center"/>
          </w:tcPr>
          <w:p>
            <w:pPr>
              <w:pStyle w:val="4"/>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0" w:name="_Toc110851492"/>
            <w:bookmarkStart w:id="181" w:name="_Toc1482088652"/>
            <w:bookmarkStart w:id="182" w:name="_Toc1887328448"/>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80"/>
            <w:bookmarkEnd w:id="181"/>
            <w:bookmarkEnd w:id="1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18"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66"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p>
        </w:tc>
        <w:tc>
          <w:tcPr>
            <w:tcW w:w="17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其它额度处罚的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065"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造成严重后果或者社会恶劣影响的，系数4。</w:t>
            </w:r>
          </w:p>
        </w:tc>
        <w:tc>
          <w:tcPr>
            <w:tcW w:w="1785"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街道</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23" w:hRule="atLeast"/>
          <w:jc w:val="center"/>
        </w:trPr>
        <w:tc>
          <w:tcPr>
            <w:tcW w:w="14218" w:type="dxa"/>
            <w:gridSpan w:val="9"/>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tcBorders>
              <w:bottom w:val="single" w:color="auto" w:sz="4" w:space="0"/>
            </w:tcBorders>
            <w:shd w:val="clear" w:color="auto" w:fill="FFFFFF"/>
            <w:vAlign w:val="center"/>
          </w:tcPr>
          <w:p>
            <w:pPr>
              <w:pStyle w:val="4"/>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83" w:name="_Toc1932982768"/>
            <w:bookmarkStart w:id="184" w:name="_Toc110851493"/>
            <w:bookmarkStart w:id="185" w:name="_Toc2128130996"/>
            <w:r>
              <w:rPr>
                <w:rFonts w:hint="eastAsia" w:asciiTheme="minorEastAsia" w:hAnsiTheme="minorEastAsia" w:eastAsiaTheme="minorEastAsia"/>
                <w:color w:val="auto"/>
                <w:sz w:val="21"/>
                <w:szCs w:val="21"/>
                <w:highlight w:val="none"/>
              </w:rPr>
              <w:t>《中华人民共和国可再生能源法》案由2项</w:t>
            </w:r>
            <w:bookmarkEnd w:id="183"/>
            <w:bookmarkEnd w:id="184"/>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2"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993" w:hRule="atLeast"/>
          <w:jc w:val="center"/>
        </w:trPr>
        <w:tc>
          <w:tcPr>
            <w:tcW w:w="9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26" w:hRule="atLeast"/>
          <w:jc w:val="center"/>
        </w:trPr>
        <w:tc>
          <w:tcPr>
            <w:tcW w:w="14218" w:type="dxa"/>
            <w:gridSpan w:val="9"/>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电力管理类案由12项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358" w:hRule="atLeast"/>
          <w:jc w:val="center"/>
        </w:trPr>
        <w:tc>
          <w:tcPr>
            <w:tcW w:w="14218" w:type="dxa"/>
            <w:gridSpan w:val="9"/>
            <w:shd w:val="clear" w:color="auto" w:fill="FFFFFF"/>
            <w:vAlign w:val="center"/>
          </w:tcPr>
          <w:p>
            <w:pPr>
              <w:pStyle w:val="4"/>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86" w:name="_Toc2142516953"/>
            <w:bookmarkStart w:id="187" w:name="_Toc110851494"/>
            <w:bookmarkStart w:id="188" w:name="_Toc784521422"/>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86"/>
            <w:bookmarkEnd w:id="187"/>
            <w:bookmarkEnd w:id="1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01"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p>
        </w:tc>
        <w:tc>
          <w:tcPr>
            <w:tcW w:w="17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其它额度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546"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780" w:type="dxa"/>
            <w:gridSpan w:val="4"/>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spacing w:line="232" w:lineRule="exact"/>
              <w:rPr>
                <w:rFonts w:hint="eastAsia" w:cs="Times New Roman" w:asciiTheme="minorEastAsia" w:hAnsiTheme="minorEastAsia" w:eastAsiaTheme="minorEastAsia"/>
                <w:color w:val="auto"/>
                <w:spacing w:val="-4"/>
                <w:sz w:val="15"/>
                <w:szCs w:val="15"/>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1.使用1台（套）应当淘汰的危及生产安全的设备或者1种工艺逾期未改正的，处5万元以上10万元以下的罚款，对其直接负责的主管人员和其他直接责任人员处1万元以上2万元以下的罚款；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2.使用2台（套）应当淘汰的危及生产安全的设备或者2种工艺逾期未改正的，处10万元以上15万元以下的罚款，对其直接负责的主管人员和其他直接责任人员处1万元以上2万元以下的罚款；</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3.使用3台（套）以上应当淘汰的危及生产安全的设备或者3种以上工艺逾期未改正的，处15万元以上20万元以下的罚款，对其直接负责的主管人员和其他直接责任人员处1万元以上2万元以下的罚款。</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4.逾期未改正，经责令仍拒不改正的，可予以责令停产停业整顿。</w:t>
            </w:r>
          </w:p>
        </w:tc>
        <w:tc>
          <w:tcPr>
            <w:tcW w:w="2385"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未经许可从事电力供应业务，系数2。</w:t>
            </w:r>
          </w:p>
        </w:tc>
        <w:tc>
          <w:tcPr>
            <w:tcW w:w="17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79"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c>
          <w:tcPr>
            <w:tcW w:w="824"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500"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2304"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785"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2385" w:type="dxa"/>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w:t>
            </w:r>
            <w:r>
              <w:rPr>
                <w:rFonts w:hint="eastAsia" w:asciiTheme="minorEastAsia" w:hAnsiTheme="minorEastAsia" w:eastAsiaTheme="minorEastAsia"/>
                <w:color w:val="FF0000"/>
                <w:sz w:val="15"/>
                <w:szCs w:val="15"/>
                <w:highlight w:val="none"/>
              </w:rPr>
              <w:t>第</w:t>
            </w:r>
            <w:r>
              <w:rPr>
                <w:rFonts w:hint="eastAsia" w:asciiTheme="minorEastAsia" w:hAnsiTheme="minorEastAsia" w:eastAsiaTheme="minorEastAsia"/>
                <w:color w:val="FF0000"/>
                <w:sz w:val="15"/>
                <w:szCs w:val="15"/>
                <w:highlight w:val="none"/>
                <w:lang w:eastAsia="zh-CN"/>
              </w:rPr>
              <w:t>十九</w:t>
            </w:r>
            <w:r>
              <w:rPr>
                <w:rFonts w:hint="eastAsia" w:asciiTheme="minorEastAsia" w:hAnsiTheme="minorEastAsia" w:eastAsiaTheme="minorEastAsia"/>
                <w:color w:val="FF0000"/>
                <w:sz w:val="15"/>
                <w:szCs w:val="15"/>
                <w:highlight w:val="none"/>
              </w:rPr>
              <w:t>条</w:t>
            </w:r>
            <w:r>
              <w:rPr>
                <w:rFonts w:hint="eastAsia" w:asciiTheme="minorEastAsia" w:hAnsiTheme="minorEastAsia" w:eastAsiaTheme="minorEastAsia"/>
                <w:color w:val="auto"/>
                <w:sz w:val="15"/>
                <w:szCs w:val="15"/>
                <w:highlight w:val="none"/>
              </w:rPr>
              <w:t>相关规定。</w:t>
            </w:r>
          </w:p>
        </w:tc>
        <w:tc>
          <w:tcPr>
            <w:tcW w:w="824"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47" w:hRule="atLeast"/>
          <w:jc w:val="center"/>
        </w:trPr>
        <w:tc>
          <w:tcPr>
            <w:tcW w:w="94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500"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p>
        </w:tc>
        <w:tc>
          <w:tcPr>
            <w:tcW w:w="17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2" w:hRule="atLeast"/>
          <w:jc w:val="center"/>
        </w:trPr>
        <w:tc>
          <w:tcPr>
            <w:tcW w:w="94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500"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违反条款：《电力供应与使用条例》第三十一条第（一）（二）（三）（四）（五）（六）项；处罚条款：第四十一条，责令停止违法行为，追缴电费并处应交电费５倍以下的罚款。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2304"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785"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385" w:type="dxa"/>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412" w:hRule="atLeast"/>
          <w:jc w:val="center"/>
        </w:trPr>
        <w:tc>
          <w:tcPr>
            <w:tcW w:w="14218" w:type="dxa"/>
            <w:gridSpan w:val="9"/>
            <w:shd w:val="clear" w:color="auto" w:fill="FFFFFF"/>
            <w:vAlign w:val="center"/>
          </w:tcPr>
          <w:p>
            <w:pPr>
              <w:pStyle w:val="4"/>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9" w:name="_Toc110851495"/>
            <w:bookmarkStart w:id="190" w:name="_Toc409668775"/>
            <w:bookmarkStart w:id="191" w:name="_Toc1256520048"/>
            <w:r>
              <w:rPr>
                <w:rFonts w:hint="eastAsia" w:asciiTheme="minorEastAsia" w:hAnsiTheme="minorEastAsia" w:eastAsiaTheme="minorEastAsia"/>
                <w:color w:val="auto"/>
                <w:sz w:val="21"/>
                <w:szCs w:val="21"/>
                <w:highlight w:val="none"/>
              </w:rPr>
              <w:t>《电力设施保护条例》《电力设施保护条例实施细则》案由5项</w:t>
            </w:r>
            <w:bookmarkEnd w:id="189"/>
            <w:bookmarkEnd w:id="190"/>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0" w:hRule="atLeast"/>
          <w:jc w:val="center"/>
        </w:trPr>
        <w:tc>
          <w:tcPr>
            <w:tcW w:w="94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500"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处罚条款：第二十七条，责令改正；拒不改正的，处１万元以下的罚款。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4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p>
            <w:pPr>
              <w:pStyle w:val="23"/>
              <w:ind w:left="0" w:leftChars="0" w:firstLine="0" w:firstLineChars="0"/>
              <w:rPr>
                <w:color w:val="auto"/>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99"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500" w:type="dxa"/>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1.造成电能损失较大或者设施损坏的，系数2-3；2.造成事故的，系数4。</w:t>
            </w:r>
          </w:p>
        </w:tc>
        <w:tc>
          <w:tcPr>
            <w:tcW w:w="1785" w:type="dxa"/>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3"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c>
          <w:tcPr>
            <w:tcW w:w="824"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500" w:type="dxa"/>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2304"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p>
        </w:tc>
        <w:tc>
          <w:tcPr>
            <w:tcW w:w="1785" w:type="dxa"/>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＋变量系数）</w:t>
            </w:r>
          </w:p>
        </w:tc>
        <w:tc>
          <w:tcPr>
            <w:tcW w:w="2385" w:type="dxa"/>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tcBorders>
              <w:bottom w:val="single" w:color="auto" w:sz="4" w:space="0"/>
            </w:tcBorders>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74" w:hRule="atLeast"/>
          <w:jc w:val="center"/>
        </w:trPr>
        <w:tc>
          <w:tcPr>
            <w:tcW w:w="14218" w:type="dxa"/>
            <w:gridSpan w:val="9"/>
            <w:tcBorders>
              <w:bottom w:val="single" w:color="auto" w:sz="4" w:space="0"/>
            </w:tcBorders>
            <w:shd w:val="clear" w:color="auto" w:fill="FFFFFF"/>
            <w:vAlign w:val="center"/>
          </w:tcPr>
          <w:p>
            <w:pPr>
              <w:pStyle w:val="4"/>
              <w:bidi w:val="0"/>
              <w:jc w:val="center"/>
              <w:rPr>
                <w:rFonts w:hint="default"/>
                <w:lang w:val="en-US" w:eastAsia="zh-CN"/>
              </w:rPr>
            </w:pPr>
            <w:bookmarkStart w:id="192" w:name="_Toc1265530909"/>
            <w:r>
              <w:rPr>
                <w:rFonts w:hint="eastAsia"/>
                <w:sz w:val="21"/>
                <w:szCs w:val="21"/>
                <w:lang w:val="en-US" w:eastAsia="zh-CN"/>
              </w:rPr>
              <w:t>《北京市优化营商环境条例》案由1项</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91" w:hRule="atLeast"/>
          <w:jc w:val="center"/>
        </w:trPr>
        <w:tc>
          <w:tcPr>
            <w:tcW w:w="940" w:type="dxa"/>
            <w:tcBorders>
              <w:bottom w:val="single" w:color="auto" w:sz="4" w:space="0"/>
            </w:tcBorders>
            <w:shd w:val="clear" w:color="auto" w:fill="FFFFFF"/>
            <w:vAlign w:val="center"/>
          </w:tcPr>
          <w:p>
            <w:pPr>
              <w:pStyle w:val="9"/>
              <w:jc w:val="center"/>
              <w:rPr>
                <w:rFonts w:hint="eastAsia" w:eastAsia="仿宋_GB2312"/>
                <w:sz w:val="15"/>
                <w:szCs w:val="15"/>
                <w:lang w:val="en-US" w:eastAsia="zh-CN"/>
              </w:rPr>
            </w:pPr>
            <w:r>
              <w:rPr>
                <w:rFonts w:hint="eastAsia"/>
                <w:sz w:val="15"/>
                <w:szCs w:val="15"/>
                <w:lang w:val="en-US" w:eastAsia="zh-CN"/>
              </w:rPr>
              <w:t>1</w:t>
            </w:r>
          </w:p>
        </w:tc>
        <w:tc>
          <w:tcPr>
            <w:tcW w:w="1500"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违反</w:t>
            </w:r>
            <w:r>
              <w:rPr>
                <w:rStyle w:val="63"/>
                <w:rFonts w:hint="eastAsia" w:asciiTheme="minorEastAsia" w:hAnsiTheme="minorEastAsia" w:eastAsiaTheme="minorEastAsia" w:cstheme="minorEastAsia"/>
                <w:sz w:val="15"/>
                <w:szCs w:val="15"/>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5780" w:type="dxa"/>
            <w:gridSpan w:val="4"/>
            <w:tcBorders>
              <w:bottom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lang w:eastAsia="zh-CN"/>
              </w:rPr>
            </w:pPr>
            <w:r>
              <w:rPr>
                <w:rFonts w:hint="eastAsia" w:asciiTheme="majorEastAsia" w:hAnsiTheme="majorEastAsia" w:eastAsiaTheme="majorEastAsia" w:cstheme="majorEastAsia"/>
                <w:sz w:val="15"/>
                <w:szCs w:val="15"/>
                <w:lang w:eastAsia="zh-CN"/>
              </w:rPr>
              <w:t>《北京市城市管理委员会关于修订</w:t>
            </w:r>
            <w:r>
              <w:rPr>
                <w:rFonts w:hint="default" w:asciiTheme="majorEastAsia" w:hAnsiTheme="majorEastAsia" w:eastAsiaTheme="majorEastAsia" w:cstheme="majorEastAsia"/>
                <w:sz w:val="15"/>
                <w:szCs w:val="15"/>
                <w:lang w:val="en-US" w:eastAsia="zh-CN"/>
              </w:rPr>
              <w:t>&lt;</w:t>
            </w:r>
            <w:r>
              <w:rPr>
                <w:rFonts w:hint="eastAsia" w:asciiTheme="majorEastAsia" w:hAnsiTheme="majorEastAsia" w:eastAsiaTheme="majorEastAsia" w:cstheme="majorEastAsia"/>
                <w:sz w:val="15"/>
                <w:szCs w:val="15"/>
                <w:lang w:eastAsia="zh-CN"/>
              </w:rPr>
              <w:t>北京电网供电可靠性管制工作细则（试行）</w:t>
            </w:r>
            <w:r>
              <w:rPr>
                <w:rFonts w:hint="default" w:asciiTheme="majorEastAsia" w:hAnsiTheme="majorEastAsia" w:eastAsiaTheme="majorEastAsia" w:cstheme="majorEastAsia"/>
                <w:sz w:val="15"/>
                <w:szCs w:val="15"/>
                <w:lang w:val="en-US" w:eastAsia="zh-CN"/>
              </w:rPr>
              <w:t>&gt;</w:t>
            </w:r>
            <w:r>
              <w:rPr>
                <w:rFonts w:hint="eastAsia" w:asciiTheme="majorEastAsia" w:hAnsiTheme="majorEastAsia" w:eastAsiaTheme="majorEastAsia" w:cstheme="majorEastAsia"/>
                <w:sz w:val="15"/>
                <w:szCs w:val="15"/>
                <w:lang w:eastAsia="zh-CN"/>
              </w:rPr>
              <w:t>的通知》</w:t>
            </w:r>
            <w:r>
              <w:rPr>
                <w:rFonts w:hint="default" w:asciiTheme="majorEastAsia" w:hAnsiTheme="majorEastAsia" w:eastAsiaTheme="majorEastAsia" w:cstheme="majorEastAsia"/>
                <w:sz w:val="15"/>
                <w:szCs w:val="15"/>
                <w:lang w:val="en-US" w:eastAsia="zh-CN"/>
              </w:rPr>
              <w:t xml:space="preserve">  </w:t>
            </w:r>
            <w:r>
              <w:rPr>
                <w:rFonts w:hint="eastAsia" w:asciiTheme="majorEastAsia" w:hAnsiTheme="majorEastAsia" w:eastAsiaTheme="majorEastAsia" w:cstheme="majorEastAsia"/>
                <w:sz w:val="15"/>
                <w:szCs w:val="15"/>
              </w:rPr>
              <w:t>城市电网年供电可靠率（ASAI）</w:t>
            </w:r>
            <w:r>
              <w:rPr>
                <w:rFonts w:hint="eastAsia" w:asciiTheme="majorEastAsia" w:hAnsiTheme="majorEastAsia" w:eastAsiaTheme="majorEastAsia" w:cstheme="majorEastAsia"/>
                <w:sz w:val="15"/>
                <w:szCs w:val="15"/>
                <w:lang w:eastAsia="zh-CN"/>
              </w:rPr>
              <w:t>应</w:t>
            </w:r>
            <w:r>
              <w:rPr>
                <w:rFonts w:hint="eastAsia" w:asciiTheme="majorEastAsia" w:hAnsiTheme="majorEastAsia" w:eastAsiaTheme="majorEastAsia" w:cstheme="majorEastAsia"/>
                <w:sz w:val="15"/>
                <w:szCs w:val="15"/>
              </w:rPr>
              <w:t>高于99%（含99%），且较上年变化率在-0.002至0.002个百分点之间（含）</w:t>
            </w:r>
            <w:r>
              <w:rPr>
                <w:rFonts w:hint="eastAsia" w:asciiTheme="majorEastAsia" w:hAnsiTheme="majorEastAsia" w:eastAsiaTheme="majorEastAsia" w:cstheme="majorEastAsia"/>
                <w:sz w:val="15"/>
                <w:szCs w:val="15"/>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1.</w:t>
            </w:r>
            <w:r>
              <w:rPr>
                <w:rFonts w:hint="eastAsia" w:asciiTheme="majorEastAsia" w:hAnsiTheme="majorEastAsia" w:eastAsiaTheme="majorEastAsia" w:cstheme="majorEastAsia"/>
                <w:sz w:val="15"/>
                <w:szCs w:val="15"/>
              </w:rPr>
              <w:t>城市电网年供电可靠率（ASAI）低于上年0.002至0.004个百分点（含0.004），处罚5万元。</w:t>
            </w:r>
          </w:p>
          <w:p>
            <w:pPr>
              <w:keepNext w:val="0"/>
              <w:keepLines w:val="0"/>
              <w:pageBreakBefore w:val="0"/>
              <w:widowControl/>
              <w:kinsoku/>
              <w:wordWrap/>
              <w:overflowPunct/>
              <w:topLinePunct w:val="0"/>
              <w:autoSpaceDE/>
              <w:autoSpaceDN/>
              <w:bidi w:val="0"/>
              <w:adjustRightInd/>
              <w:snapToGrid/>
              <w:spacing w:beforeAutospacing="0" w:afterAutospacing="0" w:line="0" w:lineRule="atLeast"/>
              <w:ind w:left="0" w:leftChars="0" w:right="0" w:rightChars="0" w:firstLine="300" w:firstLineChars="200"/>
              <w:textAlignment w:val="auto"/>
              <w:outlineLvl w:val="9"/>
              <w:rPr>
                <w:rFonts w:hint="eastAsia" w:asciiTheme="majorEastAsia" w:hAnsiTheme="majorEastAsia" w:eastAsiaTheme="majorEastAsia" w:cstheme="majorEastAsia"/>
                <w:sz w:val="15"/>
                <w:szCs w:val="15"/>
              </w:rPr>
            </w:pPr>
            <w:r>
              <w:rPr>
                <w:rFonts w:hint="eastAsia" w:asciiTheme="majorEastAsia" w:hAnsiTheme="majorEastAsia" w:eastAsiaTheme="majorEastAsia" w:cstheme="majorEastAsia"/>
                <w:sz w:val="15"/>
                <w:szCs w:val="15"/>
                <w:lang w:val="en-US" w:eastAsia="zh-CN"/>
              </w:rPr>
              <w:t>2.</w:t>
            </w:r>
            <w:r>
              <w:rPr>
                <w:rFonts w:hint="eastAsia" w:asciiTheme="majorEastAsia" w:hAnsiTheme="majorEastAsia" w:eastAsiaTheme="majorEastAsia" w:cstheme="majorEastAsia"/>
                <w:sz w:val="15"/>
                <w:szCs w:val="15"/>
              </w:rPr>
              <w:t>城市电网年供电可靠率（ASAI）低于上年0.004至0.006个百分点（含0.006），处罚20万元。</w:t>
            </w:r>
          </w:p>
          <w:p>
            <w:pPr>
              <w:spacing w:line="232" w:lineRule="exact"/>
              <w:ind w:firstLine="300" w:firstLineChars="200"/>
              <w:rPr>
                <w:rFonts w:hint="eastAsia" w:asciiTheme="minorEastAsia" w:hAnsiTheme="minorEastAsia" w:eastAsiaTheme="minorEastAsia"/>
                <w:color w:val="auto"/>
                <w:sz w:val="15"/>
                <w:szCs w:val="15"/>
                <w:highlight w:val="none"/>
              </w:rPr>
            </w:pPr>
            <w:r>
              <w:rPr>
                <w:rFonts w:hint="eastAsia" w:asciiTheme="majorEastAsia" w:hAnsiTheme="majorEastAsia" w:eastAsiaTheme="majorEastAsia" w:cstheme="majorEastAsia"/>
                <w:sz w:val="15"/>
                <w:szCs w:val="15"/>
                <w:lang w:val="en-US" w:eastAsia="zh-CN"/>
              </w:rPr>
              <w:t>3.</w:t>
            </w:r>
            <w:r>
              <w:rPr>
                <w:rFonts w:hint="eastAsia" w:asciiTheme="majorEastAsia" w:hAnsiTheme="majorEastAsia" w:eastAsiaTheme="majorEastAsia" w:cstheme="majorEastAsia"/>
                <w:sz w:val="15"/>
                <w:szCs w:val="15"/>
              </w:rPr>
              <w:t>城市电网年供电可靠率（ASAI）低于99%，或低于上年0.006个百分点以上，处罚50万元。</w:t>
            </w:r>
          </w:p>
        </w:tc>
        <w:tc>
          <w:tcPr>
            <w:tcW w:w="2385" w:type="dxa"/>
            <w:tcBorders>
              <w:bottom w:val="single" w:color="auto" w:sz="4" w:space="0"/>
            </w:tcBorders>
            <w:shd w:val="clear" w:color="auto" w:fill="FFFFFF"/>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c>
          <w:tcPr>
            <w:tcW w:w="824" w:type="dxa"/>
            <w:tcBorders>
              <w:bottom w:val="single" w:color="auto" w:sz="4" w:space="0"/>
            </w:tcBorders>
            <w:shd w:val="clear" w:color="auto" w:fill="FFFFFF"/>
            <w:vAlign w:val="center"/>
          </w:tcPr>
          <w:p>
            <w:pPr>
              <w:autoSpaceDE w:val="0"/>
              <w:spacing w:line="232" w:lineRule="exact"/>
              <w:jc w:val="center"/>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14218" w:type="dxa"/>
            <w:gridSpan w:val="9"/>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jc w:val="center"/>
        </w:trPr>
        <w:tc>
          <w:tcPr>
            <w:tcW w:w="5229" w:type="dxa"/>
            <w:gridSpan w:val="3"/>
            <w:shd w:val="clear" w:color="auto" w:fill="auto"/>
            <w:vAlign w:val="center"/>
          </w:tcPr>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tLeast"/>
              <w:jc w:val="center"/>
              <w:textAlignment w:val="auto"/>
              <w:rPr>
                <w:rFonts w:asciiTheme="minorEastAsia" w:hAnsiTheme="minorEastAsia" w:eastAsiaTheme="minorEastAsia"/>
                <w:color w:val="auto"/>
                <w:sz w:val="21"/>
                <w:szCs w:val="21"/>
                <w:highlight w:val="none"/>
              </w:rPr>
            </w:pPr>
            <w:bookmarkStart w:id="193" w:name="_Toc110851497"/>
            <w:bookmarkStart w:id="194" w:name="_Toc1490732698"/>
            <w:bookmarkStart w:id="195" w:name="_Toc2054618372"/>
            <w:r>
              <w:rPr>
                <w:rFonts w:hint="eastAsia" w:asciiTheme="minorEastAsia" w:hAnsiTheme="minorEastAsia" w:eastAsiaTheme="minorEastAsia"/>
                <w:color w:val="auto"/>
                <w:sz w:val="21"/>
                <w:szCs w:val="21"/>
                <w:highlight w:val="none"/>
              </w:rPr>
              <w:t>《中华人民共和国石油天然气管道保护法》</w:t>
            </w:r>
            <w:bookmarkEnd w:id="193"/>
            <w:bookmarkEnd w:id="194"/>
            <w:bookmarkStart w:id="196" w:name="_Toc63324556"/>
            <w:bookmarkStart w:id="197" w:name="_Toc110851498"/>
            <w:r>
              <w:rPr>
                <w:rFonts w:hint="eastAsia" w:asciiTheme="minorEastAsia" w:hAnsiTheme="minorEastAsia" w:eastAsiaTheme="minorEastAsia"/>
                <w:color w:val="auto"/>
                <w:sz w:val="21"/>
                <w:szCs w:val="21"/>
                <w:highlight w:val="none"/>
              </w:rPr>
              <w:t>案由22项</w:t>
            </w:r>
            <w:bookmarkEnd w:id="195"/>
            <w:bookmarkEnd w:id="196"/>
            <w:bookmarkEnd w:id="197"/>
          </w:p>
        </w:tc>
        <w:tc>
          <w:tcPr>
            <w:tcW w:w="8989" w:type="dxa"/>
            <w:gridSpan w:val="6"/>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（注：不含东城、西城、平谷、天安门）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618"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500"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未依法对管道进行巡护、检测和维修</w:t>
            </w:r>
          </w:p>
        </w:tc>
        <w:tc>
          <w:tcPr>
            <w:tcW w:w="2789"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1.未建立巡护制度的，系数2；2.未配备专人进行日常巡护的，系数2；3.未定期对管道风险比较大的区段和场所进行重点监测采取有效措施的，系数2；4.造成事故或者其它严重后果的，系数4。</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2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1.未采取任何措施继续使用，存在较大隐患的，系数2-3；2.造成事故或者其它严重后果的，系数4。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30"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spacing w:val="-3"/>
                <w:kern w:val="0"/>
                <w:sz w:val="15"/>
                <w:szCs w:val="15"/>
                <w:highlight w:val="none"/>
              </w:rPr>
            </w:pPr>
            <w:r>
              <w:rPr>
                <w:rFonts w:hint="eastAsia" w:cs="宋体" w:asciiTheme="minorEastAsia" w:hAnsiTheme="minorEastAsia" w:eastAsiaTheme="minorEastAsia"/>
                <w:color w:val="auto"/>
                <w:spacing w:val="-3"/>
                <w:kern w:val="0"/>
                <w:sz w:val="15"/>
                <w:szCs w:val="15"/>
                <w:highlight w:val="none"/>
              </w:rPr>
              <w:t>1.未依法设置或者未修复更新，存在较大隐患的，系数1-3；2.造成事故或者其它严重后果的，系数4。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5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1.未报送备案，逾期6-10日，系数1，逾期11-15日，系数2，以此类推；2.造成事故或者其它严重后果的，系数4。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45" w:hRule="atLeast"/>
          <w:jc w:val="center"/>
        </w:trPr>
        <w:tc>
          <w:tcPr>
            <w:tcW w:w="94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500" w:type="dxa"/>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1.未制定预案的，系数2；2.造成事故或者其它严重后果的，系数4。</w:t>
            </w:r>
          </w:p>
        </w:tc>
        <w:tc>
          <w:tcPr>
            <w:tcW w:w="1785"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4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5"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1.启动应急预案迟缓的，系数2；2.措施明显失当的，系数2；3.造成事故危害扩大的，系数4。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90" w:hRule="atLeast"/>
          <w:jc w:val="center"/>
        </w:trPr>
        <w:tc>
          <w:tcPr>
            <w:tcW w:w="94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500" w:type="dxa"/>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1.未采取任何安全防护措施的，系数2；2.致使事故或者其它严重后果的，系数4。</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逾期不改正的情形，不记入</w:t>
            </w:r>
            <w:r>
              <w:rPr>
                <w:rFonts w:hint="eastAsia" w:asciiTheme="minorEastAsia" w:hAnsiTheme="minorEastAsia" w:eastAsiaTheme="minorEastAsia"/>
                <w:color w:val="auto"/>
                <w:sz w:val="15"/>
                <w:szCs w:val="15"/>
                <w:highlight w:val="none"/>
                <w:lang w:eastAsia="zh-CN"/>
              </w:rPr>
              <w:t>常量系数</w:t>
            </w:r>
            <w:r>
              <w:rPr>
                <w:rFonts w:hint="eastAsia" w:asciiTheme="minorEastAsia" w:hAnsiTheme="minorEastAsia" w:eastAsiaTheme="minorEastAsia"/>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需要作出其它额度处罚的，报案审会讨论决定。</w:t>
            </w:r>
          </w:p>
        </w:tc>
        <w:tc>
          <w:tcPr>
            <w:tcW w:w="824"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692"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500"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946"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1"/>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24"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1"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500"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9"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386" w:hRule="atLeast"/>
          <w:jc w:val="center"/>
        </w:trPr>
        <w:tc>
          <w:tcPr>
            <w:tcW w:w="94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vMerge w:val="restart"/>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87" w:hRule="atLeast"/>
          <w:jc w:val="center"/>
        </w:trPr>
        <w:tc>
          <w:tcPr>
            <w:tcW w:w="94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24"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15"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500" w:type="dxa"/>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在管道线路中心线两侧各五米地域范围内挖塘、修渠、修晒场、修建水产养殖场、建温室、建家畜棚圈、建房以及修建其它建筑物、构筑物</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40"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1"/>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47"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832"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pStyle w:val="21"/>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73" w:hRule="atLeast"/>
          <w:jc w:val="center"/>
        </w:trPr>
        <w:tc>
          <w:tcPr>
            <w:tcW w:w="94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500" w:type="dxa"/>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造成事故或者其它严重后果的，系数1。</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06" w:hRule="atLeast"/>
          <w:jc w:val="center"/>
        </w:trPr>
        <w:tc>
          <w:tcPr>
            <w:tcW w:w="94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2304"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16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需要作出其它额度处罚的，报案审会讨论决定。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2634" w:hRule="atLeast"/>
          <w:jc w:val="center"/>
        </w:trPr>
        <w:tc>
          <w:tcPr>
            <w:tcW w:w="94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500"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27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882"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500"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1.存在较大安全隐患或者造成损失较大的，系数2-3；2.造成事故或者其它严重后果的，系数4。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rPr>
              <w:t>它额度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31"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466"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500" w:type="dxa"/>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作出其它额度处罚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c>
          <w:tcPr>
            <w:tcW w:w="824" w:type="dxa"/>
            <w:shd w:val="clear" w:color="auto" w:fill="auto"/>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15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500" w:type="dxa"/>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2304"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1.造成较大损失和影响的，系数2；2.造成事故或者其它严重后果的，系数4。</w:t>
            </w:r>
          </w:p>
        </w:tc>
        <w:tc>
          <w:tcPr>
            <w:tcW w:w="17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常量系数</w:t>
            </w:r>
            <w:r>
              <w:rPr>
                <w:rFonts w:hint="eastAsia" w:cs="宋体" w:asciiTheme="minorEastAsia" w:hAnsiTheme="minorEastAsia" w:eastAsiaTheme="minorEastAsia"/>
                <w:color w:val="auto"/>
                <w:kern w:val="0"/>
                <w:sz w:val="15"/>
                <w:szCs w:val="15"/>
                <w:highlight w:val="none"/>
              </w:rPr>
              <w:t>＋变量系数）</w:t>
            </w:r>
          </w:p>
        </w:tc>
        <w:tc>
          <w:tcPr>
            <w:tcW w:w="2385" w:type="dxa"/>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p>
        </w:tc>
        <w:tc>
          <w:tcPr>
            <w:tcW w:w="824" w:type="dxa"/>
            <w:shd w:val="clear" w:color="auto" w:fill="auto"/>
            <w:vAlign w:val="center"/>
          </w:tcPr>
          <w:p>
            <w:pPr>
              <w:autoSpaceDE w:val="0"/>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市级</w:t>
            </w:r>
          </w:p>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780" w:hRule="atLeast"/>
          <w:jc w:val="center"/>
        </w:trPr>
        <w:tc>
          <w:tcPr>
            <w:tcW w:w="14218" w:type="dxa"/>
            <w:gridSpan w:val="9"/>
            <w:shd w:val="clear" w:color="auto" w:fill="FFFFFF"/>
            <w:vAlign w:val="center"/>
          </w:tcPr>
          <w:p>
            <w:pPr>
              <w:pStyle w:val="3"/>
              <w:bidi w:val="0"/>
              <w:rPr>
                <w:rFonts w:hint="eastAsia" w:asciiTheme="minorEastAsia" w:hAnsiTheme="minorEastAsia" w:eastAsiaTheme="minorEastAsia"/>
                <w:color w:val="auto"/>
                <w:szCs w:val="15"/>
                <w:highlight w:val="none"/>
              </w:rPr>
            </w:pPr>
            <w:bookmarkStart w:id="198" w:name="_Toc771447482"/>
            <w:r>
              <w:rPr>
                <w:rFonts w:hint="eastAsia"/>
              </w:rPr>
              <w:t>国际交往语言环境建设方面</w:t>
            </w:r>
            <w:bookmarkEnd w:id="1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533" w:hRule="atLeast"/>
          <w:jc w:val="center"/>
        </w:trPr>
        <w:tc>
          <w:tcPr>
            <w:tcW w:w="14218" w:type="dxa"/>
            <w:gridSpan w:val="9"/>
            <w:shd w:val="clear" w:color="auto" w:fill="auto"/>
            <w:vAlign w:val="center"/>
          </w:tcPr>
          <w:p>
            <w:pPr>
              <w:pStyle w:val="4"/>
              <w:bidi w:val="0"/>
              <w:jc w:val="center"/>
              <w:rPr>
                <w:rFonts w:hint="eastAsia" w:asciiTheme="minorEastAsia" w:hAnsiTheme="minorEastAsia" w:eastAsiaTheme="minorEastAsia"/>
                <w:color w:val="auto"/>
                <w:szCs w:val="15"/>
                <w:highlight w:val="none"/>
              </w:rPr>
            </w:pPr>
            <w:bookmarkStart w:id="199" w:name="_Toc1543116115"/>
            <w:r>
              <w:rPr>
                <w:rFonts w:hint="eastAsia"/>
              </w:rPr>
              <w:t>《</w:t>
            </w:r>
            <w:r>
              <w:rPr>
                <w:rFonts w:hint="eastAsia"/>
                <w:lang w:val="zh-CN"/>
              </w:rPr>
              <w:t>北京市国际交往语言环境建设条例</w:t>
            </w:r>
            <w:r>
              <w:rPr>
                <w:rFonts w:hint="eastAsia"/>
              </w:rPr>
              <w:t>》案由4项</w:t>
            </w:r>
            <w:bookmarkEnd w:id="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罚款数额＝2000×（1＋区域系数+</w:t>
            </w:r>
            <w:r>
              <w:rPr>
                <w:rFonts w:hint="eastAsia" w:cs="仿宋_GB2312" w:asciiTheme="minorEastAsia" w:hAnsiTheme="minorEastAsia" w:eastAsiaTheme="minorEastAsia"/>
                <w:color w:val="auto"/>
                <w:sz w:val="15"/>
                <w:szCs w:val="15"/>
                <w:highlight w:val="none"/>
                <w:lang w:eastAsia="zh-CN"/>
              </w:rPr>
              <w:t>常量系数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区级</w:t>
            </w:r>
          </w:p>
          <w:p>
            <w:pPr>
              <w:spacing w:line="232" w:lineRule="exact"/>
              <w:ind w:firstLine="333" w:firstLineChars="0"/>
              <w:jc w:val="center"/>
              <w:rPr>
                <w:rFonts w:hint="eastAsia" w:cs="Times New Roman" w:asciiTheme="minorEastAsia" w:hAnsiTheme="minorEastAsia" w:eastAsiaTheme="minorEastAsia"/>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50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同时存在两项及以上禁止性内容的，系数为1。</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c>
          <w:tcPr>
            <w:tcW w:w="824" w:type="dxa"/>
            <w:vMerge w:val="restart"/>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vMerge w:val="continue"/>
            <w:shd w:val="clear" w:color="auto" w:fill="FFFFFF"/>
            <w:vAlign w:val="center"/>
          </w:tcPr>
          <w:p>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500" w:type="dxa"/>
            <w:vMerge w:val="continue"/>
            <w:shd w:val="clear" w:color="auto" w:fill="FFFFFF"/>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vMerge w:val="continue"/>
            <w:shd w:val="clear" w:color="auto" w:fill="auto"/>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同时存在两项禁止性内容的，系数为1；同时存在三项以上禁止性内容的，系数为2。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拒不改正或两次及以上违法的，或者被市级以上媒体曝光，或者造成其它恶劣影响的，视为“情节严重、造成恶劣影响”。</w:t>
            </w:r>
          </w:p>
          <w:p>
            <w:pPr>
              <w:pStyle w:val="23"/>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拒不改正或两次及以上违法的，不重复记入本项“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p>
        </w:tc>
        <w:tc>
          <w:tcPr>
            <w:tcW w:w="824" w:type="dxa"/>
            <w:vMerge w:val="continue"/>
            <w:shd w:val="clear" w:color="auto" w:fill="auto"/>
            <w:vAlign w:val="center"/>
          </w:tcPr>
          <w:p>
            <w:pPr>
              <w:autoSpaceDE w:val="0"/>
              <w:spacing w:line="190" w:lineRule="exact"/>
              <w:jc w:val="center"/>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trHeight w:val="1037" w:hRule="atLeast"/>
          <w:jc w:val="center"/>
        </w:trPr>
        <w:tc>
          <w:tcPr>
            <w:tcW w:w="9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50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230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属于第十七条第一款应当设置、使用外语标识的公共场所的，系数为1；</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被媒体曝光的，系数为1;</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造成恶劣影响的，系数为2。</w:t>
            </w:r>
          </w:p>
        </w:tc>
        <w:tc>
          <w:tcPr>
            <w:tcW w:w="17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常量系数＋变量系数＋区域系数</w:t>
            </w:r>
            <w:r>
              <w:rPr>
                <w:rFonts w:hint="eastAsia" w:cs="仿宋_GB2312" w:asciiTheme="minorEastAsia" w:hAnsiTheme="minorEastAsia" w:eastAsiaTheme="minorEastAsia"/>
                <w:color w:val="auto"/>
                <w:sz w:val="15"/>
                <w:szCs w:val="15"/>
                <w:highlight w:val="none"/>
              </w:rPr>
              <w:t>）</w:t>
            </w:r>
          </w:p>
        </w:tc>
        <w:tc>
          <w:tcPr>
            <w:tcW w:w="238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拒不改正的情形，不记入本项“</w:t>
            </w:r>
            <w:r>
              <w:rPr>
                <w:rFonts w:hint="eastAsia" w:cs="仿宋_GB2312" w:asciiTheme="minorEastAsia" w:hAnsiTheme="minorEastAsia" w:eastAsiaTheme="minorEastAsia"/>
                <w:color w:val="auto"/>
                <w:sz w:val="15"/>
                <w:szCs w:val="15"/>
                <w:highlight w:val="none"/>
                <w:lang w:val="en" w:eastAsia="zh-CN"/>
              </w:rPr>
              <w:t>常量系数</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lang w:val="en" w:eastAsia="zh-CN"/>
              </w:rPr>
              <w:t>。</w:t>
            </w:r>
          </w:p>
        </w:tc>
        <w:tc>
          <w:tcPr>
            <w:tcW w:w="824" w:type="dxa"/>
            <w:shd w:val="clear" w:color="auto" w:fill="auto"/>
            <w:vAlign w:val="center"/>
          </w:tcPr>
          <w:p>
            <w:pPr>
              <w:spacing w:line="232" w:lineRule="exact"/>
              <w:jc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市级</w:t>
            </w:r>
          </w:p>
          <w:p>
            <w:pPr>
              <w:spacing w:line="232" w:lineRule="exact"/>
              <w:jc w:val="center"/>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color w:val="auto"/>
                <w:sz w:val="15"/>
                <w:szCs w:val="15"/>
                <w:highlight w:val="none"/>
                <w:lang w:val="en"/>
              </w:rPr>
              <w:t>区级</w:t>
            </w:r>
          </w:p>
        </w:tc>
      </w:tr>
    </w:tbl>
    <w:p/>
    <w:tbl>
      <w:tblPr>
        <w:tblStyle w:val="24"/>
        <w:tblW w:w="143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99"/>
        <w:gridCol w:w="441"/>
        <w:gridCol w:w="489"/>
        <w:gridCol w:w="1011"/>
        <w:gridCol w:w="696"/>
        <w:gridCol w:w="2093"/>
        <w:gridCol w:w="1345"/>
        <w:gridCol w:w="2490"/>
        <w:gridCol w:w="1949"/>
        <w:gridCol w:w="2"/>
        <w:gridCol w:w="697"/>
        <w:gridCol w:w="697"/>
        <w:gridCol w:w="712"/>
        <w:gridCol w:w="148"/>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02" w:hRule="atLeast"/>
        </w:trPr>
        <w:tc>
          <w:tcPr>
            <w:tcW w:w="14329" w:type="dxa"/>
            <w:gridSpan w:val="15"/>
            <w:noWrap w:val="0"/>
            <w:vAlign w:val="center"/>
          </w:tcPr>
          <w:p>
            <w:pPr>
              <w:pStyle w:val="3"/>
              <w:bidi w:val="0"/>
              <w:rPr>
                <w:rFonts w:hint="eastAsia"/>
                <w:sz w:val="21"/>
                <w:szCs w:val="21"/>
              </w:rPr>
            </w:pPr>
            <w:bookmarkStart w:id="200" w:name="_Toc1437339030"/>
            <w:bookmarkStart w:id="201" w:name="_Toc341845612"/>
            <w:bookmarkStart w:id="202" w:name="_Toc110851502"/>
            <w:bookmarkStart w:id="203" w:name="_Toc1953583257"/>
            <w:bookmarkStart w:id="204" w:name="_Toc243115343"/>
            <w:r>
              <w:rPr>
                <w:rFonts w:hint="eastAsia"/>
                <w:sz w:val="21"/>
                <w:szCs w:val="21"/>
              </w:rPr>
              <w:t>生态环境</w:t>
            </w:r>
            <w:bookmarkEnd w:id="200"/>
            <w:r>
              <w:rPr>
                <w:rFonts w:hint="eastAsia"/>
                <w:sz w:val="21"/>
                <w:szCs w:val="21"/>
                <w:lang w:eastAsia="zh-CN"/>
              </w:rPr>
              <w:t>下放</w:t>
            </w:r>
            <w:r>
              <w:rPr>
                <w:rFonts w:hint="eastAsia"/>
                <w:sz w:val="21"/>
                <w:szCs w:val="21"/>
                <w:lang w:val="en-US" w:eastAsia="zh-CN"/>
              </w:rPr>
              <w:t>2</w:t>
            </w:r>
            <w:r>
              <w:rPr>
                <w:rFonts w:hint="eastAsia"/>
                <w:sz w:val="21"/>
                <w:szCs w:val="21"/>
              </w:rPr>
              <w:t>项</w:t>
            </w:r>
            <w:bookmarkEnd w:id="201"/>
            <w:bookmarkEnd w:id="202"/>
            <w:bookmarkEnd w:id="203"/>
            <w:bookmarkEnd w:id="204"/>
          </w:p>
          <w:p>
            <w:pPr>
              <w:jc w:val="center"/>
              <w:rPr>
                <w:rFonts w:hint="eastAsia" w:asciiTheme="minorEastAsia" w:hAnsiTheme="minorEastAsia" w:eastAsiaTheme="minorEastAsia" w:cstheme="minorEastAsia"/>
                <w:b/>
                <w:bCs/>
                <w:sz w:val="21"/>
                <w:szCs w:val="21"/>
              </w:rPr>
            </w:pPr>
          </w:p>
          <w:p>
            <w:pPr>
              <w:rPr>
                <w:rFonts w:hint="eastAsia" w:eastAsia="宋体"/>
                <w:lang w:val="en-US" w:eastAsia="zh-CN"/>
              </w:rPr>
            </w:pPr>
            <w:r>
              <w:rPr>
                <w:rFonts w:hint="eastAsia" w:asciiTheme="minorEastAsia" w:hAnsiTheme="minorEastAsia" w:eastAsiaTheme="minorEastAsia" w:cstheme="minorEastAsia"/>
                <w:lang w:val="en-US" w:eastAsia="zh-CN"/>
              </w:rPr>
              <w:t>《北京市生态环境局关于印发&lt;北京市生态环境行政处罚裁量权基准（2023年版）&gt;的通知》（京环发〔2023〕15号）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34"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1</w:t>
            </w:r>
          </w:p>
        </w:tc>
        <w:tc>
          <w:tcPr>
            <w:tcW w:w="1500"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不使用清洁能源</w:t>
            </w:r>
          </w:p>
        </w:tc>
        <w:tc>
          <w:tcPr>
            <w:tcW w:w="2789" w:type="dxa"/>
            <w:gridSpan w:val="2"/>
            <w:noWrap w:val="0"/>
            <w:vAlign w:val="center"/>
          </w:tcPr>
          <w:p>
            <w:pPr>
              <w:spacing w:line="232" w:lineRule="exact"/>
              <w:textAlignment w:val="center"/>
              <w:rPr>
                <w:rFonts w:ascii="宋体" w:hAnsi="宋体" w:eastAsia="宋体" w:cs="仿宋_GB2312"/>
                <w:kern w:val="0"/>
                <w:sz w:val="15"/>
                <w:szCs w:val="15"/>
              </w:rPr>
            </w:pPr>
            <w:r>
              <w:rPr>
                <w:rFonts w:hint="eastAsia" w:ascii="宋体" w:hAnsi="宋体" w:eastAsia="宋体" w:cs="仿宋_GB2312"/>
                <w:color w:val="000000"/>
                <w:kern w:val="0"/>
                <w:sz w:val="15"/>
                <w:szCs w:val="15"/>
                <w:lang w:bidi="ar"/>
              </w:rPr>
              <w:t>《北京市大气污染防治条例》违反条款：第五十三条第三款；处罚条款：第一百零三条第二款，责令限期改正，处一万元以上十万元以下罚款。</w:t>
            </w:r>
          </w:p>
        </w:tc>
        <w:tc>
          <w:tcPr>
            <w:tcW w:w="5784" w:type="dxa"/>
            <w:gridSpan w:val="3"/>
            <w:noWrap w:val="0"/>
            <w:vAlign w:val="center"/>
          </w:tcPr>
          <w:p>
            <w:pPr>
              <w:spacing w:line="232" w:lineRule="exact"/>
              <w:rPr>
                <w:rFonts w:ascii="宋体" w:hAnsi="宋体" w:eastAsia="宋体" w:cs="仿宋_GB2312"/>
                <w:kern w:val="0"/>
                <w:sz w:val="15"/>
                <w:szCs w:val="15"/>
              </w:rPr>
            </w:pPr>
            <w:r>
              <w:rPr>
                <w:rFonts w:hint="eastAsia" w:ascii="宋体" w:hAnsi="宋体" w:eastAsia="宋体" w:cs="仿宋_GB2312"/>
                <w:kern w:val="0"/>
                <w:sz w:val="15"/>
                <w:szCs w:val="15"/>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30"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cs="仿宋_GB2312"/>
                <w:kern w:val="0"/>
                <w:sz w:val="15"/>
                <w:szCs w:val="15"/>
                <w:lang w:val="en-US" w:eastAsia="zh-CN"/>
              </w:rPr>
              <w:t>2</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工业企业不能密闭的易产生扬尘的物料，未设置不低于堆放物高度的严密围挡，或者未采取有效覆盖措施防治扬尘污染</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《北京市大气污染防治条例》违反条款：第八十二条第一款；处罚条款：第一百二十条，责令改正，处一万元以上十万元以下罚款；拒不改正的，责令停工整治或者停业整治。</w:t>
            </w:r>
          </w:p>
        </w:tc>
        <w:tc>
          <w:tcPr>
            <w:tcW w:w="5784" w:type="dxa"/>
            <w:gridSpan w:val="3"/>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未密闭贮存易产生扬尘的物料，</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3"/>
              <w:spacing w:after="0" w:line="232" w:lineRule="exact"/>
              <w:ind w:left="0" w:leftChars="0" w:firstLine="0" w:firstLineChars="0"/>
              <w:textAlignment w:val="center"/>
              <w:rPr>
                <w:rFonts w:ascii="宋体" w:hAnsi="宋体" w:eastAsia="宋体" w:cs="仿宋_GB2312"/>
                <w:sz w:val="15"/>
                <w:szCs w:val="15"/>
              </w:rPr>
            </w:pPr>
            <w:r>
              <w:rPr>
                <w:rFonts w:hint="eastAsia" w:ascii="宋体" w:hAnsi="宋体" w:eastAsia="宋体" w:cs="仿宋_GB2312"/>
                <w:sz w:val="15"/>
                <w:szCs w:val="15"/>
              </w:rPr>
              <w:t>未设置严密围挡，或未采取有效覆盖措施防治扬尘，</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物料数量≤50立方米，1-2万元；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50立方米&lt;物料数量≤500立方米，2-4万元；</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物料数量 &gt;500立方米，4-10万元。</w:t>
            </w:r>
          </w:p>
          <w:p>
            <w:pPr>
              <w:pStyle w:val="23"/>
              <w:spacing w:after="0" w:line="232" w:lineRule="exact"/>
              <w:ind w:left="0" w:leftChars="0" w:firstLine="0" w:firstLineChars="0"/>
              <w:textAlignment w:val="center"/>
              <w:rPr>
                <w:rFonts w:ascii="宋体" w:hAnsi="宋体" w:eastAsia="宋体"/>
                <w:sz w:val="15"/>
                <w:szCs w:val="15"/>
              </w:rPr>
            </w:pPr>
            <w:r>
              <w:rPr>
                <w:rFonts w:hint="eastAsia" w:ascii="宋体" w:hAnsi="宋体" w:eastAsia="宋体" w:cs="仿宋_GB2312"/>
                <w:color w:val="000000"/>
                <w:kern w:val="0"/>
                <w:sz w:val="15"/>
                <w:szCs w:val="15"/>
                <w:lang w:bidi="ar"/>
              </w:rPr>
              <w:t>拒不改正的，责令停工整治或者停业整治。</w:t>
            </w:r>
          </w:p>
        </w:tc>
        <w:tc>
          <w:tcPr>
            <w:tcW w:w="2108" w:type="dxa"/>
            <w:gridSpan w:val="4"/>
            <w:noWrap w:val="0"/>
            <w:vAlign w:val="center"/>
          </w:tcPr>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可以从重处罚的情形</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1．两年内因同类环境违法行为被处罚3次（含3次）以上的；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2．重污染天气预警期间超标排放大气污染物的；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3．在案件查处中对执法人员进行威胁、辱骂、殴打、恐吓或者打击报复的；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4．环境违法行为造成跨行政区域环境污染的；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5．环境违法行为引起不良社会反响的；</w:t>
            </w:r>
          </w:p>
          <w:p>
            <w:pPr>
              <w:spacing w:line="232" w:lineRule="exact"/>
              <w:textAlignment w:val="center"/>
              <w:rPr>
                <w:rFonts w:ascii="宋体" w:hAnsi="宋体" w:eastAsia="宋体" w:cs="仿宋_GB2312"/>
                <w:sz w:val="15"/>
                <w:szCs w:val="15"/>
              </w:rPr>
            </w:pPr>
            <w:r>
              <w:rPr>
                <w:rFonts w:hint="eastAsia" w:ascii="宋体" w:hAnsi="宋体" w:eastAsia="宋体" w:cs="仿宋_GB2312"/>
                <w:sz w:val="15"/>
                <w:szCs w:val="15"/>
              </w:rPr>
              <w:t>6．其他具有从重情节的。</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53" w:hRule="atLeast"/>
        </w:trPr>
        <w:tc>
          <w:tcPr>
            <w:tcW w:w="14329" w:type="dxa"/>
            <w:gridSpan w:val="15"/>
            <w:noWrap w:val="0"/>
            <w:vAlign w:val="center"/>
          </w:tcPr>
          <w:p>
            <w:pPr>
              <w:pStyle w:val="3"/>
              <w:bidi w:val="0"/>
              <w:rPr>
                <w:rFonts w:hint="eastAsia"/>
                <w:sz w:val="21"/>
                <w:szCs w:val="21"/>
              </w:rPr>
            </w:pPr>
            <w:bookmarkStart w:id="205" w:name="_Toc1112894806"/>
            <w:bookmarkStart w:id="206" w:name="_Toc110851503"/>
            <w:bookmarkStart w:id="207" w:name="_Toc1642327804"/>
            <w:bookmarkStart w:id="208" w:name="_Toc1884371412"/>
            <w:r>
              <w:rPr>
                <w:rFonts w:hint="eastAsia"/>
                <w:sz w:val="21"/>
                <w:szCs w:val="21"/>
              </w:rPr>
              <w:t>水务管理方面</w:t>
            </w:r>
            <w:r>
              <w:rPr>
                <w:rFonts w:hint="eastAsia"/>
                <w:sz w:val="21"/>
                <w:szCs w:val="21"/>
                <w:lang w:val="en-US" w:eastAsia="zh-CN"/>
              </w:rPr>
              <w:t>20</w:t>
            </w:r>
            <w:r>
              <w:rPr>
                <w:rFonts w:hint="eastAsia"/>
                <w:sz w:val="21"/>
                <w:szCs w:val="21"/>
              </w:rPr>
              <w:t>项</w:t>
            </w:r>
            <w:bookmarkEnd w:id="205"/>
            <w:bookmarkEnd w:id="206"/>
            <w:bookmarkEnd w:id="207"/>
            <w:bookmarkEnd w:id="208"/>
          </w:p>
          <w:p>
            <w:pPr>
              <w:rPr>
                <w:rFonts w:hint="eastAsia"/>
              </w:rPr>
            </w:pPr>
          </w:p>
          <w:p>
            <w:pPr>
              <w:rPr>
                <w:rFonts w:hint="eastAsia" w:eastAsia="宋体"/>
                <w:lang w:eastAsia="zh-CN"/>
              </w:rPr>
            </w:pPr>
            <w:r>
              <w:rPr>
                <w:rFonts w:hint="eastAsia" w:ascii="宋体" w:hAnsi="宋体" w:eastAsia="宋体"/>
                <w:sz w:val="15"/>
                <w:szCs w:val="15"/>
                <w:lang w:eastAsia="zh-CN"/>
              </w:rPr>
              <w:t>《北京市水务局关于印发</w:t>
            </w:r>
            <w:r>
              <w:rPr>
                <w:rFonts w:hint="default" w:ascii="宋体" w:hAnsi="宋体"/>
                <w:sz w:val="15"/>
                <w:szCs w:val="15"/>
                <w:lang w:val="en-US" w:eastAsia="zh-CN"/>
              </w:rPr>
              <w:t>&lt;</w:t>
            </w:r>
            <w:r>
              <w:rPr>
                <w:rFonts w:hint="eastAsia" w:ascii="宋体" w:hAnsi="宋体" w:eastAsia="宋体"/>
                <w:sz w:val="15"/>
                <w:szCs w:val="15"/>
                <w:lang w:eastAsia="zh-CN"/>
              </w:rPr>
              <w:t>北京市常用水行政处罚裁量基准表</w:t>
            </w:r>
            <w:r>
              <w:rPr>
                <w:rFonts w:hint="default" w:ascii="宋体" w:hAnsi="宋体"/>
                <w:sz w:val="15"/>
                <w:szCs w:val="15"/>
                <w:lang w:val="en-US" w:eastAsia="zh-CN"/>
              </w:rPr>
              <w:t>&gt;</w:t>
            </w:r>
            <w:r>
              <w:rPr>
                <w:rFonts w:hint="eastAsia" w:ascii="宋体" w:hAnsi="宋体" w:eastAsia="宋体"/>
                <w:sz w:val="15"/>
                <w:szCs w:val="15"/>
                <w:lang w:eastAsia="zh-CN"/>
              </w:rPr>
              <w:t>的通知》</w:t>
            </w:r>
            <w:r>
              <w:rPr>
                <w:rFonts w:hint="eastAsia" w:ascii="宋体" w:hAnsi="宋体"/>
                <w:sz w:val="15"/>
                <w:szCs w:val="15"/>
                <w:lang w:eastAsia="zh-CN"/>
              </w:rPr>
              <w:t>（京水务法〔2023〕12号）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2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向雨水收集口、雨水管道排放或者倾倒污水、污物和垃圾等废弃物</w:t>
            </w:r>
          </w:p>
        </w:tc>
        <w:tc>
          <w:tcPr>
            <w:tcW w:w="2789" w:type="dxa"/>
            <w:gridSpan w:val="2"/>
            <w:noWrap w:val="0"/>
            <w:vAlign w:val="center"/>
          </w:tcPr>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《北京市水污染防治条例》</w:t>
            </w:r>
          </w:p>
          <w:p>
            <w:pPr>
              <w:spacing w:line="232" w:lineRule="exact"/>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违反条款：第三十九条第二款；处罚条款：第八十六条，责令停止违法行为，对个人处一千元以上一万元以下的罚款；对单位处一万元以上十万元以下的罚款。</w:t>
            </w:r>
          </w:p>
        </w:tc>
        <w:tc>
          <w:tcPr>
            <w:tcW w:w="5784" w:type="dxa"/>
            <w:gridSpan w:val="3"/>
            <w:noWrap w:val="0"/>
            <w:vAlign w:val="center"/>
          </w:tcPr>
          <w:p>
            <w:pPr>
              <w:pStyle w:val="23"/>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对单位：倾倒少量生活污水的，1万≤罚款额≤3万；排放或者倾倒污水污物和垃圾等废弃物，3万＜罚款额≤6万；排放或者倾倒污水污物和垃圾等废弃物，情节严重的，6万＜罚款额≤10万。</w:t>
            </w:r>
          </w:p>
          <w:p>
            <w:pPr>
              <w:pStyle w:val="23"/>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对个人：倾倒少量生活污水的，0.1万≤罚款额≤0.3万；排放或者倾倒污水污物和垃圾等废弃物，0.3万＜罚款额≤0.6万；</w:t>
            </w:r>
            <w:r>
              <w:rPr>
                <w:rFonts w:hint="eastAsia" w:ascii="宋体" w:hAnsi="宋体" w:eastAsia="宋体" w:cs="仿宋_GB2312"/>
                <w:color w:val="000000"/>
                <w:kern w:val="0"/>
                <w:sz w:val="15"/>
                <w:szCs w:val="15"/>
                <w:lang w:bidi="ar"/>
              </w:rPr>
              <w:tab/>
            </w:r>
            <w:r>
              <w:rPr>
                <w:rFonts w:hint="eastAsia" w:ascii="宋体" w:hAnsi="宋体" w:eastAsia="宋体" w:cs="仿宋_GB2312"/>
                <w:color w:val="000000"/>
                <w:kern w:val="0"/>
                <w:sz w:val="15"/>
                <w:szCs w:val="15"/>
                <w:lang w:bidi="ar"/>
              </w:rPr>
              <w:t>排放或者倾倒污水污物和垃圾等废弃物，情节严重的，0.6万＜罚款额≤1万。</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4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textAlignment w:val="center"/>
              <w:rPr>
                <w:rFonts w:ascii="宋体" w:hAnsi="宋体" w:eastAsia="宋体"/>
                <w:kern w:val="0"/>
                <w:sz w:val="15"/>
                <w:szCs w:val="15"/>
              </w:rPr>
            </w:pPr>
            <w:r>
              <w:rPr>
                <w:rFonts w:hint="eastAsia" w:ascii="宋体" w:hAnsi="宋体" w:eastAsia="宋体"/>
                <w:sz w:val="15"/>
                <w:szCs w:val="15"/>
              </w:rPr>
              <w:t>擅自倾倒、堆放、丢弃、遗撒污泥</w:t>
            </w:r>
          </w:p>
        </w:tc>
        <w:tc>
          <w:tcPr>
            <w:tcW w:w="2789" w:type="dxa"/>
            <w:gridSpan w:val="2"/>
            <w:noWrap w:val="0"/>
            <w:vAlign w:val="center"/>
          </w:tcPr>
          <w:p>
            <w:pPr>
              <w:spacing w:line="190" w:lineRule="exact"/>
              <w:textAlignment w:val="center"/>
              <w:rPr>
                <w:rFonts w:ascii="宋体" w:hAnsi="宋体" w:eastAsia="宋体"/>
                <w:kern w:val="0"/>
                <w:sz w:val="15"/>
                <w:szCs w:val="15"/>
              </w:rPr>
            </w:pPr>
            <w:r>
              <w:rPr>
                <w:rFonts w:hint="eastAsia" w:ascii="宋体" w:hAnsi="宋体" w:eastAsia="宋体"/>
                <w:sz w:val="15"/>
                <w:szCs w:val="15"/>
              </w:rPr>
              <w:t>《城镇排水与污水处理条例</w:t>
            </w:r>
            <w:r>
              <w:rPr>
                <w:rFonts w:hint="eastAsia" w:ascii="宋体" w:hAnsi="宋体" w:eastAsia="宋体"/>
                <w:spacing w:val="-4"/>
                <w:sz w:val="15"/>
                <w:szCs w:val="15"/>
              </w:rPr>
              <w:t>》违反条款：第三十条；处罚条款：第五十三条第二款，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r>
              <w:rPr>
                <w:rFonts w:hint="eastAsia" w:ascii="宋体" w:hAnsi="宋体" w:eastAsia="宋体"/>
                <w:sz w:val="15"/>
                <w:szCs w:val="15"/>
              </w:rPr>
              <w:br w:type="textWrapping"/>
            </w:r>
            <w:r>
              <w:rPr>
                <w:rFonts w:hint="eastAsia" w:ascii="宋体" w:hAnsi="宋体" w:eastAsia="宋体"/>
                <w:sz w:val="15"/>
                <w:szCs w:val="15"/>
              </w:rPr>
              <w:t>《中华人民共和国固体废物污染环境防治法》违反条款：第七十二条第一款；处罚条款：第一百零八条第二款，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tc>
        <w:tc>
          <w:tcPr>
            <w:tcW w:w="5784" w:type="dxa"/>
            <w:gridSpan w:val="3"/>
            <w:noWrap w:val="0"/>
            <w:vAlign w:val="center"/>
          </w:tcPr>
          <w:p>
            <w:pPr>
              <w:pStyle w:val="23"/>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2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因巡查、维护不到位，导致窨井盖丢失、损毁，造成人员伤亡和财产损失</w:t>
            </w:r>
          </w:p>
        </w:tc>
        <w:tc>
          <w:tcPr>
            <w:tcW w:w="2789"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城镇排水与污水处理条例》违反条款：第三十八条第一款；处罚条款：第五十五条第一款第（三）项，责令改正，给予警告；逾期不改正或者造成严重后果的，处10万元以上50万元以下罚款；造成损失的，依法承担赔偿责任；构成犯罪的，依法追究刑事责任。</w:t>
            </w:r>
          </w:p>
        </w:tc>
        <w:tc>
          <w:tcPr>
            <w:tcW w:w="5784" w:type="dxa"/>
            <w:gridSpan w:val="3"/>
            <w:noWrap w:val="0"/>
            <w:vAlign w:val="center"/>
          </w:tcPr>
          <w:p>
            <w:pPr>
              <w:pStyle w:val="23"/>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逾期不改正，但未造成其他严重后果的，10万≤罚款额≤30万；</w:t>
            </w:r>
          </w:p>
          <w:p>
            <w:pPr>
              <w:pStyle w:val="23"/>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造成财产损失的，30万＜罚款额≤40万；</w:t>
            </w:r>
          </w:p>
          <w:p>
            <w:pPr>
              <w:pStyle w:val="23"/>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造成人员伤亡的，40万＜罚款额≤50万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textAlignment w:val="center"/>
              <w:rPr>
                <w:rFonts w:ascii="宋体" w:hAnsi="宋体" w:eastAsia="宋体"/>
                <w:sz w:val="15"/>
                <w:szCs w:val="15"/>
              </w:rPr>
            </w:pPr>
            <w:r>
              <w:rPr>
                <w:rFonts w:hint="eastAsia" w:ascii="宋体" w:hAnsi="宋体" w:eastAsia="宋体"/>
                <w:sz w:val="15"/>
                <w:szCs w:val="15"/>
              </w:rPr>
              <w:t>在河湖管理范围、保护范围内围河、挖筑鱼塘、挖坑开槽、勘探或者设立线杆、线塔、无线通信塔、标识</w:t>
            </w:r>
          </w:p>
        </w:tc>
        <w:tc>
          <w:tcPr>
            <w:tcW w:w="2789" w:type="dxa"/>
            <w:gridSpan w:val="2"/>
            <w:noWrap w:val="0"/>
            <w:vAlign w:val="center"/>
          </w:tcPr>
          <w:p>
            <w:pPr>
              <w:spacing w:line="216" w:lineRule="exact"/>
              <w:textAlignment w:val="center"/>
              <w:rPr>
                <w:rFonts w:ascii="宋体" w:hAnsi="宋体" w:eastAsia="宋体"/>
                <w:sz w:val="15"/>
                <w:szCs w:val="15"/>
              </w:rPr>
            </w:pPr>
            <w:r>
              <w:rPr>
                <w:rFonts w:hint="eastAsia" w:ascii="宋体" w:hAnsi="宋体" w:eastAsia="宋体"/>
                <w:sz w:val="15"/>
                <w:szCs w:val="15"/>
              </w:rPr>
              <w:t>《北京市河湖保护管理条例》违反条款：第二十条第一款第（二）项；处罚条款：第三十九条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3"/>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在保护范围内，1万≤罚款额≤3万；</w:t>
            </w:r>
          </w:p>
          <w:p>
            <w:pPr>
              <w:pStyle w:val="23"/>
              <w:spacing w:after="0" w:line="232" w:lineRule="exact"/>
              <w:ind w:left="0" w:leftChars="0" w:firstLine="0" w:firstLineChars="0"/>
              <w:textAlignment w:val="center"/>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在管理范围内，3万＜罚款额≤5万</w:t>
            </w:r>
            <w:r>
              <w:rPr>
                <w:rFonts w:ascii="宋体" w:hAnsi="宋体" w:eastAsia="宋体" w:cs="仿宋_GB2312"/>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r>
              <w:rPr>
                <w:rFonts w:hint="eastAsia" w:ascii="宋体" w:hAnsi="宋体" w:eastAsia="宋体" w:cs="仿宋_GB2312"/>
                <w:sz w:val="15"/>
                <w:szCs w:val="15"/>
              </w:rPr>
              <w:t>备注：危害活动同时涉及管理范围和保护范围的，按在管理范围内确定罚款额。</w:t>
            </w: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在河湖管理范围、保护范围内设置固定停车场所</w:t>
            </w:r>
          </w:p>
        </w:tc>
        <w:tc>
          <w:tcPr>
            <w:tcW w:w="2789" w:type="dxa"/>
            <w:gridSpan w:val="2"/>
            <w:noWrap w:val="0"/>
            <w:vAlign w:val="center"/>
          </w:tcPr>
          <w:p>
            <w:pPr>
              <w:spacing w:line="216" w:lineRule="exact"/>
              <w:rPr>
                <w:rFonts w:ascii="宋体" w:hAnsi="宋体" w:eastAsia="宋体"/>
                <w:sz w:val="15"/>
                <w:szCs w:val="15"/>
              </w:rPr>
            </w:pPr>
            <w:r>
              <w:rPr>
                <w:rFonts w:hint="eastAsia" w:ascii="宋体" w:hAnsi="宋体" w:eastAsia="宋体"/>
                <w:sz w:val="15"/>
                <w:szCs w:val="15"/>
              </w:rPr>
              <w:t>《北京市河湖保护管理条例》违反条款：第二十条第一款第（三）项；处罚条款：第三十九条第（二）项，责令停止违法行为，限期补办行政许可手续，处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3"/>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在河湖管理范围、保护范围内修路，或者修建园林小品、管理房及其附属设施</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一款第（四）项；处罚条款：第三十九条第（三）项，责令停止违法行为，限期补办行政许可手续，处1万元以上10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3"/>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在河湖管理范围、保护范围内进行河道改线、开挖人工湖泊</w:t>
            </w:r>
          </w:p>
        </w:tc>
        <w:tc>
          <w:tcPr>
            <w:tcW w:w="2789" w:type="dxa"/>
            <w:gridSpan w:val="2"/>
            <w:noWrap w:val="0"/>
            <w:vAlign w:val="center"/>
          </w:tcPr>
          <w:p>
            <w:pPr>
              <w:spacing w:line="204" w:lineRule="exact"/>
              <w:rPr>
                <w:rFonts w:ascii="宋体" w:hAnsi="宋体" w:eastAsia="宋体"/>
                <w:sz w:val="15"/>
                <w:szCs w:val="15"/>
              </w:rPr>
            </w:pPr>
            <w:r>
              <w:rPr>
                <w:rFonts w:hint="eastAsia" w:ascii="宋体" w:hAnsi="宋体" w:eastAsia="宋体"/>
                <w:sz w:val="15"/>
                <w:szCs w:val="15"/>
              </w:rPr>
              <w:t>《北京市河湖保护管理条例》违反条款：第二十条第三款；处罚条款：第三十九条第（五）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noWrap w:val="0"/>
            <w:vAlign w:val="center"/>
          </w:tcPr>
          <w:p>
            <w:pPr>
              <w:pStyle w:val="23"/>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毁坏或者拆除保护名录中的水工建筑物、构筑物、遗址</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《北京市河湖保护管理条例》违反条款：第二十四条第二款；处罚条款：第四十二条，责令其停止违法行为，限期恢复原状，处10万元以上50万元以下的罚款。</w:t>
            </w:r>
          </w:p>
        </w:tc>
        <w:tc>
          <w:tcPr>
            <w:tcW w:w="5784" w:type="dxa"/>
            <w:gridSpan w:val="3"/>
            <w:noWrap w:val="0"/>
            <w:vAlign w:val="center"/>
          </w:tcPr>
          <w:p>
            <w:pPr>
              <w:pStyle w:val="23"/>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9</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开展水上旅游项目或者其他利用活动时使用以柴油、汽油为动力的游船</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《北京市河湖保护管理条例》违反条款：第三十一条第一款；处罚条款：第四十四条第一款，责令停止违法行为，限期改正，处8000元以上8万元以下的罚款；造成损失的，依法赔偿损失或者采取补救措施。</w:t>
            </w:r>
          </w:p>
        </w:tc>
        <w:tc>
          <w:tcPr>
            <w:tcW w:w="5784" w:type="dxa"/>
            <w:gridSpan w:val="3"/>
            <w:noWrap w:val="0"/>
            <w:vAlign w:val="center"/>
          </w:tcPr>
          <w:p>
            <w:pPr>
              <w:pStyle w:val="23"/>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34"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10</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未经批准擅自利用河湖进行开发利用活动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《北京市河湖保护管理条例》违反条款：第三十一条第二款；处罚条款：第四十四条第二款，责令停止违法行为，限期改正，处2万元以上10万元以下的罚款。</w:t>
            </w:r>
          </w:p>
        </w:tc>
        <w:tc>
          <w:tcPr>
            <w:tcW w:w="5784" w:type="dxa"/>
            <w:gridSpan w:val="3"/>
            <w:noWrap w:val="0"/>
            <w:vAlign w:val="center"/>
          </w:tcPr>
          <w:p>
            <w:pPr>
              <w:pStyle w:val="23"/>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11</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在地表饮用水水源一级保护区的水域内垂钓</w:t>
            </w:r>
          </w:p>
        </w:tc>
        <w:tc>
          <w:tcPr>
            <w:tcW w:w="2789" w:type="dxa"/>
            <w:gridSpan w:val="2"/>
            <w:noWrap w:val="0"/>
            <w:vAlign w:val="center"/>
          </w:tcPr>
          <w:p>
            <w:pPr>
              <w:spacing w:line="212" w:lineRule="exact"/>
              <w:rPr>
                <w:rFonts w:ascii="宋体" w:hAnsi="宋体" w:eastAsia="宋体"/>
                <w:spacing w:val="-4"/>
                <w:sz w:val="15"/>
                <w:szCs w:val="15"/>
              </w:rPr>
            </w:pPr>
            <w:r>
              <w:rPr>
                <w:rFonts w:hint="eastAsia" w:ascii="宋体" w:hAnsi="宋体" w:eastAsia="宋体"/>
                <w:spacing w:val="-4"/>
                <w:sz w:val="15"/>
                <w:szCs w:val="15"/>
              </w:rPr>
              <w:t xml:space="preserve">《北京市水污染防治条例》违反条款：第五十七条第二款；处罚条款：第八十条第二款，责令停止违法行为，并可以处五百元以下的罚款。                                                                            </w:t>
            </w:r>
          </w:p>
        </w:tc>
        <w:tc>
          <w:tcPr>
            <w:tcW w:w="5784" w:type="dxa"/>
            <w:gridSpan w:val="3"/>
            <w:noWrap w:val="0"/>
            <w:vAlign w:val="center"/>
          </w:tcPr>
          <w:p>
            <w:pPr>
              <w:pStyle w:val="23"/>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12</w:t>
            </w:r>
          </w:p>
        </w:tc>
        <w:tc>
          <w:tcPr>
            <w:tcW w:w="1500" w:type="dxa"/>
            <w:gridSpan w:val="2"/>
            <w:noWrap w:val="0"/>
            <w:vAlign w:val="center"/>
          </w:tcPr>
          <w:p>
            <w:pPr>
              <w:spacing w:line="212" w:lineRule="exact"/>
              <w:rPr>
                <w:rFonts w:ascii="宋体" w:hAnsi="宋体" w:eastAsia="宋体"/>
                <w:sz w:val="15"/>
                <w:szCs w:val="15"/>
              </w:rPr>
            </w:pPr>
            <w:r>
              <w:rPr>
                <w:rFonts w:hint="eastAsia" w:ascii="宋体" w:hAnsi="宋体" w:eastAsia="宋体"/>
                <w:sz w:val="15"/>
                <w:szCs w:val="15"/>
              </w:rPr>
              <w:t>在堤防和护堤地，从事放牧、葬坟、晒粮、开渠、打井、挖窖、取土、存放物料、开办集市贸易、开采地下资源、进行考古发掘等活动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《北京市河湖保护管理条例》违反条款：第十九条第（六）项；处罚条款：第三十八条，责令停止违法行为，排除阻碍或者采取其他补救措施，可以处5万元以下罚款，有违法所得的，没收违法所得。                                     </w:t>
            </w:r>
          </w:p>
        </w:tc>
        <w:tc>
          <w:tcPr>
            <w:tcW w:w="5784" w:type="dxa"/>
            <w:gridSpan w:val="3"/>
            <w:noWrap w:val="0"/>
            <w:vAlign w:val="center"/>
          </w:tcPr>
          <w:p>
            <w:pPr>
              <w:pStyle w:val="23"/>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在堤防上及大型渠道内垦</w:t>
            </w:r>
            <w:r>
              <w:rPr>
                <w:rFonts w:hint="eastAsia" w:ascii="宋体" w:hAnsi="宋体" w:eastAsia="宋体"/>
                <w:sz w:val="15"/>
                <w:szCs w:val="15"/>
                <w:lang w:eastAsia="zh-CN"/>
              </w:rPr>
              <w:t>殖</w:t>
            </w:r>
            <w:r>
              <w:rPr>
                <w:rFonts w:hint="eastAsia" w:ascii="宋体" w:hAnsi="宋体" w:eastAsia="宋体"/>
                <w:sz w:val="15"/>
                <w:szCs w:val="15"/>
              </w:rPr>
              <w:t>、放牧</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《北京市水利工程保护管理条例》违反条款：第九条第（七）项；处罚条款：第二十一条第（四）项，除责令纠正违法行为、赔偿损失、采取补救措施外，并可以处警告、200元以下罚款。在堤坝及大型渠道垦</w:t>
            </w:r>
            <w:r>
              <w:rPr>
                <w:rFonts w:hint="eastAsia" w:ascii="宋体" w:hAnsi="宋体" w:eastAsia="宋体"/>
                <w:sz w:val="15"/>
                <w:szCs w:val="15"/>
                <w:lang w:eastAsia="zh-CN"/>
              </w:rPr>
              <w:t>殖</w:t>
            </w:r>
            <w:r>
              <w:rPr>
                <w:rFonts w:hint="eastAsia" w:ascii="宋体" w:hAnsi="宋体" w:eastAsia="宋体"/>
                <w:sz w:val="15"/>
                <w:szCs w:val="15"/>
              </w:rPr>
              <w:t xml:space="preserve">的，还应令其恢复地貌。 </w:t>
            </w:r>
          </w:p>
        </w:tc>
        <w:tc>
          <w:tcPr>
            <w:tcW w:w="5784" w:type="dxa"/>
            <w:gridSpan w:val="3"/>
            <w:noWrap w:val="0"/>
            <w:vAlign w:val="center"/>
          </w:tcPr>
          <w:p>
            <w:pPr>
              <w:pStyle w:val="23"/>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08"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在河道、湖泊管理范围内倾倒垃圾、渣土从事影响河势稳定、危害河岸堤防安全和其他妨碍河道行洪的活动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 xml:space="preserve">《中华人民共和国防洪法》违反条款：第二十二条第二款；处罚条款：第五十五条第（二）项，责令停止违法行为，排除阻碍或者采取其他补救措施，可以处五万元以下的罚款。                                                                  </w:t>
            </w:r>
            <w:r>
              <w:rPr>
                <w:rFonts w:hint="eastAsia" w:ascii="宋体" w:hAnsi="宋体" w:eastAsia="宋体"/>
                <w:sz w:val="15"/>
                <w:szCs w:val="15"/>
              </w:rPr>
              <w:br w:type="textWrapping"/>
            </w:r>
            <w:r>
              <w:rPr>
                <w:rFonts w:hint="eastAsia" w:ascii="宋体" w:hAnsi="宋体" w:eastAsia="宋体"/>
                <w:sz w:val="15"/>
                <w:szCs w:val="15"/>
              </w:rPr>
              <w:t>《北京市水利工程保护管理条例》违反条款：第九条第（三）项；处罚条款：第二十一条第（二）项，责令排除阻碍或者采取其他补救措施，可以处5万元以下罚款。</w:t>
            </w:r>
          </w:p>
        </w:tc>
        <w:tc>
          <w:tcPr>
            <w:tcW w:w="5784" w:type="dxa"/>
            <w:gridSpan w:val="3"/>
            <w:noWrap w:val="0"/>
            <w:vAlign w:val="center"/>
          </w:tcPr>
          <w:p>
            <w:pPr>
              <w:pStyle w:val="23"/>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倾倒量≤5m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，罚款额≤1万；5m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倾倒量≤10m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，1万＜罚款额≤2万；10m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倾倒量≤20m</w:t>
            </w:r>
            <w:r>
              <w:rPr>
                <w:rFonts w:ascii="宋体" w:hAnsi="宋体" w:eastAsia="宋体" w:cs="Calibri"/>
                <w:color w:val="000000"/>
                <w:kern w:val="0"/>
                <w:sz w:val="15"/>
                <w:szCs w:val="15"/>
                <w:lang w:bidi="ar"/>
              </w:rPr>
              <w:t>³</w:t>
            </w:r>
            <w:r>
              <w:rPr>
                <w:rFonts w:hint="eastAsia" w:ascii="宋体" w:hAnsi="宋体" w:eastAsia="宋体" w:cs="Calibri"/>
                <w:color w:val="000000"/>
                <w:kern w:val="0"/>
                <w:sz w:val="15"/>
                <w:szCs w:val="15"/>
                <w:lang w:bidi="ar"/>
              </w:rPr>
              <w:t>，2万＜罚款额≤3万；20m</w:t>
            </w:r>
            <w:r>
              <w:rPr>
                <w:rFonts w:ascii="宋体" w:hAnsi="宋体" w:eastAsia="宋体" w:cs="Calibri"/>
                <w:color w:val="000000"/>
                <w:kern w:val="0"/>
                <w:sz w:val="15"/>
                <w:szCs w:val="15"/>
                <w:lang w:bidi="ar"/>
              </w:rPr>
              <w:t>³</w:t>
            </w:r>
            <w:r>
              <w:rPr>
                <w:rFonts w:hint="eastAsia" w:ascii="宋体" w:hAnsi="宋体" w:eastAsia="宋体" w:cs="仿宋_GB2312"/>
                <w:color w:val="000000"/>
                <w:kern w:val="0"/>
                <w:sz w:val="15"/>
                <w:szCs w:val="15"/>
                <w:lang w:bidi="ar"/>
              </w:rPr>
              <w:t>＜</w:t>
            </w:r>
            <w:r>
              <w:rPr>
                <w:rFonts w:hint="eastAsia" w:ascii="宋体" w:hAnsi="宋体" w:eastAsia="宋体" w:cs="Calibri"/>
                <w:color w:val="000000"/>
                <w:kern w:val="0"/>
                <w:sz w:val="15"/>
                <w:szCs w:val="15"/>
                <w:lang w:bidi="ar"/>
              </w:rPr>
              <w:t>倾倒量，3万＜罚款额≤5万</w:t>
            </w:r>
            <w:r>
              <w:rPr>
                <w:rFonts w:ascii="宋体" w:hAnsi="宋体" w:eastAsia="宋体" w:cs="Calibri"/>
                <w:color w:val="000000"/>
                <w:kern w:val="0"/>
                <w:sz w:val="15"/>
                <w:szCs w:val="15"/>
                <w:lang w:bidi="ar"/>
              </w:rPr>
              <w:t>。</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6"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在地表饮用水水源保护区和准保护区内、组织水上旅游或者其他可能污染饮用水水源活动</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《北京市水污染防治条例》违反条款：第六十条第一款第（一）项、第（二）项、第（三）项；第六十条第二款；处罚条款：第八十条第二款，责令停止违法行为，并处二万元以上十万元以下的罚款。</w:t>
            </w:r>
          </w:p>
        </w:tc>
        <w:tc>
          <w:tcPr>
            <w:tcW w:w="5784" w:type="dxa"/>
            <w:gridSpan w:val="3"/>
            <w:noWrap w:val="0"/>
            <w:vAlign w:val="center"/>
          </w:tcPr>
          <w:p>
            <w:pPr>
              <w:pStyle w:val="23"/>
              <w:spacing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2"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6</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在生态清洁小流域范围内的沟道内私搭乱建、堆放物品</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《北京市水土保持条例》违反条款：第二十条第一款第（一）项；处罚条款：第三十六条，责令改正，对个人可处500元以上5000元以下罚款；对单位可处1万元以上10万元以下罚款。</w:t>
            </w:r>
          </w:p>
        </w:tc>
        <w:tc>
          <w:tcPr>
            <w:tcW w:w="5784" w:type="dxa"/>
            <w:gridSpan w:val="3"/>
            <w:noWrap w:val="0"/>
            <w:vAlign w:val="center"/>
          </w:tcPr>
          <w:p>
            <w:pPr>
              <w:pStyle w:val="23"/>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96"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7</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在生态清洁小流域范围内随意取土、挖砂、倾倒垃圾、排放污水</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《北京市水土保持条例》违反条款：第二十条第一款第（二）项；处罚条款：第三十六条，责令改正，对个人可处500元以上5000元以下罚款；对单位可处1万元以上10万元以下罚款。</w:t>
            </w:r>
          </w:p>
        </w:tc>
        <w:tc>
          <w:tcPr>
            <w:tcW w:w="5784" w:type="dxa"/>
            <w:gridSpan w:val="3"/>
            <w:noWrap w:val="0"/>
            <w:vAlign w:val="center"/>
          </w:tcPr>
          <w:p>
            <w:pPr>
              <w:pStyle w:val="23"/>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71" w:hRule="atLeast"/>
        </w:trPr>
        <w:tc>
          <w:tcPr>
            <w:tcW w:w="940" w:type="dxa"/>
            <w:gridSpan w:val="2"/>
            <w:noWrap w:val="0"/>
            <w:vAlign w:val="center"/>
          </w:tcPr>
          <w:p>
            <w:pPr>
              <w:spacing w:line="232" w:lineRule="exact"/>
              <w:jc w:val="center"/>
              <w:rPr>
                <w:rFonts w:hint="eastAsia" w:ascii="宋体" w:hAnsi="宋体" w:eastAsia="宋体" w:cs="仿宋_GB2312"/>
                <w:kern w:val="0"/>
                <w:sz w:val="15"/>
                <w:szCs w:val="15"/>
                <w:lang w:eastAsia="zh-CN"/>
              </w:rPr>
            </w:pPr>
            <w:r>
              <w:rPr>
                <w:rFonts w:hint="eastAsia" w:ascii="宋体" w:hAnsi="宋体" w:eastAsia="宋体" w:cs="仿宋_GB2312"/>
                <w:kern w:val="0"/>
                <w:sz w:val="15"/>
                <w:szCs w:val="15"/>
              </w:rPr>
              <w:t>1</w:t>
            </w:r>
            <w:r>
              <w:rPr>
                <w:rFonts w:hint="eastAsia" w:ascii="宋体" w:hAnsi="宋体" w:cs="仿宋_GB2312"/>
                <w:kern w:val="0"/>
                <w:sz w:val="15"/>
                <w:szCs w:val="15"/>
                <w:lang w:val="en-US" w:eastAsia="zh-CN"/>
              </w:rPr>
              <w:t>8</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在生态清洁小流域范围内破坏水土保持设施或者干扰其正常运行</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《北京市水土保持条例》违反条款：第二十条第一款第（三）项；处罚条款：第三十六条，责令改正，对个人可处500元以上5000元以下罚款；对单位可处1万元以上10万元以下罚款。</w:t>
            </w:r>
          </w:p>
        </w:tc>
        <w:tc>
          <w:tcPr>
            <w:tcW w:w="5784" w:type="dxa"/>
            <w:gridSpan w:val="3"/>
            <w:noWrap w:val="0"/>
            <w:vAlign w:val="center"/>
          </w:tcPr>
          <w:p>
            <w:pPr>
              <w:pStyle w:val="23"/>
              <w:spacing w:line="232"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hint="default" w:ascii="宋体" w:hAnsi="宋体" w:eastAsia="宋体" w:cs="仿宋_GB2312"/>
                <w:kern w:val="0"/>
                <w:sz w:val="15"/>
                <w:szCs w:val="15"/>
                <w:lang w:val="en-US" w:eastAsia="zh-CN"/>
              </w:rPr>
            </w:pPr>
            <w:r>
              <w:rPr>
                <w:rFonts w:hint="eastAsia" w:ascii="宋体" w:hAnsi="宋体" w:cs="仿宋_GB2312"/>
                <w:kern w:val="0"/>
                <w:sz w:val="15"/>
                <w:szCs w:val="15"/>
                <w:lang w:val="en-US" w:eastAsia="zh-CN"/>
              </w:rPr>
              <w:t>19</w:t>
            </w:r>
          </w:p>
        </w:tc>
        <w:tc>
          <w:tcPr>
            <w:tcW w:w="1500"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擅自在河湖管理范围内新建、改建或者扩大排水口</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《北京市河湖保护管理条例》违反条款：第二十八条第一款；处罚条款：第四十三条，责令停止违法行为，限期恢复原状，处5万元以上10万元以下的罚款。</w:t>
            </w:r>
          </w:p>
        </w:tc>
        <w:tc>
          <w:tcPr>
            <w:tcW w:w="5784" w:type="dxa"/>
            <w:gridSpan w:val="3"/>
            <w:noWrap w:val="0"/>
            <w:vAlign w:val="center"/>
          </w:tcPr>
          <w:p>
            <w:pPr>
              <w:pStyle w:val="23"/>
              <w:spacing w:after="0" w:line="210" w:lineRule="exact"/>
              <w:ind w:left="0" w:leftChars="0" w:firstLine="0" w:firstLineChars="0"/>
              <w:jc w:val="left"/>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无</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shd w:val="clear" w:color="auto" w:fill="auto"/>
            <w:noWrap w:val="0"/>
            <w:vAlign w:val="center"/>
          </w:tcPr>
          <w:p>
            <w:pPr>
              <w:spacing w:line="232" w:lineRule="exact"/>
              <w:jc w:val="center"/>
              <w:rPr>
                <w:rFonts w:hint="default" w:ascii="宋体" w:hAnsi="宋体" w:eastAsia="宋体" w:cs="仿宋_GB2312"/>
                <w:kern w:val="0"/>
                <w:sz w:val="15"/>
                <w:szCs w:val="15"/>
                <w:lang w:val="en-US" w:eastAsia="zh-CN" w:bidi="ar-SA"/>
              </w:rPr>
            </w:pPr>
            <w:bookmarkStart w:id="209" w:name="_Toc1290044525"/>
            <w:bookmarkStart w:id="210" w:name="_Toc110851504"/>
            <w:bookmarkStart w:id="211" w:name="_Toc473764242"/>
            <w:r>
              <w:rPr>
                <w:rFonts w:hint="default" w:ascii="宋体" w:hAnsi="宋体" w:eastAsia="宋体" w:cs="仿宋_GB2312"/>
                <w:kern w:val="0"/>
                <w:sz w:val="15"/>
                <w:szCs w:val="15"/>
                <w:lang w:val="en-US"/>
              </w:rPr>
              <w:t>20</w:t>
            </w:r>
          </w:p>
        </w:tc>
        <w:tc>
          <w:tcPr>
            <w:tcW w:w="1500" w:type="dxa"/>
            <w:gridSpan w:val="2"/>
            <w:shd w:val="clear" w:color="auto" w:fill="auto"/>
            <w:noWrap w:val="0"/>
            <w:vAlign w:val="center"/>
          </w:tcPr>
          <w:p>
            <w:pPr>
              <w:spacing w:line="232"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在河道、湖泊管理范围内建设妨碍行洪的建筑物、构筑物，或者从事影响河势稳定、危害河岸堤防安全和其他妨碍河道行洪的活动</w:t>
            </w:r>
          </w:p>
        </w:tc>
        <w:tc>
          <w:tcPr>
            <w:tcW w:w="2789" w:type="dxa"/>
            <w:gridSpan w:val="2"/>
            <w:shd w:val="clear" w:color="auto" w:fill="auto"/>
            <w:noWrap w:val="0"/>
            <w:vAlign w:val="center"/>
          </w:tcPr>
          <w:p>
            <w:pPr>
              <w:spacing w:line="232" w:lineRule="exact"/>
              <w:jc w:val="left"/>
              <w:rPr>
                <w:rFonts w:ascii="宋体" w:hAnsi="宋体" w:eastAsia="宋体"/>
                <w:sz w:val="15"/>
                <w:szCs w:val="15"/>
              </w:rPr>
            </w:pPr>
            <w:r>
              <w:rPr>
                <w:rFonts w:hint="eastAsia" w:ascii="宋体" w:hAnsi="宋体" w:eastAsia="宋体"/>
                <w:sz w:val="15"/>
                <w:szCs w:val="15"/>
              </w:rPr>
              <w:t>《中华人民共和国水法》违反条款：第三十七条第二款；处罚条款：第六十五条第一款，责令停止违法行为，限期拆除违法建筑物、构筑物，恢复原状；逾期不拆除、不恢复原状的，强行拆除，所需费用由违法单位或者个人负担，并处一万元以上十万元以下的罚款。                                                   《中华人民共和国防洪法》违反条款：第二十二条第二款、第三款；处罚条款：第五十五条第（一）项、第（二）项、第（三）项，责令停止违法行为，排除阻碍或者采取其他补救措施，可以处五万元以下的罚款。                                                                                                                           《北京市水利工程保护管理条例》违反条款：第九条第（二）项、第（八）项；处罚条款：第二十一条第（二）项 有下列行为之一的单位或个人，给予处罚：（二）违反本条例第九条第二项、第三项、第八项规定的，责令排除阻碍或者采取其他补救措施，可以处5万元以下罚款。</w:t>
            </w:r>
          </w:p>
          <w:p>
            <w:pPr>
              <w:spacing w:line="204" w:lineRule="exact"/>
              <w:rPr>
                <w:rFonts w:hint="eastAsia" w:ascii="宋体" w:hAnsi="宋体" w:eastAsia="宋体" w:cs="Times New Roman"/>
                <w:kern w:val="2"/>
                <w:sz w:val="15"/>
                <w:szCs w:val="15"/>
                <w:lang w:val="en-US" w:eastAsia="zh-CN" w:bidi="ar-SA"/>
              </w:rPr>
            </w:pPr>
            <w:r>
              <w:rPr>
                <w:rFonts w:hint="eastAsia" w:ascii="宋体" w:hAnsi="宋体" w:eastAsia="宋体"/>
                <w:sz w:val="15"/>
                <w:szCs w:val="15"/>
              </w:rPr>
              <w:t>《北京市河湖保护管理条例》违反条款：第二十条第一款第（四）项；处罚条款：第三十九第（一）项，责令停止违法行为，限期补办行政许可手续，处1万元以上5万元以下的罚款；逾期未能取得行政许可手续的，责令限期恢复原状，赔偿损失或者采取补救措施。逾期不恢复原状的，按程序依法强制清除，所需费用由当事人承担。</w:t>
            </w:r>
          </w:p>
        </w:tc>
        <w:tc>
          <w:tcPr>
            <w:tcW w:w="5784" w:type="dxa"/>
            <w:gridSpan w:val="3"/>
            <w:shd w:val="clear" w:color="auto" w:fill="auto"/>
            <w:noWrap w:val="0"/>
            <w:vAlign w:val="center"/>
          </w:tcPr>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1</w:t>
            </w:r>
            <w:r>
              <w:rPr>
                <w:rFonts w:ascii="宋体" w:hAnsi="宋体" w:eastAsia="宋体" w:cs="仿宋_GB2312"/>
                <w:color w:val="000000"/>
                <w:kern w:val="0"/>
                <w:sz w:val="15"/>
                <w:szCs w:val="15"/>
                <w:lang w:bidi="ar"/>
              </w:rPr>
              <w:t>.</w:t>
            </w:r>
            <w:r>
              <w:rPr>
                <w:rFonts w:hint="eastAsia" w:ascii="宋体" w:hAnsi="宋体" w:eastAsia="宋体" w:cs="仿宋_GB2312"/>
                <w:color w:val="000000"/>
                <w:kern w:val="0"/>
                <w:sz w:val="15"/>
                <w:szCs w:val="15"/>
                <w:lang w:bidi="ar"/>
              </w:rPr>
              <w:t>依据《中华人民共和国水法》处罚：</w:t>
            </w:r>
          </w:p>
          <w:p>
            <w:pPr>
              <w:pStyle w:val="23"/>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仿宋_GB2312"/>
                <w:color w:val="000000"/>
                <w:kern w:val="0"/>
                <w:sz w:val="15"/>
                <w:szCs w:val="15"/>
                <w:lang w:bidi="ar"/>
              </w:rPr>
              <w:t>在限期内拆除，恢复原状的，不予处罚；逾期不拆除，不恢复原状的，占地面积≤25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，3万＜罚款额≤6万；100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＜占地面积，6万＜罚款额≤10万</w:t>
            </w:r>
            <w:r>
              <w:rPr>
                <w:rFonts w:ascii="宋体" w:hAnsi="宋体" w:eastAsia="宋体" w:cs="Batang"/>
                <w:color w:val="000000"/>
                <w:kern w:val="0"/>
                <w:sz w:val="15"/>
                <w:szCs w:val="15"/>
                <w:lang w:bidi="ar"/>
              </w:rPr>
              <w:t>。</w:t>
            </w:r>
          </w:p>
          <w:p>
            <w:pPr>
              <w:pStyle w:val="23"/>
              <w:spacing w:after="0" w:line="232" w:lineRule="exact"/>
              <w:ind w:left="0" w:leftChars="0" w:firstLine="0" w:firstLineChars="0"/>
              <w:rPr>
                <w:rFonts w:ascii="宋体" w:hAnsi="宋体" w:eastAsia="宋体" w:cs="Batang"/>
                <w:color w:val="000000"/>
                <w:kern w:val="0"/>
                <w:sz w:val="15"/>
                <w:szCs w:val="15"/>
                <w:lang w:bidi="ar"/>
              </w:rPr>
            </w:pPr>
            <w:r>
              <w:rPr>
                <w:rFonts w:hint="eastAsia" w:ascii="宋体" w:hAnsi="宋体" w:eastAsia="宋体" w:cs="Batang"/>
                <w:color w:val="000000"/>
                <w:kern w:val="0"/>
                <w:sz w:val="15"/>
                <w:szCs w:val="15"/>
                <w:lang w:bidi="ar"/>
              </w:rPr>
              <w:t>2</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依据《中华人民共和国防洪法》《北京市水利工程保护管理条例》《北京市河湖保护管理条例》处罚：</w:t>
            </w:r>
          </w:p>
          <w:p>
            <w:pPr>
              <w:pStyle w:val="23"/>
              <w:spacing w:after="0" w:line="232" w:lineRule="exact"/>
              <w:ind w:left="0" w:leftChars="0" w:firstLine="0" w:firstLineChars="0"/>
              <w:rPr>
                <w:rFonts w:hint="eastAsia" w:ascii="宋体" w:hAnsi="宋体" w:eastAsia="宋体" w:cs="Batang"/>
                <w:color w:val="000000"/>
                <w:kern w:val="0"/>
                <w:sz w:val="15"/>
                <w:szCs w:val="15"/>
                <w:lang w:val="en-US" w:eastAsia="zh-CN" w:bidi="ar"/>
              </w:rPr>
            </w:pPr>
            <w:r>
              <w:rPr>
                <w:rFonts w:hint="eastAsia" w:ascii="宋体" w:hAnsi="宋体" w:eastAsia="宋体" w:cs="仿宋_GB2312"/>
                <w:color w:val="000000"/>
                <w:kern w:val="0"/>
                <w:sz w:val="15"/>
                <w:szCs w:val="15"/>
                <w:lang w:bidi="ar"/>
              </w:rPr>
              <w:t>占地面积≤25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，罚款额≤1万；25</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，1万＜罚款额≤3万；100</w:t>
            </w:r>
            <w:r>
              <w:rPr>
                <w:rFonts w:ascii="宋体" w:hAnsi="宋体" w:eastAsia="宋体" w:cs="Batang"/>
                <w:color w:val="000000"/>
                <w:kern w:val="0"/>
                <w:sz w:val="15"/>
                <w:szCs w:val="15"/>
                <w:lang w:bidi="ar"/>
              </w:rPr>
              <w:t>㎡</w:t>
            </w:r>
            <w:r>
              <w:rPr>
                <w:rFonts w:hint="eastAsia" w:ascii="宋体" w:hAnsi="宋体" w:eastAsia="宋体" w:cs="Batang"/>
                <w:color w:val="000000"/>
                <w:kern w:val="0"/>
                <w:sz w:val="15"/>
                <w:szCs w:val="15"/>
                <w:lang w:bidi="ar"/>
              </w:rPr>
              <w:t>＜占地面积，3万＜罚款额≤5万</w:t>
            </w:r>
            <w:r>
              <w:rPr>
                <w:rFonts w:ascii="宋体" w:hAnsi="宋体" w:eastAsia="宋体" w:cs="Batang"/>
                <w:color w:val="000000"/>
                <w:kern w:val="0"/>
                <w:sz w:val="15"/>
                <w:szCs w:val="15"/>
                <w:lang w:bidi="ar"/>
              </w:rPr>
              <w:t>。</w:t>
            </w:r>
          </w:p>
        </w:tc>
        <w:tc>
          <w:tcPr>
            <w:tcW w:w="2108" w:type="dxa"/>
            <w:gridSpan w:val="4"/>
            <w:shd w:val="clear" w:color="auto" w:fill="auto"/>
            <w:noWrap w:val="0"/>
            <w:vAlign w:val="center"/>
          </w:tcPr>
          <w:p>
            <w:pPr>
              <w:spacing w:line="232" w:lineRule="exact"/>
              <w:rPr>
                <w:rFonts w:ascii="宋体" w:hAnsi="宋体" w:eastAsia="宋体" w:cs="仿宋_GB2312"/>
                <w:kern w:val="2"/>
                <w:sz w:val="15"/>
                <w:szCs w:val="15"/>
                <w:lang w:val="en-US" w:eastAsia="zh-CN" w:bidi="ar-SA"/>
              </w:rPr>
            </w:pPr>
          </w:p>
        </w:tc>
        <w:tc>
          <w:tcPr>
            <w:tcW w:w="1208" w:type="dxa"/>
            <w:gridSpan w:val="2"/>
            <w:shd w:val="clear" w:color="auto" w:fill="auto"/>
            <w:noWrap w:val="0"/>
            <w:vAlign w:val="center"/>
          </w:tcPr>
          <w:p>
            <w:pPr>
              <w:spacing w:line="232" w:lineRule="exact"/>
              <w:jc w:val="both"/>
              <w:rPr>
                <w:rFonts w:hint="default" w:ascii="宋体" w:hAnsi="宋体" w:eastAsia="宋体" w:cs="仿宋_GB2312"/>
                <w:kern w:val="2"/>
                <w:sz w:val="15"/>
                <w:szCs w:val="15"/>
                <w:lang w:val="en-US" w:eastAsia="zh-CN" w:bidi="ar-SA"/>
              </w:rPr>
            </w:pPr>
            <w:r>
              <w:rPr>
                <w:rFonts w:hint="eastAsia" w:ascii="宋体" w:hAnsi="宋体" w:eastAsia="宋体" w:cs="仿宋_GB2312"/>
                <w:kern w:val="2"/>
                <w:sz w:val="15"/>
                <w:szCs w:val="15"/>
                <w:lang w:val="en-US" w:eastAsia="zh-CN" w:bidi="ar-SA"/>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5" w:hRule="atLeast"/>
        </w:trPr>
        <w:tc>
          <w:tcPr>
            <w:tcW w:w="14329" w:type="dxa"/>
            <w:gridSpan w:val="15"/>
            <w:noWrap w:val="0"/>
            <w:vAlign w:val="center"/>
          </w:tcPr>
          <w:p>
            <w:pPr>
              <w:pStyle w:val="3"/>
              <w:bidi w:val="0"/>
              <w:rPr>
                <w:rFonts w:ascii="宋体" w:hAnsi="宋体" w:eastAsia="宋体"/>
                <w:szCs w:val="15"/>
              </w:rPr>
            </w:pPr>
            <w:bookmarkStart w:id="212" w:name="_Toc1421698366"/>
            <w:r>
              <w:rPr>
                <w:rFonts w:hint="eastAsia"/>
                <w:sz w:val="21"/>
                <w:szCs w:val="21"/>
              </w:rPr>
              <w:t>农业农村</w:t>
            </w:r>
            <w:r>
              <w:rPr>
                <w:rFonts w:hint="eastAsia"/>
                <w:sz w:val="21"/>
                <w:szCs w:val="21"/>
                <w:lang w:eastAsia="zh-CN"/>
              </w:rPr>
              <w:t>下放</w:t>
            </w:r>
            <w:r>
              <w:rPr>
                <w:rFonts w:hint="eastAsia"/>
                <w:sz w:val="21"/>
                <w:szCs w:val="21"/>
              </w:rPr>
              <w:t>1项</w:t>
            </w:r>
            <w:bookmarkEnd w:id="209"/>
            <w:bookmarkEnd w:id="210"/>
            <w:bookmarkEnd w:id="211"/>
            <w:bookmarkEnd w:id="2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在增殖放流水域垂钓</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《北京市实施〈中华人民共和国渔业法〉办法》违反条款：第二十一条第一款第（七）项；处罚条款：第二十六条第一款第（五）项，责令停止违法行为，没收渔具，并可以处50元以上500元以下罚款。</w:t>
            </w:r>
          </w:p>
        </w:tc>
        <w:tc>
          <w:tcPr>
            <w:tcW w:w="5784" w:type="dxa"/>
            <w:gridSpan w:val="3"/>
            <w:noWrap w:val="0"/>
            <w:vAlign w:val="center"/>
          </w:tcPr>
          <w:p>
            <w:pPr>
              <w:pStyle w:val="23"/>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宋体"/>
                <w:color w:val="000000"/>
                <w:kern w:val="0"/>
                <w:sz w:val="15"/>
                <w:szCs w:val="15"/>
              </w:rPr>
              <w:t>责令停止违法行为，没收渔具，并可处50元以上500元以下罚款。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07" w:hRule="atLeast"/>
        </w:trPr>
        <w:tc>
          <w:tcPr>
            <w:tcW w:w="14329" w:type="dxa"/>
            <w:gridSpan w:val="15"/>
            <w:noWrap w:val="0"/>
            <w:vAlign w:val="center"/>
          </w:tcPr>
          <w:p>
            <w:pPr>
              <w:pStyle w:val="3"/>
              <w:bidi w:val="0"/>
              <w:rPr>
                <w:rFonts w:hint="eastAsia"/>
                <w:sz w:val="21"/>
                <w:szCs w:val="21"/>
              </w:rPr>
            </w:pPr>
            <w:bookmarkStart w:id="213" w:name="_Toc589852508"/>
            <w:bookmarkStart w:id="214" w:name="_Toc110851505"/>
            <w:bookmarkStart w:id="215" w:name="_Toc2011773058"/>
            <w:bookmarkStart w:id="216" w:name="_Toc1956716489"/>
            <w:r>
              <w:rPr>
                <w:rFonts w:hint="eastAsia"/>
                <w:sz w:val="21"/>
                <w:szCs w:val="21"/>
              </w:rPr>
              <w:t>卫生健康</w:t>
            </w:r>
            <w:r>
              <w:rPr>
                <w:rFonts w:hint="eastAsia"/>
                <w:sz w:val="21"/>
                <w:szCs w:val="21"/>
                <w:lang w:eastAsia="zh-CN"/>
              </w:rPr>
              <w:t>下放</w:t>
            </w:r>
            <w:r>
              <w:rPr>
                <w:rFonts w:hint="eastAsia"/>
                <w:sz w:val="21"/>
                <w:szCs w:val="21"/>
                <w:lang w:val="en-US" w:eastAsia="zh-CN"/>
              </w:rPr>
              <w:t>5</w:t>
            </w:r>
            <w:r>
              <w:rPr>
                <w:rFonts w:hint="eastAsia"/>
                <w:sz w:val="21"/>
                <w:szCs w:val="21"/>
              </w:rPr>
              <w:t>项</w:t>
            </w:r>
            <w:bookmarkEnd w:id="213"/>
            <w:bookmarkEnd w:id="214"/>
            <w:bookmarkEnd w:id="215"/>
            <w:bookmarkEnd w:id="216"/>
          </w:p>
          <w:p>
            <w:pPr>
              <w:rPr>
                <w:rFonts w:hint="eastAsia"/>
              </w:rPr>
            </w:pPr>
          </w:p>
          <w:p>
            <w:pPr>
              <w:rPr>
                <w:rFonts w:hint="eastAsia" w:eastAsia="宋体"/>
                <w:lang w:eastAsia="zh-CN"/>
              </w:rPr>
            </w:pPr>
            <w:r>
              <w:rPr>
                <w:rFonts w:hint="eastAsia" w:ascii="宋体" w:hAnsi="宋体"/>
                <w:sz w:val="15"/>
                <w:szCs w:val="15"/>
                <w:lang w:eastAsia="zh-CN"/>
              </w:rPr>
              <w:t>《北京市卫生健康委员会关于印发北京市卫生健康行政处罚裁量细则（2023年1月修订）的通知》（京卫监督〔2023〕1号）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1</w:t>
            </w:r>
          </w:p>
        </w:tc>
        <w:tc>
          <w:tcPr>
            <w:tcW w:w="1500" w:type="dxa"/>
            <w:gridSpan w:val="2"/>
            <w:noWrap w:val="0"/>
            <w:vAlign w:val="center"/>
          </w:tcPr>
          <w:p>
            <w:pPr>
              <w:spacing w:line="210" w:lineRule="exact"/>
              <w:rPr>
                <w:rFonts w:ascii="宋体" w:hAnsi="宋体" w:eastAsia="宋体"/>
                <w:kern w:val="0"/>
                <w:sz w:val="15"/>
                <w:szCs w:val="15"/>
              </w:rPr>
            </w:pPr>
            <w:r>
              <w:rPr>
                <w:rFonts w:hint="eastAsia" w:ascii="宋体" w:hAnsi="宋体" w:eastAsia="宋体"/>
                <w:sz w:val="15"/>
                <w:szCs w:val="15"/>
              </w:rPr>
              <w:t>未按规定采取清除鼠迹、堵塞鼠洞、添设防范设施等措施及毒杀、诱捕等方法消灭老鼠，使鼠密度等指标符合国家控制标准</w:t>
            </w:r>
          </w:p>
        </w:tc>
        <w:tc>
          <w:tcPr>
            <w:tcW w:w="2789" w:type="dxa"/>
            <w:gridSpan w:val="2"/>
            <w:noWrap w:val="0"/>
            <w:vAlign w:val="center"/>
          </w:tcPr>
          <w:p>
            <w:pPr>
              <w:spacing w:line="210" w:lineRule="exact"/>
              <w:rPr>
                <w:rFonts w:ascii="宋体" w:hAnsi="宋体" w:eastAsia="宋体"/>
                <w:sz w:val="15"/>
                <w:szCs w:val="15"/>
              </w:rPr>
            </w:pPr>
            <w:r>
              <w:rPr>
                <w:rFonts w:hint="eastAsia" w:ascii="宋体" w:hAnsi="宋体" w:eastAsia="宋体"/>
                <w:sz w:val="15"/>
                <w:szCs w:val="15"/>
              </w:rPr>
              <w:t>《北京市除四害工作管理规定》违反条款：第八条；处罚条款：第十六条第（一）项，予以警告，责令限期改正，并可处以20元以上500元以下罚款；情节严重的，处以500元以上1000元以下罚款。</w:t>
            </w:r>
          </w:p>
        </w:tc>
        <w:tc>
          <w:tcPr>
            <w:tcW w:w="5784" w:type="dxa"/>
            <w:gridSpan w:val="3"/>
            <w:noWrap w:val="0"/>
            <w:vAlign w:val="center"/>
          </w:tcPr>
          <w:p>
            <w:pPr>
              <w:pStyle w:val="23"/>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3"/>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3"/>
              <w:spacing w:after="0" w:line="210"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10" w:lineRule="exact"/>
              <w:rPr>
                <w:rFonts w:ascii="宋体" w:hAnsi="宋体" w:eastAsia="宋体" w:cs="仿宋_GB2312"/>
                <w:sz w:val="15"/>
                <w:szCs w:val="15"/>
              </w:rPr>
            </w:pPr>
          </w:p>
        </w:tc>
        <w:tc>
          <w:tcPr>
            <w:tcW w:w="1208" w:type="dxa"/>
            <w:gridSpan w:val="2"/>
            <w:noWrap w:val="0"/>
            <w:vAlign w:val="center"/>
          </w:tcPr>
          <w:p>
            <w:pPr>
              <w:spacing w:line="210"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10"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2</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未按规定清除蚊蝇孳生地并运用化学、物理、生物等方法消灭蚊蝇及其幼虫，使蚊蝇密度等指标符合国家控制标准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九条第（一）项、第（二）项、第（三）项；处罚条款：第十六条第（一）项，予以警告，责令限期改正，并可处以20元以上500元以下罚款；情节严重的，处以500元以上1000元以下罚款。</w:t>
            </w:r>
          </w:p>
        </w:tc>
        <w:tc>
          <w:tcPr>
            <w:tcW w:w="5784" w:type="dxa"/>
            <w:gridSpan w:val="3"/>
            <w:noWrap w:val="0"/>
            <w:vAlign w:val="center"/>
          </w:tcPr>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3</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发现蟑螂未按规定及时采取灭杀措施，使蟑螂密度等指标符合国家控制标准</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《北京市除四害工作管理规定》违反条款：第十条；处罚条款：第十六条第（一）项，予以警告，责令限期改正，并可处以20元以上500元以下罚款；情节严重的，处以500元以上1000元以下罚款。</w:t>
            </w:r>
          </w:p>
        </w:tc>
        <w:tc>
          <w:tcPr>
            <w:tcW w:w="5784" w:type="dxa"/>
            <w:gridSpan w:val="3"/>
            <w:noWrap w:val="0"/>
            <w:vAlign w:val="center"/>
          </w:tcPr>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4</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未按规定配置四害防治设施或者无人负责除四害工作</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《北京市除四害工作管理规定》违反条款：第十一条；处罚条款：第十六条第（二）项，予以警告，责令限期改正，并可处以20元以上1000元以下罚款。</w:t>
            </w:r>
          </w:p>
        </w:tc>
        <w:tc>
          <w:tcPr>
            <w:tcW w:w="5784" w:type="dxa"/>
            <w:gridSpan w:val="3"/>
            <w:noWrap w:val="0"/>
            <w:vAlign w:val="center"/>
          </w:tcPr>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未造成严重后果的，情节轻微，警告，处以20元以上（含）500元以下（含）罚款；</w:t>
            </w:r>
          </w:p>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未造成严重后果的，情节严重的，警告，处以500元以上（不含）1000元以下（含）罚款。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2" w:hRule="atLeast"/>
        </w:trPr>
        <w:tc>
          <w:tcPr>
            <w:tcW w:w="940" w:type="dxa"/>
            <w:gridSpan w:val="2"/>
            <w:noWrap w:val="0"/>
            <w:vAlign w:val="center"/>
          </w:tcPr>
          <w:p>
            <w:pPr>
              <w:spacing w:line="232" w:lineRule="exact"/>
              <w:jc w:val="center"/>
              <w:rPr>
                <w:rFonts w:ascii="宋体" w:hAnsi="宋体" w:eastAsia="宋体" w:cs="仿宋_GB2312"/>
                <w:kern w:val="0"/>
                <w:sz w:val="15"/>
                <w:szCs w:val="15"/>
              </w:rPr>
            </w:pPr>
            <w:r>
              <w:rPr>
                <w:rFonts w:hint="eastAsia" w:ascii="宋体" w:hAnsi="宋体" w:eastAsia="宋体" w:cs="仿宋_GB2312"/>
                <w:kern w:val="0"/>
                <w:sz w:val="15"/>
                <w:szCs w:val="15"/>
              </w:rPr>
              <w:t>5</w:t>
            </w:r>
          </w:p>
        </w:tc>
        <w:tc>
          <w:tcPr>
            <w:tcW w:w="1500"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未按规定采取统一的除四害措施</w:t>
            </w:r>
          </w:p>
        </w:tc>
        <w:tc>
          <w:tcPr>
            <w:tcW w:w="2789" w:type="dxa"/>
            <w:gridSpan w:val="2"/>
            <w:noWrap w:val="0"/>
            <w:vAlign w:val="center"/>
          </w:tcPr>
          <w:p>
            <w:pPr>
              <w:spacing w:line="232" w:lineRule="exact"/>
              <w:rPr>
                <w:rFonts w:ascii="宋体" w:hAnsi="宋体" w:eastAsia="宋体"/>
                <w:sz w:val="15"/>
                <w:szCs w:val="15"/>
              </w:rPr>
            </w:pPr>
            <w:r>
              <w:rPr>
                <w:rFonts w:hint="eastAsia" w:ascii="宋体" w:hAnsi="宋体" w:eastAsia="宋体"/>
                <w:sz w:val="15"/>
                <w:szCs w:val="15"/>
              </w:rPr>
              <w:t>《北京市除四害工作管理规定》违反条款：第十二条；处罚条款：第十六条第（三）项，给予警告，责令限期改正；逾期不改正的，可处以20元以上1000元以下罚款。</w:t>
            </w:r>
          </w:p>
        </w:tc>
        <w:tc>
          <w:tcPr>
            <w:tcW w:w="5784" w:type="dxa"/>
            <w:gridSpan w:val="3"/>
            <w:noWrap w:val="0"/>
            <w:vAlign w:val="center"/>
          </w:tcPr>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w:t>
            </w:r>
            <w:r>
              <w:rPr>
                <w:rFonts w:ascii="宋体" w:hAnsi="宋体" w:eastAsia="宋体" w:cs="仿宋_GB2312"/>
                <w:color w:val="000000"/>
                <w:kern w:val="0"/>
                <w:sz w:val="15"/>
                <w:szCs w:val="15"/>
                <w:lang w:bidi="ar"/>
              </w:rPr>
              <w:t>警告；</w:t>
            </w:r>
          </w:p>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未造成严重后果的，情节轻微，处以20元以上（含）500元以下（含）罚款；</w:t>
            </w:r>
          </w:p>
          <w:p>
            <w:pPr>
              <w:pStyle w:val="23"/>
              <w:spacing w:after="0" w:line="232" w:lineRule="exact"/>
              <w:ind w:left="0" w:leftChars="0" w:firstLine="0" w:firstLineChars="0"/>
              <w:rPr>
                <w:rFonts w:ascii="宋体" w:hAnsi="宋体" w:eastAsia="宋体" w:cs="仿宋_GB2312"/>
                <w:color w:val="000000"/>
                <w:kern w:val="0"/>
                <w:sz w:val="15"/>
                <w:szCs w:val="15"/>
                <w:lang w:bidi="ar"/>
              </w:rPr>
            </w:pPr>
            <w:r>
              <w:rPr>
                <w:rFonts w:hint="eastAsia" w:ascii="宋体" w:hAnsi="宋体" w:eastAsia="宋体" w:cs="仿宋_GB2312"/>
                <w:color w:val="000000"/>
                <w:kern w:val="0"/>
                <w:sz w:val="15"/>
                <w:szCs w:val="15"/>
                <w:lang w:bidi="ar"/>
              </w:rPr>
              <w:t>未造成严重后果的，情节严重的，处以500元以上（不含）1000元以下（含）罚款。</w:t>
            </w:r>
          </w:p>
        </w:tc>
        <w:tc>
          <w:tcPr>
            <w:tcW w:w="2108" w:type="dxa"/>
            <w:gridSpan w:val="4"/>
            <w:noWrap w:val="0"/>
            <w:vAlign w:val="center"/>
          </w:tcPr>
          <w:p>
            <w:pPr>
              <w:spacing w:line="232" w:lineRule="exact"/>
              <w:rPr>
                <w:rFonts w:ascii="宋体" w:hAnsi="宋体" w:eastAsia="宋体" w:cs="仿宋_GB2312"/>
                <w:sz w:val="15"/>
                <w:szCs w:val="15"/>
              </w:rPr>
            </w:pPr>
          </w:p>
        </w:tc>
        <w:tc>
          <w:tcPr>
            <w:tcW w:w="1208" w:type="dxa"/>
            <w:gridSpan w:val="2"/>
            <w:noWrap w:val="0"/>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spacing w:line="232" w:lineRule="exact"/>
              <w:jc w:val="center"/>
              <w:rPr>
                <w:rFonts w:ascii="宋体" w:hAnsi="宋体" w:eastAsia="宋体" w:cs="仿宋_GB2312"/>
                <w:sz w:val="15"/>
                <w:szCs w:val="15"/>
              </w:rPr>
            </w:pPr>
            <w:r>
              <w:rPr>
                <w:rFonts w:hint="eastAsia" w:ascii="宋体" w:hAnsi="宋体" w:eastAsia="宋体"/>
                <w:color w:val="000000"/>
                <w:sz w:val="15"/>
                <w:szCs w:val="15"/>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9" w:hRule="atLeast"/>
        </w:trPr>
        <w:tc>
          <w:tcPr>
            <w:tcW w:w="14329" w:type="dxa"/>
            <w:gridSpan w:val="15"/>
            <w:noWrap w:val="0"/>
            <w:vAlign w:val="center"/>
          </w:tcPr>
          <w:p>
            <w:pPr>
              <w:pStyle w:val="3"/>
              <w:bidi w:val="0"/>
              <w:rPr>
                <w:rFonts w:hint="default" w:ascii="宋体" w:hAnsi="宋体" w:eastAsia="宋体" w:cs="Times New Roman"/>
                <w:b/>
                <w:bCs/>
                <w:color w:val="000000"/>
                <w:kern w:val="44"/>
                <w:szCs w:val="15"/>
                <w:lang w:val="en-US" w:eastAsia="zh-CN" w:bidi="ar-SA"/>
              </w:rPr>
            </w:pPr>
            <w:bookmarkStart w:id="217" w:name="_Toc889625702"/>
            <w:bookmarkStart w:id="218" w:name="_Toc979026322"/>
            <w:r>
              <w:rPr>
                <w:rFonts w:hint="eastAsia"/>
                <w:b/>
                <w:bCs/>
                <w:sz w:val="21"/>
                <w:szCs w:val="21"/>
                <w:lang w:eastAsia="zh-CN"/>
              </w:rPr>
              <w:t>住房城乡建设下放</w:t>
            </w:r>
            <w:r>
              <w:rPr>
                <w:rFonts w:hint="eastAsia"/>
                <w:b/>
                <w:bCs/>
                <w:sz w:val="21"/>
                <w:szCs w:val="21"/>
                <w:lang w:val="en-US" w:eastAsia="zh-CN"/>
              </w:rPr>
              <w:t>3项</w:t>
            </w:r>
            <w:bookmarkEnd w:id="2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30" w:hRule="atLeast"/>
        </w:trPr>
        <w:tc>
          <w:tcPr>
            <w:tcW w:w="14329" w:type="dxa"/>
            <w:gridSpan w:val="15"/>
            <w:noWrap w:val="0"/>
            <w:vAlign w:val="center"/>
          </w:tcPr>
          <w:p>
            <w:pPr>
              <w:autoSpaceDE w:val="0"/>
              <w:autoSpaceDN w:val="0"/>
              <w:adjustRightInd w:val="0"/>
              <w:spacing w:line="520" w:lineRule="exact"/>
              <w:jc w:val="center"/>
              <w:rPr>
                <w:rFonts w:hint="default"/>
                <w:b/>
                <w:bCs/>
                <w:sz w:val="21"/>
                <w:szCs w:val="21"/>
                <w:lang w:val="en-US" w:eastAsia="zh-CN"/>
              </w:rPr>
            </w:pPr>
            <w:r>
              <w:rPr>
                <w:rFonts w:hint="eastAsia"/>
                <w:b/>
                <w:bCs/>
                <w:sz w:val="21"/>
                <w:szCs w:val="21"/>
                <w:lang w:eastAsia="zh-CN"/>
              </w:rPr>
              <w:t>《北京市物业管理条例案由》</w:t>
            </w:r>
            <w:r>
              <w:rPr>
                <w:rFonts w:hint="eastAsia"/>
                <w:b/>
                <w:bCs/>
                <w:sz w:val="21"/>
                <w:szCs w:val="21"/>
                <w:lang w:val="en-US" w:eastAsia="zh-CN"/>
              </w:rPr>
              <w:t>2项</w:t>
            </w:r>
          </w:p>
          <w:p>
            <w:pPr>
              <w:autoSpaceDE w:val="0"/>
              <w:autoSpaceDN w:val="0"/>
              <w:adjustRightInd w:val="0"/>
              <w:spacing w:line="520" w:lineRule="exact"/>
              <w:jc w:val="center"/>
              <w:rPr>
                <w:rFonts w:hint="eastAsia"/>
                <w:sz w:val="21"/>
                <w:szCs w:val="21"/>
                <w:lang w:val="en-US" w:eastAsia="zh-CN"/>
              </w:rPr>
            </w:pPr>
            <w:r>
              <w:rPr>
                <w:rFonts w:hint="eastAsia"/>
                <w:sz w:val="21"/>
                <w:szCs w:val="21"/>
                <w:lang w:eastAsia="zh-CN"/>
              </w:rPr>
              <w:t>《北京市住房和城乡建设委员会关于调整</w:t>
            </w:r>
            <w:r>
              <w:rPr>
                <w:rFonts w:hint="default"/>
                <w:sz w:val="21"/>
                <w:szCs w:val="21"/>
                <w:lang w:val="en-US" w:eastAsia="zh-CN"/>
              </w:rPr>
              <w:t>&lt;</w:t>
            </w:r>
            <w:r>
              <w:rPr>
                <w:rFonts w:hint="eastAsia"/>
                <w:sz w:val="21"/>
                <w:szCs w:val="21"/>
                <w:lang w:eastAsia="zh-CN"/>
              </w:rPr>
              <w:t>北京市住房城乡建设系统行政处罚裁量基准</w:t>
            </w:r>
            <w:r>
              <w:rPr>
                <w:rFonts w:hint="default"/>
                <w:sz w:val="21"/>
                <w:szCs w:val="21"/>
                <w:lang w:val="en-US" w:eastAsia="zh-CN"/>
              </w:rPr>
              <w:t>&gt;</w:t>
            </w:r>
            <w:r>
              <w:rPr>
                <w:rFonts w:hint="eastAsia"/>
                <w:sz w:val="21"/>
                <w:szCs w:val="21"/>
                <w:lang w:eastAsia="zh-CN"/>
              </w:rPr>
              <w:t>部分条款的通知》（</w:t>
            </w:r>
            <w:r>
              <w:rPr>
                <w:rFonts w:hint="eastAsia" w:ascii="仿宋_GB2312" w:eastAsia="仿宋_GB2312" w:cs="楷体_GB2312"/>
                <w:sz w:val="21"/>
                <w:szCs w:val="21"/>
                <w:lang w:val="zh-CN"/>
              </w:rPr>
              <w:t>京建法〔202</w:t>
            </w:r>
            <w:r>
              <w:rPr>
                <w:rFonts w:hint="eastAsia" w:ascii="仿宋_GB2312" w:eastAsia="仿宋_GB2312" w:cs="楷体_GB2312"/>
                <w:sz w:val="21"/>
                <w:szCs w:val="21"/>
                <w:lang w:val="en-US" w:eastAsia="zh-CN"/>
              </w:rPr>
              <w:t>3</w:t>
            </w:r>
            <w:r>
              <w:rPr>
                <w:rFonts w:hint="eastAsia" w:ascii="仿宋_GB2312" w:eastAsia="仿宋_GB2312" w:cs="楷体_GB2312"/>
                <w:sz w:val="21"/>
                <w:szCs w:val="21"/>
                <w:lang w:val="zh-CN"/>
              </w:rPr>
              <w:t>〕</w:t>
            </w:r>
            <w:r>
              <w:rPr>
                <w:rFonts w:hint="eastAsia" w:ascii="仿宋_GB2312" w:eastAsia="仿宋_GB2312" w:cs="楷体_GB2312"/>
                <w:sz w:val="21"/>
                <w:szCs w:val="21"/>
                <w:lang w:val="en-US" w:eastAsia="zh-CN"/>
              </w:rPr>
              <w:t>5</w:t>
            </w:r>
            <w:r>
              <w:rPr>
                <w:rFonts w:hint="eastAsia" w:ascii="仿宋_GB2312" w:eastAsia="仿宋_GB2312" w:cs="楷体_GB2312"/>
                <w:sz w:val="21"/>
                <w:szCs w:val="21"/>
                <w:lang w:val="zh-CN"/>
              </w:rPr>
              <w:t>号</w:t>
            </w:r>
            <w:r>
              <w:rPr>
                <w:rFonts w:hint="eastAsia"/>
                <w:sz w:val="21"/>
                <w:szCs w:val="21"/>
                <w:lang w:eastAsia="zh-CN"/>
              </w:rPr>
              <w:t>）</w:t>
            </w:r>
          </w:p>
        </w:tc>
      </w:tr>
      <w:bookmarkEnd w:id="218"/>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bookmarkStart w:id="219" w:name="_Toc1056450575"/>
            <w:r>
              <w:rPr>
                <w:rFonts w:hint="eastAsia" w:ascii="宋体" w:hAnsi="宋体" w:eastAsia="宋体" w:cs="宋体"/>
                <w:i w:val="0"/>
                <w:color w:val="000000"/>
                <w:kern w:val="0"/>
                <w:sz w:val="15"/>
                <w:szCs w:val="15"/>
                <w:u w:val="none"/>
                <w:lang w:val="en-US" w:eastAsia="zh-CN" w:bidi="ar"/>
              </w:rPr>
              <w:t>37</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物业服务人未按规定将物业服务合同报街道办事处、乡镇人民政府、区住房和城乡建设或者房屋主管部门备案</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《北京市物业管理条例》违反条款：第六十三条第三款；</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处罚条款：第九十一条，责令限期改正，给予警告；逾期不改的，处五千元以上一万元以下的罚款。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责令7日内改正，警告</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C1620300B020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9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38</w:t>
            </w:r>
          </w:p>
        </w:tc>
        <w:tc>
          <w:tcPr>
            <w:tcW w:w="9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w:t>
            </w:r>
          </w:p>
        </w:tc>
        <w:tc>
          <w:tcPr>
            <w:tcW w:w="17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物业服务企业项目负责人未按时报到</w:t>
            </w:r>
          </w:p>
        </w:tc>
        <w:tc>
          <w:tcPr>
            <w:tcW w:w="20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《北京市物业管理条例》</w:t>
            </w:r>
            <w:r>
              <w:rPr>
                <w:rFonts w:hint="eastAsia" w:ascii="宋体" w:hAnsi="宋体" w:cs="宋体"/>
                <w:i w:val="0"/>
                <w:color w:val="000000"/>
                <w:kern w:val="0"/>
                <w:sz w:val="15"/>
                <w:szCs w:val="15"/>
                <w:u w:val="none"/>
                <w:lang w:val="en-US" w:eastAsia="zh-CN" w:bidi="ar"/>
              </w:rPr>
              <w:t>违反条款：</w:t>
            </w:r>
            <w:r>
              <w:rPr>
                <w:rFonts w:hint="eastAsia" w:ascii="宋体" w:hAnsi="宋体" w:eastAsia="宋体" w:cs="宋体"/>
                <w:i w:val="0"/>
                <w:color w:val="000000"/>
                <w:kern w:val="0"/>
                <w:sz w:val="15"/>
                <w:szCs w:val="15"/>
                <w:u w:val="none"/>
                <w:lang w:val="en-US" w:eastAsia="zh-CN" w:bidi="ar"/>
              </w:rPr>
              <w:t>第六十六条</w:t>
            </w:r>
            <w:r>
              <w:rPr>
                <w:rFonts w:hint="eastAsia" w:ascii="宋体" w:hAnsi="宋体" w:cs="宋体"/>
                <w:i w:val="0"/>
                <w:color w:val="000000"/>
                <w:kern w:val="0"/>
                <w:sz w:val="15"/>
                <w:szCs w:val="15"/>
                <w:u w:val="none"/>
                <w:lang w:val="en-US" w:eastAsia="zh-CN" w:bidi="ar"/>
              </w:rPr>
              <w:t>；处罚条款：</w:t>
            </w:r>
            <w:r>
              <w:rPr>
                <w:rFonts w:hint="eastAsia" w:ascii="宋体" w:hAnsi="宋体" w:eastAsia="宋体" w:cs="宋体"/>
                <w:i w:val="0"/>
                <w:color w:val="000000"/>
                <w:kern w:val="0"/>
                <w:sz w:val="15"/>
                <w:szCs w:val="15"/>
                <w:u w:val="none"/>
                <w:lang w:val="en-US" w:eastAsia="zh-CN" w:bidi="ar"/>
              </w:rPr>
              <w:t>第九十三条，责令限期改正；逾期不改的，处五千元以上一万元以下的罚款。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责令7日内改正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restart"/>
            <w:tcBorders>
              <w:top w:val="single" w:color="000000" w:sz="4" w:space="0"/>
              <w:left w:val="single" w:color="auto" w:sz="4" w:space="0"/>
              <w:right w:val="single" w:color="000000" w:sz="4" w:space="0"/>
            </w:tcBorders>
            <w:shd w:val="clear" w:color="auto" w:fill="auto"/>
            <w:vAlign w:val="center"/>
          </w:tcPr>
          <w:p>
            <w:pPr>
              <w:spacing w:line="232" w:lineRule="exact"/>
              <w:jc w:val="center"/>
              <w:rPr>
                <w:rFonts w:ascii="宋体" w:hAnsi="宋体" w:eastAsia="宋体"/>
                <w:color w:val="000000"/>
                <w:sz w:val="15"/>
                <w:szCs w:val="15"/>
              </w:rPr>
            </w:pPr>
            <w:r>
              <w:rPr>
                <w:rFonts w:hint="eastAsia" w:ascii="宋体" w:hAnsi="宋体" w:eastAsia="宋体"/>
                <w:color w:val="000000"/>
                <w:sz w:val="15"/>
                <w:szCs w:val="15"/>
              </w:rPr>
              <w:t>街道</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olor w:val="000000"/>
                <w:sz w:val="15"/>
                <w:szCs w:val="15"/>
              </w:rPr>
              <w:t>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责令改正限期内改正违法行为（违法行为轻微并及时纠正，没有造成危害后果）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责令期满后7日内改正违法行为的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处5000元以上7500元以下罚款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4" w:hRule="atLeast"/>
        </w:trPr>
        <w:tc>
          <w:tcPr>
            <w:tcW w:w="49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7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20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C1674800B020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责令期满后7日以上改正违法行为或违法情节严重的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处7500元以上10000元以下罚款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6个月</w:t>
            </w:r>
          </w:p>
        </w:tc>
        <w:tc>
          <w:tcPr>
            <w:tcW w:w="1060" w:type="dxa"/>
            <w:vMerge w:val="continue"/>
            <w:tcBorders>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329"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bidi w:val="0"/>
              <w:jc w:val="center"/>
              <w:rPr>
                <w:rFonts w:hint="eastAsia"/>
                <w:b/>
                <w:bCs/>
                <w:lang w:val="en-US" w:eastAsia="zh-CN"/>
              </w:rPr>
            </w:pPr>
            <w:r>
              <w:rPr>
                <w:rFonts w:hint="eastAsia"/>
                <w:b/>
                <w:bCs/>
                <w:lang w:eastAsia="zh-CN"/>
              </w:rPr>
              <w:t>《北京市住房租赁条例》案由</w:t>
            </w:r>
            <w:r>
              <w:rPr>
                <w:rFonts w:hint="eastAsia"/>
                <w:b/>
                <w:bCs/>
                <w:lang w:val="en-US" w:eastAsia="zh-CN"/>
              </w:rPr>
              <w:t>1项</w:t>
            </w:r>
          </w:p>
          <w:p>
            <w:pPr>
              <w:jc w:val="left"/>
              <w:rPr>
                <w:rFonts w:hint="eastAsia"/>
                <w:sz w:val="15"/>
                <w:szCs w:val="15"/>
                <w:lang w:val="en-US" w:eastAsia="zh-CN"/>
              </w:rPr>
            </w:pPr>
            <w:r>
              <w:rPr>
                <w:rFonts w:hint="eastAsia"/>
                <w:sz w:val="15"/>
                <w:szCs w:val="15"/>
                <w:lang w:val="en-US" w:eastAsia="zh-CN"/>
              </w:rPr>
              <w:t>《北京市住房和城乡建设委员会关于印发</w:t>
            </w:r>
            <w:r>
              <w:rPr>
                <w:rFonts w:hint="default"/>
                <w:sz w:val="15"/>
                <w:szCs w:val="15"/>
                <w:lang w:val="en-US" w:eastAsia="zh-CN"/>
              </w:rPr>
              <w:t>&lt;</w:t>
            </w:r>
            <w:r>
              <w:rPr>
                <w:rFonts w:hint="eastAsia"/>
                <w:sz w:val="15"/>
                <w:szCs w:val="15"/>
                <w:lang w:val="en-US" w:eastAsia="zh-CN"/>
              </w:rPr>
              <w:t>北京市住房租赁条例</w:t>
            </w:r>
            <w:r>
              <w:rPr>
                <w:rFonts w:hint="default"/>
                <w:sz w:val="15"/>
                <w:szCs w:val="15"/>
                <w:lang w:val="en-US" w:eastAsia="zh-CN"/>
              </w:rPr>
              <w:t>&gt;</w:t>
            </w:r>
            <w:r>
              <w:rPr>
                <w:rFonts w:hint="eastAsia"/>
                <w:sz w:val="15"/>
                <w:szCs w:val="15"/>
                <w:lang w:val="en-US" w:eastAsia="zh-CN"/>
              </w:rPr>
              <w:t>行政处罚裁量基准的通知》（</w:t>
            </w:r>
            <w:r>
              <w:rPr>
                <w:rFonts w:ascii="微软雅黑" w:hAnsi="微软雅黑" w:eastAsia="微软雅黑" w:cs="微软雅黑"/>
                <w:i w:val="0"/>
                <w:iCs w:val="0"/>
                <w:caps w:val="0"/>
                <w:color w:val="333333"/>
                <w:spacing w:val="0"/>
                <w:sz w:val="14"/>
                <w:szCs w:val="14"/>
                <w:shd w:val="clear" w:fill="FFFFFF"/>
              </w:rPr>
              <w:t>京建法〔2022〕10号</w:t>
            </w:r>
            <w:r>
              <w:rPr>
                <w:rFonts w:hint="eastAsia"/>
                <w:sz w:val="15"/>
                <w:szCs w:val="15"/>
                <w:lang w:val="en-US" w:eastAsia="zh-CN"/>
              </w:rPr>
              <w:t>）</w:t>
            </w:r>
          </w:p>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color w:val="000000"/>
                <w:kern w:val="0"/>
                <w:sz w:val="15"/>
                <w:szCs w:val="15"/>
                <w:u w:val="none"/>
                <w:lang w:val="en-US" w:eastAsia="zh-CN" w:bidi="ar"/>
              </w:rPr>
            </w:pPr>
            <w:r>
              <w:rPr>
                <w:rFonts w:hint="default" w:ascii="宋体" w:hAnsi="宋体" w:cs="宋体"/>
                <w:i w:val="0"/>
                <w:color w:val="000000"/>
                <w:kern w:val="0"/>
                <w:sz w:val="15"/>
                <w:szCs w:val="15"/>
                <w:u w:val="none"/>
                <w:lang w:val="en-US" w:eastAsia="zh-CN" w:bidi="ar"/>
              </w:rPr>
              <w:t>1</w:t>
            </w:r>
          </w:p>
        </w:tc>
        <w:tc>
          <w:tcPr>
            <w:tcW w:w="930"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w:t>
            </w:r>
          </w:p>
        </w:tc>
        <w:tc>
          <w:tcPr>
            <w:tcW w:w="1707"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未按照规定出租住房</w:t>
            </w:r>
          </w:p>
        </w:tc>
        <w:tc>
          <w:tcPr>
            <w:tcW w:w="20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《北京市住房租赁条例》 违反条款：第十三条第一款第（三）项至第（五）项；处罚条款：第六十三条第三款，责令限期改正或者恢复原状，对个人可处二千元以上一万元以下罚款，对单位可处二万元以上十万元以下罚款；逾期不改的，改正前停止出租，对个人处一万元以上五万元以下罚款，对单位处十万元以上五十万元以下罚款。</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发现违法行为</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责令改正</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restart"/>
            <w:tcBorders>
              <w:left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C1672300T</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违法行为轻微并及时纠正，没有造成危害后果</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不予行政处罚</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在规定期限内改正，违法情节轻微</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对个人可处二千元以上四千元以下罚款，对单位可处二万元以上四万元以下罚款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C1672300A020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在规定期限内改正，违法情节一般的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对个人可处四千元以上七千元以下罚款，对单位可处四万元以上七万元以下罚款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一般</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C1672300A030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在规定期限内改正，违法情节严重的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对个人可处七千元以上一万元以下罚款，对单位可处七万元以上十万元以下罚款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C1672300A040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逾期3日内改正的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改正前停止出租，对个人处一万元以上二万元以下罚款，对单位处十万元以上二十万元以下罚款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C1672300A050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逾期3日以上7日以内的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改正前停止出租，对个人处二万元以上四万元以下罚款，对单位处二十万元以上四十万元以下罚款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24个月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12个月</w:t>
            </w:r>
          </w:p>
        </w:tc>
        <w:tc>
          <w:tcPr>
            <w:tcW w:w="1060" w:type="dxa"/>
            <w:vMerge w:val="continue"/>
            <w:tcBorders>
              <w:left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99"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c>
          <w:tcPr>
            <w:tcW w:w="930"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1707"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209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C1672300A060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逾期7日以上或违法情节严重的</w:t>
            </w:r>
          </w:p>
        </w:tc>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改正前停止出租，对个人处四万元以上五万元以下罚款，对单位处四十万元以上五十万元以下罚款</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严重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36个月</w:t>
            </w:r>
          </w:p>
        </w:tc>
        <w:tc>
          <w:tcPr>
            <w:tcW w:w="860"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1060" w:type="dxa"/>
            <w:vMerge w:val="continue"/>
            <w:tcBorders>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p>
        </w:tc>
      </w:tr>
      <w:bookmarkEnd w:id="219"/>
    </w:tbl>
    <w:p>
      <w:pPr>
        <w:pStyle w:val="9"/>
      </w:pPr>
    </w:p>
    <w:p>
      <w:pPr>
        <w:pStyle w:val="23"/>
        <w:rPr>
          <w:color w:val="auto"/>
          <w:highlight w:val="none"/>
        </w:rPr>
      </w:pPr>
    </w:p>
    <w:sectPr>
      <w:footerReference r:id="rId4" w:type="default"/>
      <w:pgSz w:w="16840" w:h="11850" w:orient="landscape"/>
      <w:pgMar w:top="1134" w:right="907" w:bottom="1134" w:left="907"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EF8A"/>
    <w:multiLevelType w:val="singleLevel"/>
    <w:tmpl w:val="85DDEF8A"/>
    <w:lvl w:ilvl="0" w:tentative="0">
      <w:start w:val="1"/>
      <w:numFmt w:val="decimal"/>
      <w:suff w:val="space"/>
      <w:lvlText w:val="%1."/>
      <w:lvlJc w:val="left"/>
    </w:lvl>
  </w:abstractNum>
  <w:abstractNum w:abstractNumId="1">
    <w:nsid w:val="B7F5427C"/>
    <w:multiLevelType w:val="singleLevel"/>
    <w:tmpl w:val="B7F5427C"/>
    <w:lvl w:ilvl="0" w:tentative="0">
      <w:start w:val="1"/>
      <w:numFmt w:val="decimal"/>
      <w:suff w:val="space"/>
      <w:lvlText w:val="%1."/>
      <w:lvlJc w:val="left"/>
    </w:lvl>
  </w:abstractNum>
  <w:abstractNum w:abstractNumId="2">
    <w:nsid w:val="BF0754D2"/>
    <w:multiLevelType w:val="singleLevel"/>
    <w:tmpl w:val="BF0754D2"/>
    <w:lvl w:ilvl="0" w:tentative="0">
      <w:start w:val="1"/>
      <w:numFmt w:val="decimal"/>
      <w:suff w:val="space"/>
      <w:lvlText w:val="%1."/>
      <w:lvlJc w:val="left"/>
    </w:lvl>
  </w:abstractNum>
  <w:abstractNum w:abstractNumId="3">
    <w:nsid w:val="DFDE10FF"/>
    <w:multiLevelType w:val="singleLevel"/>
    <w:tmpl w:val="DFDE10FF"/>
    <w:lvl w:ilvl="0" w:tentative="0">
      <w:start w:val="1"/>
      <w:numFmt w:val="decimal"/>
      <w:suff w:val="space"/>
      <w:lvlText w:val="%1."/>
      <w:lvlJc w:val="left"/>
    </w:lvl>
  </w:abstractNum>
  <w:abstractNum w:abstractNumId="4">
    <w:nsid w:val="EFFE277D"/>
    <w:multiLevelType w:val="singleLevel"/>
    <w:tmpl w:val="EFFE277D"/>
    <w:lvl w:ilvl="0" w:tentative="0">
      <w:start w:val="1"/>
      <w:numFmt w:val="decimal"/>
      <w:suff w:val="space"/>
      <w:lvlText w:val="%1."/>
      <w:lvlJc w:val="left"/>
    </w:lvl>
  </w:abstractNum>
  <w:abstractNum w:abstractNumId="5">
    <w:nsid w:val="FEDAE7DC"/>
    <w:multiLevelType w:val="singleLevel"/>
    <w:tmpl w:val="FEDAE7DC"/>
    <w:lvl w:ilvl="0" w:tentative="0">
      <w:start w:val="1"/>
      <w:numFmt w:val="decimal"/>
      <w:suff w:val="space"/>
      <w:lvlText w:val="%1."/>
      <w:lvlJc w:val="left"/>
    </w:lvl>
  </w:abstractNum>
  <w:abstractNum w:abstractNumId="6">
    <w:nsid w:val="6BEE3C38"/>
    <w:multiLevelType w:val="singleLevel"/>
    <w:tmpl w:val="6BEE3C38"/>
    <w:lvl w:ilvl="0" w:tentative="0">
      <w:start w:val="1"/>
      <w:numFmt w:val="decimal"/>
      <w:suff w:val="space"/>
      <w:lvlText w:val="%1."/>
      <w:lvlJc w:val="left"/>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E5FA60"/>
    <w:rsid w:val="09F64F97"/>
    <w:rsid w:val="0A0D460E"/>
    <w:rsid w:val="0AEF46DA"/>
    <w:rsid w:val="0B9F92F6"/>
    <w:rsid w:val="0BF216FD"/>
    <w:rsid w:val="0BFBDC50"/>
    <w:rsid w:val="0C14055E"/>
    <w:rsid w:val="0DB203EF"/>
    <w:rsid w:val="0EA6FEA5"/>
    <w:rsid w:val="0EC7610D"/>
    <w:rsid w:val="0EEE2A65"/>
    <w:rsid w:val="0F260DF9"/>
    <w:rsid w:val="0FBFF7C9"/>
    <w:rsid w:val="0FC138D0"/>
    <w:rsid w:val="0FD550EB"/>
    <w:rsid w:val="0FEFC186"/>
    <w:rsid w:val="1126007C"/>
    <w:rsid w:val="11443462"/>
    <w:rsid w:val="11AE7893"/>
    <w:rsid w:val="11BB0CCA"/>
    <w:rsid w:val="12EF1C78"/>
    <w:rsid w:val="13391315"/>
    <w:rsid w:val="139F60FB"/>
    <w:rsid w:val="13EE4AF4"/>
    <w:rsid w:val="142313E0"/>
    <w:rsid w:val="15BFBDD0"/>
    <w:rsid w:val="15D74C1C"/>
    <w:rsid w:val="15F589D8"/>
    <w:rsid w:val="15FBD6F7"/>
    <w:rsid w:val="15FEFF7A"/>
    <w:rsid w:val="15FF6BF6"/>
    <w:rsid w:val="16AFC733"/>
    <w:rsid w:val="16BC7E7D"/>
    <w:rsid w:val="17515270"/>
    <w:rsid w:val="17746151"/>
    <w:rsid w:val="17893B6A"/>
    <w:rsid w:val="178B26DA"/>
    <w:rsid w:val="17CEEBA9"/>
    <w:rsid w:val="17FEE426"/>
    <w:rsid w:val="17FFDA05"/>
    <w:rsid w:val="19376D81"/>
    <w:rsid w:val="1ADCBA5F"/>
    <w:rsid w:val="1AFF4782"/>
    <w:rsid w:val="1B0BDA71"/>
    <w:rsid w:val="1B644773"/>
    <w:rsid w:val="1B7D324B"/>
    <w:rsid w:val="1BEF7657"/>
    <w:rsid w:val="1BF35E59"/>
    <w:rsid w:val="1BFE9E91"/>
    <w:rsid w:val="1C0F2D2D"/>
    <w:rsid w:val="1C4C4F36"/>
    <w:rsid w:val="1CDEA6F5"/>
    <w:rsid w:val="1CEDBEA8"/>
    <w:rsid w:val="1D56F24F"/>
    <w:rsid w:val="1D916302"/>
    <w:rsid w:val="1DF7C2DA"/>
    <w:rsid w:val="1E3C30A0"/>
    <w:rsid w:val="1E3DAADE"/>
    <w:rsid w:val="1E3F93AF"/>
    <w:rsid w:val="1E7236B6"/>
    <w:rsid w:val="1EC60A0F"/>
    <w:rsid w:val="1EC77D42"/>
    <w:rsid w:val="1ECB3ED3"/>
    <w:rsid w:val="1ECEB824"/>
    <w:rsid w:val="1ED33082"/>
    <w:rsid w:val="1EFD25F9"/>
    <w:rsid w:val="1F56FFA1"/>
    <w:rsid w:val="1FA61EEB"/>
    <w:rsid w:val="1FAF9374"/>
    <w:rsid w:val="1FBD9899"/>
    <w:rsid w:val="1FD9E9C8"/>
    <w:rsid w:val="1FDF0654"/>
    <w:rsid w:val="1FE716A2"/>
    <w:rsid w:val="1FEC0A29"/>
    <w:rsid w:val="1FEF8B73"/>
    <w:rsid w:val="22C62F3A"/>
    <w:rsid w:val="23415B68"/>
    <w:rsid w:val="23F10D53"/>
    <w:rsid w:val="23F6AEF3"/>
    <w:rsid w:val="23FFEB2E"/>
    <w:rsid w:val="245E2EB0"/>
    <w:rsid w:val="24D3A756"/>
    <w:rsid w:val="24E81237"/>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8DF37A6"/>
    <w:rsid w:val="2959155B"/>
    <w:rsid w:val="29CE0AFE"/>
    <w:rsid w:val="2A050A46"/>
    <w:rsid w:val="2A6D712E"/>
    <w:rsid w:val="2AFDAF60"/>
    <w:rsid w:val="2B9EE5ED"/>
    <w:rsid w:val="2BD27518"/>
    <w:rsid w:val="2BFD14DB"/>
    <w:rsid w:val="2BFEB9B3"/>
    <w:rsid w:val="2BFFA8A5"/>
    <w:rsid w:val="2C555706"/>
    <w:rsid w:val="2D860E5E"/>
    <w:rsid w:val="2D88708D"/>
    <w:rsid w:val="2D9E7B63"/>
    <w:rsid w:val="2DA489B3"/>
    <w:rsid w:val="2DB91642"/>
    <w:rsid w:val="2DDBB70C"/>
    <w:rsid w:val="2E04154E"/>
    <w:rsid w:val="2E39630E"/>
    <w:rsid w:val="2E6DCBCF"/>
    <w:rsid w:val="2E6F47F6"/>
    <w:rsid w:val="2E9B49AF"/>
    <w:rsid w:val="2EEE6647"/>
    <w:rsid w:val="2F54530E"/>
    <w:rsid w:val="2F776DEB"/>
    <w:rsid w:val="2F8215FD"/>
    <w:rsid w:val="2F8D0557"/>
    <w:rsid w:val="2FB7E173"/>
    <w:rsid w:val="2FBD08A7"/>
    <w:rsid w:val="2FBD937F"/>
    <w:rsid w:val="2FBF6FB8"/>
    <w:rsid w:val="2FD88657"/>
    <w:rsid w:val="2FDF2FBB"/>
    <w:rsid w:val="2FE1EA2D"/>
    <w:rsid w:val="2FF78CBA"/>
    <w:rsid w:val="2FFD1DA2"/>
    <w:rsid w:val="30921B85"/>
    <w:rsid w:val="32D103B5"/>
    <w:rsid w:val="335F5F1A"/>
    <w:rsid w:val="335FA238"/>
    <w:rsid w:val="3377848B"/>
    <w:rsid w:val="337FEAF9"/>
    <w:rsid w:val="33AD165B"/>
    <w:rsid w:val="33BE9CD5"/>
    <w:rsid w:val="33C02300"/>
    <w:rsid w:val="33E7DEB3"/>
    <w:rsid w:val="33EFA73C"/>
    <w:rsid w:val="33F5E36A"/>
    <w:rsid w:val="33FF701F"/>
    <w:rsid w:val="3475285E"/>
    <w:rsid w:val="34790FFC"/>
    <w:rsid w:val="34DFCC51"/>
    <w:rsid w:val="35913FBB"/>
    <w:rsid w:val="362B56C3"/>
    <w:rsid w:val="363FA653"/>
    <w:rsid w:val="36EDADB4"/>
    <w:rsid w:val="373F77D0"/>
    <w:rsid w:val="375EA094"/>
    <w:rsid w:val="379234A4"/>
    <w:rsid w:val="379E6A40"/>
    <w:rsid w:val="37BFE79D"/>
    <w:rsid w:val="37DF2DD6"/>
    <w:rsid w:val="37DF700B"/>
    <w:rsid w:val="37EE409E"/>
    <w:rsid w:val="37F2F170"/>
    <w:rsid w:val="37F31E21"/>
    <w:rsid w:val="37F46EF3"/>
    <w:rsid w:val="39A91B73"/>
    <w:rsid w:val="39B23F7D"/>
    <w:rsid w:val="39D7FC96"/>
    <w:rsid w:val="39FF8104"/>
    <w:rsid w:val="3AB7A37F"/>
    <w:rsid w:val="3AB89792"/>
    <w:rsid w:val="3AEDF30C"/>
    <w:rsid w:val="3AEF7D57"/>
    <w:rsid w:val="3AFB607E"/>
    <w:rsid w:val="3AFF2AC7"/>
    <w:rsid w:val="3B2F6A62"/>
    <w:rsid w:val="3B2FF963"/>
    <w:rsid w:val="3B4448CF"/>
    <w:rsid w:val="3B4CE5B0"/>
    <w:rsid w:val="3B75BF38"/>
    <w:rsid w:val="3B7B2E0D"/>
    <w:rsid w:val="3B7F89B9"/>
    <w:rsid w:val="3B8A0DC3"/>
    <w:rsid w:val="3BA443B8"/>
    <w:rsid w:val="3BB1D3AC"/>
    <w:rsid w:val="3BB9F82F"/>
    <w:rsid w:val="3BCF19F8"/>
    <w:rsid w:val="3BD3A284"/>
    <w:rsid w:val="3BDF39C1"/>
    <w:rsid w:val="3BDF8995"/>
    <w:rsid w:val="3BE7BB5B"/>
    <w:rsid w:val="3BE9ECFC"/>
    <w:rsid w:val="3BEC33D1"/>
    <w:rsid w:val="3BF96EE7"/>
    <w:rsid w:val="3BFA26FF"/>
    <w:rsid w:val="3BFBF558"/>
    <w:rsid w:val="3BFD2A30"/>
    <w:rsid w:val="3BFE3B7E"/>
    <w:rsid w:val="3BFF979F"/>
    <w:rsid w:val="3C9EB686"/>
    <w:rsid w:val="3CEF330A"/>
    <w:rsid w:val="3D1D3248"/>
    <w:rsid w:val="3D323C74"/>
    <w:rsid w:val="3D6D1F84"/>
    <w:rsid w:val="3D7E3DA3"/>
    <w:rsid w:val="3D7F81D5"/>
    <w:rsid w:val="3DBB99B1"/>
    <w:rsid w:val="3DEFACC2"/>
    <w:rsid w:val="3DFC7DDF"/>
    <w:rsid w:val="3E1FAF72"/>
    <w:rsid w:val="3E4A84CF"/>
    <w:rsid w:val="3E6C5DD9"/>
    <w:rsid w:val="3E7CD3F2"/>
    <w:rsid w:val="3E7F1755"/>
    <w:rsid w:val="3E8F2131"/>
    <w:rsid w:val="3EAE9719"/>
    <w:rsid w:val="3EAF6F38"/>
    <w:rsid w:val="3EB0A816"/>
    <w:rsid w:val="3EB542D6"/>
    <w:rsid w:val="3ED728FC"/>
    <w:rsid w:val="3EE37829"/>
    <w:rsid w:val="3EEB4BED"/>
    <w:rsid w:val="3EEC4AB3"/>
    <w:rsid w:val="3EF11695"/>
    <w:rsid w:val="3EF7BD61"/>
    <w:rsid w:val="3EF968EE"/>
    <w:rsid w:val="3EFC0F1E"/>
    <w:rsid w:val="3EFF20E1"/>
    <w:rsid w:val="3EFFD3E1"/>
    <w:rsid w:val="3F1EA5F2"/>
    <w:rsid w:val="3F36279F"/>
    <w:rsid w:val="3F4F4430"/>
    <w:rsid w:val="3F4F5A12"/>
    <w:rsid w:val="3F65688F"/>
    <w:rsid w:val="3F7492D0"/>
    <w:rsid w:val="3F7B1D7D"/>
    <w:rsid w:val="3F7F7C26"/>
    <w:rsid w:val="3F7FA6F9"/>
    <w:rsid w:val="3F800E58"/>
    <w:rsid w:val="3F8CBFBD"/>
    <w:rsid w:val="3F9BE200"/>
    <w:rsid w:val="3FAD292E"/>
    <w:rsid w:val="3FBBDC6F"/>
    <w:rsid w:val="3FDA01DD"/>
    <w:rsid w:val="3FDDEA02"/>
    <w:rsid w:val="3FDF16C2"/>
    <w:rsid w:val="3FDFBFB3"/>
    <w:rsid w:val="3FE64F5F"/>
    <w:rsid w:val="3FE9E51A"/>
    <w:rsid w:val="3FEA575E"/>
    <w:rsid w:val="3FEB33DD"/>
    <w:rsid w:val="3FEF1047"/>
    <w:rsid w:val="3FEF1726"/>
    <w:rsid w:val="3FEF3A59"/>
    <w:rsid w:val="3FEF617D"/>
    <w:rsid w:val="3FF200B2"/>
    <w:rsid w:val="3FF7FB14"/>
    <w:rsid w:val="3FF91D4E"/>
    <w:rsid w:val="3FFABA1D"/>
    <w:rsid w:val="3FFE6B5A"/>
    <w:rsid w:val="3FFFA0C9"/>
    <w:rsid w:val="40286339"/>
    <w:rsid w:val="40A34EF9"/>
    <w:rsid w:val="41094798"/>
    <w:rsid w:val="42B2E90B"/>
    <w:rsid w:val="43EFAB43"/>
    <w:rsid w:val="43FE609C"/>
    <w:rsid w:val="44DC6497"/>
    <w:rsid w:val="44DE5A4E"/>
    <w:rsid w:val="454D2DE0"/>
    <w:rsid w:val="45D16686"/>
    <w:rsid w:val="462F5951"/>
    <w:rsid w:val="4697B0EC"/>
    <w:rsid w:val="46A5E501"/>
    <w:rsid w:val="479F083A"/>
    <w:rsid w:val="47BA6DDE"/>
    <w:rsid w:val="47BE0AB6"/>
    <w:rsid w:val="47E5BD3C"/>
    <w:rsid w:val="47FEB713"/>
    <w:rsid w:val="47FEEA0C"/>
    <w:rsid w:val="47FFB319"/>
    <w:rsid w:val="49FF1354"/>
    <w:rsid w:val="4A0B2A82"/>
    <w:rsid w:val="4B240373"/>
    <w:rsid w:val="4B5C669F"/>
    <w:rsid w:val="4B5FD1C2"/>
    <w:rsid w:val="4B7E4857"/>
    <w:rsid w:val="4C9630E6"/>
    <w:rsid w:val="4D796D4B"/>
    <w:rsid w:val="4DA78014"/>
    <w:rsid w:val="4DD29871"/>
    <w:rsid w:val="4DEF0CAE"/>
    <w:rsid w:val="4DEFFB07"/>
    <w:rsid w:val="4E7FD645"/>
    <w:rsid w:val="4E9D1594"/>
    <w:rsid w:val="4EBF4AED"/>
    <w:rsid w:val="4ED5FB2D"/>
    <w:rsid w:val="4EE40807"/>
    <w:rsid w:val="4EFEE3CF"/>
    <w:rsid w:val="4EFFCC04"/>
    <w:rsid w:val="4F4DC02C"/>
    <w:rsid w:val="4F4E3BCE"/>
    <w:rsid w:val="4F4F56C9"/>
    <w:rsid w:val="4F6715EE"/>
    <w:rsid w:val="4F7FAC37"/>
    <w:rsid w:val="4FA32AE8"/>
    <w:rsid w:val="4FA6572E"/>
    <w:rsid w:val="4FAB1773"/>
    <w:rsid w:val="4FB77DE6"/>
    <w:rsid w:val="4FBBE42B"/>
    <w:rsid w:val="4FBF8279"/>
    <w:rsid w:val="4FFB8451"/>
    <w:rsid w:val="4FFB8E16"/>
    <w:rsid w:val="4FFFB35D"/>
    <w:rsid w:val="50450572"/>
    <w:rsid w:val="51624E8A"/>
    <w:rsid w:val="51DF7224"/>
    <w:rsid w:val="521F3E4B"/>
    <w:rsid w:val="52EFBDB1"/>
    <w:rsid w:val="53DE26C8"/>
    <w:rsid w:val="53E7DABE"/>
    <w:rsid w:val="53EE158E"/>
    <w:rsid w:val="53FDFCAE"/>
    <w:rsid w:val="548B2661"/>
    <w:rsid w:val="54F115E0"/>
    <w:rsid w:val="55447A06"/>
    <w:rsid w:val="555BA0AF"/>
    <w:rsid w:val="557F36C1"/>
    <w:rsid w:val="55DF30E4"/>
    <w:rsid w:val="55FA15B7"/>
    <w:rsid w:val="562D8241"/>
    <w:rsid w:val="567F53D9"/>
    <w:rsid w:val="56B5692E"/>
    <w:rsid w:val="56BEE398"/>
    <w:rsid w:val="57014352"/>
    <w:rsid w:val="573D63DA"/>
    <w:rsid w:val="576E940A"/>
    <w:rsid w:val="57AFC138"/>
    <w:rsid w:val="57BFE285"/>
    <w:rsid w:val="57D5B179"/>
    <w:rsid w:val="57DBE7AC"/>
    <w:rsid w:val="57DD41C0"/>
    <w:rsid w:val="57E70F57"/>
    <w:rsid w:val="57EF46D5"/>
    <w:rsid w:val="57FBCD8A"/>
    <w:rsid w:val="57FDC686"/>
    <w:rsid w:val="57FFE8DD"/>
    <w:rsid w:val="582A60AC"/>
    <w:rsid w:val="58841836"/>
    <w:rsid w:val="58BFC293"/>
    <w:rsid w:val="58D96099"/>
    <w:rsid w:val="594F9F96"/>
    <w:rsid w:val="59553C73"/>
    <w:rsid w:val="598F29B3"/>
    <w:rsid w:val="599FD232"/>
    <w:rsid w:val="59CD9A52"/>
    <w:rsid w:val="59EF0511"/>
    <w:rsid w:val="59FF62C8"/>
    <w:rsid w:val="5A7F463C"/>
    <w:rsid w:val="5ABBDF2B"/>
    <w:rsid w:val="5AEC2D3D"/>
    <w:rsid w:val="5B3336B2"/>
    <w:rsid w:val="5B3E2C04"/>
    <w:rsid w:val="5B5642E6"/>
    <w:rsid w:val="5B7E9F71"/>
    <w:rsid w:val="5B9467C0"/>
    <w:rsid w:val="5B9A48BE"/>
    <w:rsid w:val="5BAFF1B8"/>
    <w:rsid w:val="5BBBAF0A"/>
    <w:rsid w:val="5BD7D220"/>
    <w:rsid w:val="5BDDF1F8"/>
    <w:rsid w:val="5BF3A74E"/>
    <w:rsid w:val="5BF68CF6"/>
    <w:rsid w:val="5BF8AA04"/>
    <w:rsid w:val="5BFC5027"/>
    <w:rsid w:val="5BFD1224"/>
    <w:rsid w:val="5BFD3CB7"/>
    <w:rsid w:val="5BFDB7EC"/>
    <w:rsid w:val="5C6FBA19"/>
    <w:rsid w:val="5C7EB9DA"/>
    <w:rsid w:val="5C9B734C"/>
    <w:rsid w:val="5CD78333"/>
    <w:rsid w:val="5CEBCAD6"/>
    <w:rsid w:val="5CF3E376"/>
    <w:rsid w:val="5CFF2307"/>
    <w:rsid w:val="5D177A7A"/>
    <w:rsid w:val="5D7F530F"/>
    <w:rsid w:val="5D8CAEE6"/>
    <w:rsid w:val="5D953CD4"/>
    <w:rsid w:val="5DB3473A"/>
    <w:rsid w:val="5DBF23B5"/>
    <w:rsid w:val="5DC67B8B"/>
    <w:rsid w:val="5DCD2524"/>
    <w:rsid w:val="5DDB479A"/>
    <w:rsid w:val="5DED387C"/>
    <w:rsid w:val="5DF5385C"/>
    <w:rsid w:val="5DF7A785"/>
    <w:rsid w:val="5DFDEB58"/>
    <w:rsid w:val="5DFE02C1"/>
    <w:rsid w:val="5E2FF403"/>
    <w:rsid w:val="5E336754"/>
    <w:rsid w:val="5E3B697E"/>
    <w:rsid w:val="5E60746C"/>
    <w:rsid w:val="5E7594B2"/>
    <w:rsid w:val="5E937489"/>
    <w:rsid w:val="5EBE7485"/>
    <w:rsid w:val="5EBFB65F"/>
    <w:rsid w:val="5ECB379A"/>
    <w:rsid w:val="5ED152C2"/>
    <w:rsid w:val="5EF7A60A"/>
    <w:rsid w:val="5EFAFDD7"/>
    <w:rsid w:val="5EFD709E"/>
    <w:rsid w:val="5EFEADE1"/>
    <w:rsid w:val="5F1F1CEB"/>
    <w:rsid w:val="5F1F70DF"/>
    <w:rsid w:val="5F3EB388"/>
    <w:rsid w:val="5F3F32A1"/>
    <w:rsid w:val="5F3F4069"/>
    <w:rsid w:val="5F585F83"/>
    <w:rsid w:val="5F7D9EDD"/>
    <w:rsid w:val="5F7E2721"/>
    <w:rsid w:val="5F7E5599"/>
    <w:rsid w:val="5F9D7187"/>
    <w:rsid w:val="5FAA78F5"/>
    <w:rsid w:val="5FD9895F"/>
    <w:rsid w:val="5FDB01DB"/>
    <w:rsid w:val="5FDC4B56"/>
    <w:rsid w:val="5FE744AA"/>
    <w:rsid w:val="5FEB83AD"/>
    <w:rsid w:val="5FEEFD8E"/>
    <w:rsid w:val="5FEF519A"/>
    <w:rsid w:val="5FEF96F0"/>
    <w:rsid w:val="5FEFD330"/>
    <w:rsid w:val="5FF33712"/>
    <w:rsid w:val="5FF79CF0"/>
    <w:rsid w:val="5FF980EC"/>
    <w:rsid w:val="5FF98146"/>
    <w:rsid w:val="5FF999D4"/>
    <w:rsid w:val="5FFA2044"/>
    <w:rsid w:val="5FFA3473"/>
    <w:rsid w:val="5FFBE073"/>
    <w:rsid w:val="5FFC2FA4"/>
    <w:rsid w:val="5FFDD2DA"/>
    <w:rsid w:val="5FFF5029"/>
    <w:rsid w:val="5FFFFC6E"/>
    <w:rsid w:val="617D4A6A"/>
    <w:rsid w:val="61B31169"/>
    <w:rsid w:val="61D35B82"/>
    <w:rsid w:val="62C73DF1"/>
    <w:rsid w:val="62CF0EFF"/>
    <w:rsid w:val="62FFDDCB"/>
    <w:rsid w:val="638377A8"/>
    <w:rsid w:val="63EB71E8"/>
    <w:rsid w:val="63FC607C"/>
    <w:rsid w:val="63FF7A03"/>
    <w:rsid w:val="6417516A"/>
    <w:rsid w:val="645D6ED9"/>
    <w:rsid w:val="648835C7"/>
    <w:rsid w:val="653B7765"/>
    <w:rsid w:val="655B3FD7"/>
    <w:rsid w:val="65C37738"/>
    <w:rsid w:val="65E46921"/>
    <w:rsid w:val="66D63AB5"/>
    <w:rsid w:val="670C1F82"/>
    <w:rsid w:val="671E9133"/>
    <w:rsid w:val="677DC604"/>
    <w:rsid w:val="677DF9AF"/>
    <w:rsid w:val="678E41F3"/>
    <w:rsid w:val="67AFF102"/>
    <w:rsid w:val="67B7B560"/>
    <w:rsid w:val="67CE9F02"/>
    <w:rsid w:val="67DD8961"/>
    <w:rsid w:val="67DE850A"/>
    <w:rsid w:val="67EAE887"/>
    <w:rsid w:val="694D1DDC"/>
    <w:rsid w:val="69774823"/>
    <w:rsid w:val="697E3C46"/>
    <w:rsid w:val="69BC06BD"/>
    <w:rsid w:val="69FE0A5F"/>
    <w:rsid w:val="6A3D2095"/>
    <w:rsid w:val="6A4515FF"/>
    <w:rsid w:val="6A723F09"/>
    <w:rsid w:val="6A7D6FBC"/>
    <w:rsid w:val="6A860352"/>
    <w:rsid w:val="6A8B0F56"/>
    <w:rsid w:val="6ABF683F"/>
    <w:rsid w:val="6ABFCBE9"/>
    <w:rsid w:val="6AEC4A2D"/>
    <w:rsid w:val="6AF57D44"/>
    <w:rsid w:val="6B7BBC6F"/>
    <w:rsid w:val="6BBE8DC3"/>
    <w:rsid w:val="6BDB9361"/>
    <w:rsid w:val="6BDC5CA0"/>
    <w:rsid w:val="6BDCF144"/>
    <w:rsid w:val="6BE73003"/>
    <w:rsid w:val="6BEFAF24"/>
    <w:rsid w:val="6BEFFBC2"/>
    <w:rsid w:val="6BF3BB87"/>
    <w:rsid w:val="6BFD7552"/>
    <w:rsid w:val="6BFE00A3"/>
    <w:rsid w:val="6BFF6CCC"/>
    <w:rsid w:val="6CBB95F6"/>
    <w:rsid w:val="6CBCFB11"/>
    <w:rsid w:val="6CF6948C"/>
    <w:rsid w:val="6CF7D0E3"/>
    <w:rsid w:val="6CFEDE13"/>
    <w:rsid w:val="6D57DC9A"/>
    <w:rsid w:val="6D5D17A2"/>
    <w:rsid w:val="6D6B4986"/>
    <w:rsid w:val="6D6E17C5"/>
    <w:rsid w:val="6D7FA425"/>
    <w:rsid w:val="6DFB684D"/>
    <w:rsid w:val="6DFCE492"/>
    <w:rsid w:val="6DFD965B"/>
    <w:rsid w:val="6DFF3DA8"/>
    <w:rsid w:val="6DFF8FE4"/>
    <w:rsid w:val="6DFF93EE"/>
    <w:rsid w:val="6E182A45"/>
    <w:rsid w:val="6E4E3658"/>
    <w:rsid w:val="6E5969EA"/>
    <w:rsid w:val="6E65A335"/>
    <w:rsid w:val="6E72127E"/>
    <w:rsid w:val="6EB56785"/>
    <w:rsid w:val="6EBBEFC4"/>
    <w:rsid w:val="6EDF3A8D"/>
    <w:rsid w:val="6EEEA5EE"/>
    <w:rsid w:val="6EEF3DBB"/>
    <w:rsid w:val="6EEF5774"/>
    <w:rsid w:val="6EF1815E"/>
    <w:rsid w:val="6EF7BA2F"/>
    <w:rsid w:val="6EFEF699"/>
    <w:rsid w:val="6F2F60A1"/>
    <w:rsid w:val="6F5BAD55"/>
    <w:rsid w:val="6F5E201F"/>
    <w:rsid w:val="6F5ECC87"/>
    <w:rsid w:val="6F7723CE"/>
    <w:rsid w:val="6F7E0090"/>
    <w:rsid w:val="6F7FF651"/>
    <w:rsid w:val="6F9A6F50"/>
    <w:rsid w:val="6F9B5ADC"/>
    <w:rsid w:val="6F9BDB6C"/>
    <w:rsid w:val="6F9D25AC"/>
    <w:rsid w:val="6F9FCFB9"/>
    <w:rsid w:val="6FA58BCC"/>
    <w:rsid w:val="6FAF19E1"/>
    <w:rsid w:val="6FBF8E07"/>
    <w:rsid w:val="6FBF955A"/>
    <w:rsid w:val="6FC7935B"/>
    <w:rsid w:val="6FCF9412"/>
    <w:rsid w:val="6FD788F5"/>
    <w:rsid w:val="6FDEFEF9"/>
    <w:rsid w:val="6FDF767E"/>
    <w:rsid w:val="6FE644E1"/>
    <w:rsid w:val="6FEB7021"/>
    <w:rsid w:val="6FEB91EC"/>
    <w:rsid w:val="6FF4CBE6"/>
    <w:rsid w:val="6FFB0603"/>
    <w:rsid w:val="6FFB67C7"/>
    <w:rsid w:val="6FFDC0A3"/>
    <w:rsid w:val="6FFF3CE2"/>
    <w:rsid w:val="6FFFF469"/>
    <w:rsid w:val="7077A43F"/>
    <w:rsid w:val="708B3515"/>
    <w:rsid w:val="70DE537D"/>
    <w:rsid w:val="70F9B025"/>
    <w:rsid w:val="70FBCB2C"/>
    <w:rsid w:val="712B3822"/>
    <w:rsid w:val="715FC76C"/>
    <w:rsid w:val="71692C8E"/>
    <w:rsid w:val="717DD7B3"/>
    <w:rsid w:val="71844044"/>
    <w:rsid w:val="71884B08"/>
    <w:rsid w:val="719DC92F"/>
    <w:rsid w:val="71EF1ABB"/>
    <w:rsid w:val="71FB4449"/>
    <w:rsid w:val="7273247D"/>
    <w:rsid w:val="72C07827"/>
    <w:rsid w:val="72F87E26"/>
    <w:rsid w:val="72FFCF7B"/>
    <w:rsid w:val="73774FB1"/>
    <w:rsid w:val="737B0ED8"/>
    <w:rsid w:val="737EE920"/>
    <w:rsid w:val="73A7572A"/>
    <w:rsid w:val="73B51EF9"/>
    <w:rsid w:val="73BB12E0"/>
    <w:rsid w:val="73D68846"/>
    <w:rsid w:val="73ED6581"/>
    <w:rsid w:val="73EFF68F"/>
    <w:rsid w:val="73F31CE6"/>
    <w:rsid w:val="73F67713"/>
    <w:rsid w:val="73FEF627"/>
    <w:rsid w:val="7474F750"/>
    <w:rsid w:val="74D487E0"/>
    <w:rsid w:val="75150BCE"/>
    <w:rsid w:val="754D1B9A"/>
    <w:rsid w:val="757D7A13"/>
    <w:rsid w:val="757DC1AF"/>
    <w:rsid w:val="758BCED1"/>
    <w:rsid w:val="75AC1E99"/>
    <w:rsid w:val="75BBBC97"/>
    <w:rsid w:val="75BFA760"/>
    <w:rsid w:val="75C441C0"/>
    <w:rsid w:val="75F16A70"/>
    <w:rsid w:val="75F6C1F4"/>
    <w:rsid w:val="75FAB8AE"/>
    <w:rsid w:val="75FE53C8"/>
    <w:rsid w:val="75FF384B"/>
    <w:rsid w:val="76206228"/>
    <w:rsid w:val="7639CDBB"/>
    <w:rsid w:val="763C6BA9"/>
    <w:rsid w:val="767D9B7C"/>
    <w:rsid w:val="767FD516"/>
    <w:rsid w:val="76BB9CA5"/>
    <w:rsid w:val="76EFB9C9"/>
    <w:rsid w:val="76FBD766"/>
    <w:rsid w:val="76FEFD5E"/>
    <w:rsid w:val="76FF95AE"/>
    <w:rsid w:val="7729B9CA"/>
    <w:rsid w:val="775F8ADC"/>
    <w:rsid w:val="776B273C"/>
    <w:rsid w:val="776EFD4D"/>
    <w:rsid w:val="777ED7C6"/>
    <w:rsid w:val="777F8A55"/>
    <w:rsid w:val="7789629F"/>
    <w:rsid w:val="7797CA11"/>
    <w:rsid w:val="779F6AA7"/>
    <w:rsid w:val="77B2FF19"/>
    <w:rsid w:val="77BF26A7"/>
    <w:rsid w:val="77C7E874"/>
    <w:rsid w:val="77CB89BE"/>
    <w:rsid w:val="77D0BF8E"/>
    <w:rsid w:val="77DB4BD1"/>
    <w:rsid w:val="77DE42AA"/>
    <w:rsid w:val="77DFA61D"/>
    <w:rsid w:val="77EDB1F1"/>
    <w:rsid w:val="77F26746"/>
    <w:rsid w:val="77F58A90"/>
    <w:rsid w:val="77F775FB"/>
    <w:rsid w:val="77F7AFA9"/>
    <w:rsid w:val="77F7F1BE"/>
    <w:rsid w:val="77F95BD2"/>
    <w:rsid w:val="77FB3E98"/>
    <w:rsid w:val="77FCA16E"/>
    <w:rsid w:val="77FE7B4F"/>
    <w:rsid w:val="77FF0D06"/>
    <w:rsid w:val="77FF5B7A"/>
    <w:rsid w:val="786C74ED"/>
    <w:rsid w:val="78AA05C8"/>
    <w:rsid w:val="78BFC3B0"/>
    <w:rsid w:val="78DF136F"/>
    <w:rsid w:val="78F74BF5"/>
    <w:rsid w:val="78FB78D2"/>
    <w:rsid w:val="78FBA2ED"/>
    <w:rsid w:val="78FD27C7"/>
    <w:rsid w:val="78FE5A63"/>
    <w:rsid w:val="791668EE"/>
    <w:rsid w:val="79516EBF"/>
    <w:rsid w:val="795E8D68"/>
    <w:rsid w:val="795F75BD"/>
    <w:rsid w:val="798FDD30"/>
    <w:rsid w:val="79AD4284"/>
    <w:rsid w:val="79BB5570"/>
    <w:rsid w:val="79BB5D66"/>
    <w:rsid w:val="79BE15F1"/>
    <w:rsid w:val="79D945A5"/>
    <w:rsid w:val="79DF37F9"/>
    <w:rsid w:val="79E99839"/>
    <w:rsid w:val="79F11DD0"/>
    <w:rsid w:val="79F346E7"/>
    <w:rsid w:val="79FBE1F7"/>
    <w:rsid w:val="79FF3494"/>
    <w:rsid w:val="7A9F2409"/>
    <w:rsid w:val="7AB7FBA4"/>
    <w:rsid w:val="7ABD431C"/>
    <w:rsid w:val="7ACFF7E7"/>
    <w:rsid w:val="7ADF8D06"/>
    <w:rsid w:val="7AF1E608"/>
    <w:rsid w:val="7AF49052"/>
    <w:rsid w:val="7AF5429E"/>
    <w:rsid w:val="7B15E767"/>
    <w:rsid w:val="7B1E9879"/>
    <w:rsid w:val="7B3BAE17"/>
    <w:rsid w:val="7B3FD99F"/>
    <w:rsid w:val="7B5E6D67"/>
    <w:rsid w:val="7B757168"/>
    <w:rsid w:val="7B776EEE"/>
    <w:rsid w:val="7B7B0273"/>
    <w:rsid w:val="7B7D0951"/>
    <w:rsid w:val="7B7F93E2"/>
    <w:rsid w:val="7B7FBFEB"/>
    <w:rsid w:val="7BB411C3"/>
    <w:rsid w:val="7BB59F4D"/>
    <w:rsid w:val="7BBA1DF7"/>
    <w:rsid w:val="7BBB13C9"/>
    <w:rsid w:val="7BBB924A"/>
    <w:rsid w:val="7BBF08EE"/>
    <w:rsid w:val="7BBF1625"/>
    <w:rsid w:val="7BBFFAA8"/>
    <w:rsid w:val="7BC3E1CB"/>
    <w:rsid w:val="7BD734A3"/>
    <w:rsid w:val="7BDD7B37"/>
    <w:rsid w:val="7BDDA73C"/>
    <w:rsid w:val="7BE44CF8"/>
    <w:rsid w:val="7BEA6A05"/>
    <w:rsid w:val="7BEB247B"/>
    <w:rsid w:val="7BEFE6DA"/>
    <w:rsid w:val="7BF3BF39"/>
    <w:rsid w:val="7BF5B9F7"/>
    <w:rsid w:val="7BF70AB0"/>
    <w:rsid w:val="7BF767AD"/>
    <w:rsid w:val="7BFA25E7"/>
    <w:rsid w:val="7BFC3C65"/>
    <w:rsid w:val="7BFE72B7"/>
    <w:rsid w:val="7BFEEFEC"/>
    <w:rsid w:val="7BFF41CF"/>
    <w:rsid w:val="7C1FED41"/>
    <w:rsid w:val="7C67BD8A"/>
    <w:rsid w:val="7C9E0C08"/>
    <w:rsid w:val="7CD098CE"/>
    <w:rsid w:val="7CDFF093"/>
    <w:rsid w:val="7CE42760"/>
    <w:rsid w:val="7CF5A78E"/>
    <w:rsid w:val="7CFEE297"/>
    <w:rsid w:val="7CFF5F62"/>
    <w:rsid w:val="7D1F3A6B"/>
    <w:rsid w:val="7D3B2FB6"/>
    <w:rsid w:val="7D57E2C2"/>
    <w:rsid w:val="7D75143C"/>
    <w:rsid w:val="7D7C255C"/>
    <w:rsid w:val="7D7F7F4D"/>
    <w:rsid w:val="7DA39A1C"/>
    <w:rsid w:val="7DBBB1D2"/>
    <w:rsid w:val="7DBDC376"/>
    <w:rsid w:val="7DBFBEF4"/>
    <w:rsid w:val="7DCCA112"/>
    <w:rsid w:val="7DDF7960"/>
    <w:rsid w:val="7DDF9BC5"/>
    <w:rsid w:val="7DDFF113"/>
    <w:rsid w:val="7DE5B451"/>
    <w:rsid w:val="7DEB9A91"/>
    <w:rsid w:val="7DF4A9F5"/>
    <w:rsid w:val="7DF5F05D"/>
    <w:rsid w:val="7DF74725"/>
    <w:rsid w:val="7DF790F9"/>
    <w:rsid w:val="7DF84455"/>
    <w:rsid w:val="7DF9B896"/>
    <w:rsid w:val="7DFA3791"/>
    <w:rsid w:val="7DFA7BD2"/>
    <w:rsid w:val="7DFB0C88"/>
    <w:rsid w:val="7DFB7837"/>
    <w:rsid w:val="7DFE5EBD"/>
    <w:rsid w:val="7DFEA849"/>
    <w:rsid w:val="7DFF289B"/>
    <w:rsid w:val="7DFF8CEA"/>
    <w:rsid w:val="7DFFB292"/>
    <w:rsid w:val="7DFFB7A9"/>
    <w:rsid w:val="7DFFE009"/>
    <w:rsid w:val="7DFFE626"/>
    <w:rsid w:val="7DFFEF6C"/>
    <w:rsid w:val="7E07355D"/>
    <w:rsid w:val="7E131720"/>
    <w:rsid w:val="7E5F4FAD"/>
    <w:rsid w:val="7E5F86EE"/>
    <w:rsid w:val="7E5FDE9C"/>
    <w:rsid w:val="7E5FE693"/>
    <w:rsid w:val="7E652F5C"/>
    <w:rsid w:val="7E6DB550"/>
    <w:rsid w:val="7E7B84EB"/>
    <w:rsid w:val="7E7BA5F5"/>
    <w:rsid w:val="7E884CE2"/>
    <w:rsid w:val="7E8F5D39"/>
    <w:rsid w:val="7E8F6586"/>
    <w:rsid w:val="7EAD171A"/>
    <w:rsid w:val="7EB9FE92"/>
    <w:rsid w:val="7EBA6A5F"/>
    <w:rsid w:val="7EBD3167"/>
    <w:rsid w:val="7EC7E795"/>
    <w:rsid w:val="7EDB602D"/>
    <w:rsid w:val="7EDF0B49"/>
    <w:rsid w:val="7EED2D5B"/>
    <w:rsid w:val="7EEDC4AF"/>
    <w:rsid w:val="7EEE9E16"/>
    <w:rsid w:val="7EF2E440"/>
    <w:rsid w:val="7EF34A6F"/>
    <w:rsid w:val="7EF5BD95"/>
    <w:rsid w:val="7EF7E87F"/>
    <w:rsid w:val="7EFBDC7D"/>
    <w:rsid w:val="7EFDB6A1"/>
    <w:rsid w:val="7EFDE50D"/>
    <w:rsid w:val="7EFE2D74"/>
    <w:rsid w:val="7EFE5105"/>
    <w:rsid w:val="7EFF1433"/>
    <w:rsid w:val="7EFF16F6"/>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532DA4"/>
    <w:rsid w:val="7F59FBAD"/>
    <w:rsid w:val="7F5A1869"/>
    <w:rsid w:val="7F5D4CA1"/>
    <w:rsid w:val="7F66564B"/>
    <w:rsid w:val="7F736BB3"/>
    <w:rsid w:val="7F759B80"/>
    <w:rsid w:val="7F7A0D5A"/>
    <w:rsid w:val="7F7D6F11"/>
    <w:rsid w:val="7F7D72E0"/>
    <w:rsid w:val="7F7E62FE"/>
    <w:rsid w:val="7F7F4081"/>
    <w:rsid w:val="7F7F8BA7"/>
    <w:rsid w:val="7F7FE757"/>
    <w:rsid w:val="7F7FEA65"/>
    <w:rsid w:val="7F8DE414"/>
    <w:rsid w:val="7F9509F6"/>
    <w:rsid w:val="7F979FD3"/>
    <w:rsid w:val="7F9A9519"/>
    <w:rsid w:val="7F9BBFCF"/>
    <w:rsid w:val="7FA73241"/>
    <w:rsid w:val="7FA7E5AA"/>
    <w:rsid w:val="7FA906A8"/>
    <w:rsid w:val="7FADB99B"/>
    <w:rsid w:val="7FAF0973"/>
    <w:rsid w:val="7FB7DD35"/>
    <w:rsid w:val="7FBC285B"/>
    <w:rsid w:val="7FBE3F1A"/>
    <w:rsid w:val="7FBF0F57"/>
    <w:rsid w:val="7FBF1CE7"/>
    <w:rsid w:val="7FBFE2FD"/>
    <w:rsid w:val="7FD232CF"/>
    <w:rsid w:val="7FD39406"/>
    <w:rsid w:val="7FD500EF"/>
    <w:rsid w:val="7FD5DB77"/>
    <w:rsid w:val="7FD71EF4"/>
    <w:rsid w:val="7FD7DCD4"/>
    <w:rsid w:val="7FDD30B5"/>
    <w:rsid w:val="7FDDDA05"/>
    <w:rsid w:val="7FDF0374"/>
    <w:rsid w:val="7FDF62F6"/>
    <w:rsid w:val="7FDF6EEC"/>
    <w:rsid w:val="7FDFF71C"/>
    <w:rsid w:val="7FE1423F"/>
    <w:rsid w:val="7FE7D156"/>
    <w:rsid w:val="7FEA437C"/>
    <w:rsid w:val="7FEAB617"/>
    <w:rsid w:val="7FEB9FD7"/>
    <w:rsid w:val="7FEBC153"/>
    <w:rsid w:val="7FECD89D"/>
    <w:rsid w:val="7FED05D8"/>
    <w:rsid w:val="7FEEA687"/>
    <w:rsid w:val="7FEF4DB0"/>
    <w:rsid w:val="7FEF5E61"/>
    <w:rsid w:val="7FEF779A"/>
    <w:rsid w:val="7FEF8320"/>
    <w:rsid w:val="7FEFE316"/>
    <w:rsid w:val="7FEFF3CE"/>
    <w:rsid w:val="7FF3054E"/>
    <w:rsid w:val="7FF3C790"/>
    <w:rsid w:val="7FF49BA0"/>
    <w:rsid w:val="7FF6014E"/>
    <w:rsid w:val="7FF70A8D"/>
    <w:rsid w:val="7FF7841C"/>
    <w:rsid w:val="7FF79A2F"/>
    <w:rsid w:val="7FF7AD73"/>
    <w:rsid w:val="7FF7AE27"/>
    <w:rsid w:val="7FF95C95"/>
    <w:rsid w:val="7FFB0B36"/>
    <w:rsid w:val="7FFBB955"/>
    <w:rsid w:val="7FFBC8F2"/>
    <w:rsid w:val="7FFBE6EF"/>
    <w:rsid w:val="7FFD647B"/>
    <w:rsid w:val="7FFE2D43"/>
    <w:rsid w:val="7FFE6059"/>
    <w:rsid w:val="7FFE6B32"/>
    <w:rsid w:val="7FFEABF9"/>
    <w:rsid w:val="7FFEDEBC"/>
    <w:rsid w:val="7FFF38E2"/>
    <w:rsid w:val="7FFF4344"/>
    <w:rsid w:val="7FFF4553"/>
    <w:rsid w:val="7FFF7D41"/>
    <w:rsid w:val="7FFFB338"/>
    <w:rsid w:val="7FFFB69F"/>
    <w:rsid w:val="7FFFE0A9"/>
    <w:rsid w:val="7FFFEF51"/>
    <w:rsid w:val="878BBF5A"/>
    <w:rsid w:val="89CF1D98"/>
    <w:rsid w:val="8BBF9311"/>
    <w:rsid w:val="8ED7C19A"/>
    <w:rsid w:val="8EEEF1E8"/>
    <w:rsid w:val="8F738877"/>
    <w:rsid w:val="8F7E7D85"/>
    <w:rsid w:val="8FCFEC67"/>
    <w:rsid w:val="8FFB6887"/>
    <w:rsid w:val="8FFFEB91"/>
    <w:rsid w:val="93B96D56"/>
    <w:rsid w:val="93DE452D"/>
    <w:rsid w:val="95B9AA5C"/>
    <w:rsid w:val="96DF0BAC"/>
    <w:rsid w:val="97BBDB9E"/>
    <w:rsid w:val="97FDE061"/>
    <w:rsid w:val="9B6A78A1"/>
    <w:rsid w:val="9B7F74AA"/>
    <w:rsid w:val="9B9ECE6A"/>
    <w:rsid w:val="9BCF3212"/>
    <w:rsid w:val="9BD700FA"/>
    <w:rsid w:val="9BDAE751"/>
    <w:rsid w:val="9BFDA9B9"/>
    <w:rsid w:val="9CDD68BD"/>
    <w:rsid w:val="9CFDB1E6"/>
    <w:rsid w:val="9D1D3CE9"/>
    <w:rsid w:val="9DBE0C4A"/>
    <w:rsid w:val="9DED8F43"/>
    <w:rsid w:val="9DF9C5D1"/>
    <w:rsid w:val="9E993BF0"/>
    <w:rsid w:val="9EECD5E1"/>
    <w:rsid w:val="9EFF63D0"/>
    <w:rsid w:val="9F33322C"/>
    <w:rsid w:val="9F370502"/>
    <w:rsid w:val="9F5BFDD6"/>
    <w:rsid w:val="9FD5BB96"/>
    <w:rsid w:val="9FD7768C"/>
    <w:rsid w:val="9FEF9D75"/>
    <w:rsid w:val="9FF7D87B"/>
    <w:rsid w:val="9FF7F80E"/>
    <w:rsid w:val="9FFD6819"/>
    <w:rsid w:val="9FFF9EED"/>
    <w:rsid w:val="A38E863A"/>
    <w:rsid w:val="A57EDA5E"/>
    <w:rsid w:val="A5ADD129"/>
    <w:rsid w:val="A5FF95BE"/>
    <w:rsid w:val="A7ED053A"/>
    <w:rsid w:val="A7F7032C"/>
    <w:rsid w:val="A7FF35F6"/>
    <w:rsid w:val="A7FF913D"/>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F8080"/>
    <w:rsid w:val="AD7F38A2"/>
    <w:rsid w:val="AD7FBA59"/>
    <w:rsid w:val="AD970582"/>
    <w:rsid w:val="ADBB73F3"/>
    <w:rsid w:val="ADC358B8"/>
    <w:rsid w:val="ADFA229E"/>
    <w:rsid w:val="ADFBC9D7"/>
    <w:rsid w:val="AE066B85"/>
    <w:rsid w:val="AE752BEC"/>
    <w:rsid w:val="AEF50F84"/>
    <w:rsid w:val="AF6CC4AE"/>
    <w:rsid w:val="AF79B496"/>
    <w:rsid w:val="AFD7123F"/>
    <w:rsid w:val="AFEA9A4C"/>
    <w:rsid w:val="AFFD6E8F"/>
    <w:rsid w:val="AFFD6EFB"/>
    <w:rsid w:val="AFFED56E"/>
    <w:rsid w:val="AFFFED7B"/>
    <w:rsid w:val="B2DF8DD8"/>
    <w:rsid w:val="B2F47022"/>
    <w:rsid w:val="B33C0D29"/>
    <w:rsid w:val="B3C458EF"/>
    <w:rsid w:val="B3F148B5"/>
    <w:rsid w:val="B4FF9ACA"/>
    <w:rsid w:val="B5B576AC"/>
    <w:rsid w:val="B69BA5DD"/>
    <w:rsid w:val="B6F7CE56"/>
    <w:rsid w:val="B6FEDD84"/>
    <w:rsid w:val="B763EBBC"/>
    <w:rsid w:val="B76EFA11"/>
    <w:rsid w:val="B77FC831"/>
    <w:rsid w:val="B78F7E39"/>
    <w:rsid w:val="B797D9A9"/>
    <w:rsid w:val="B79FF465"/>
    <w:rsid w:val="B7DFD8DF"/>
    <w:rsid w:val="B7EDC966"/>
    <w:rsid w:val="B7F386E3"/>
    <w:rsid w:val="B7FB4C34"/>
    <w:rsid w:val="B7FC70DB"/>
    <w:rsid w:val="B7FF314F"/>
    <w:rsid w:val="B7FFB16E"/>
    <w:rsid w:val="B7FFD648"/>
    <w:rsid w:val="B9DE29B9"/>
    <w:rsid w:val="B9FA9178"/>
    <w:rsid w:val="B9FCE0B5"/>
    <w:rsid w:val="B9FF7F8E"/>
    <w:rsid w:val="B9FFB879"/>
    <w:rsid w:val="BAD603D9"/>
    <w:rsid w:val="BAEE8A21"/>
    <w:rsid w:val="BAEF907E"/>
    <w:rsid w:val="BAF9BF7C"/>
    <w:rsid w:val="BB7BF0F9"/>
    <w:rsid w:val="BB7D94EC"/>
    <w:rsid w:val="BBBC522F"/>
    <w:rsid w:val="BBDA4C2A"/>
    <w:rsid w:val="BBDE722F"/>
    <w:rsid w:val="BBEF346B"/>
    <w:rsid w:val="BBEFF16C"/>
    <w:rsid w:val="BBF74192"/>
    <w:rsid w:val="BCF70CED"/>
    <w:rsid w:val="BCFFFB96"/>
    <w:rsid w:val="BD3F42D7"/>
    <w:rsid w:val="BD4F02D5"/>
    <w:rsid w:val="BD7F915C"/>
    <w:rsid w:val="BDB98D7B"/>
    <w:rsid w:val="BDBD2207"/>
    <w:rsid w:val="BDBF922D"/>
    <w:rsid w:val="BDBFD108"/>
    <w:rsid w:val="BDD09CDB"/>
    <w:rsid w:val="BDD3C732"/>
    <w:rsid w:val="BDED2E20"/>
    <w:rsid w:val="BDF278CE"/>
    <w:rsid w:val="BDF62023"/>
    <w:rsid w:val="BDFBC3F4"/>
    <w:rsid w:val="BDFFAC50"/>
    <w:rsid w:val="BE0F68B4"/>
    <w:rsid w:val="BE16CC4E"/>
    <w:rsid w:val="BE3BE464"/>
    <w:rsid w:val="BE5F612F"/>
    <w:rsid w:val="BE7F5975"/>
    <w:rsid w:val="BE9A7990"/>
    <w:rsid w:val="BEB746B8"/>
    <w:rsid w:val="BEBB3B93"/>
    <w:rsid w:val="BEC63099"/>
    <w:rsid w:val="BEDE62FB"/>
    <w:rsid w:val="BEEFA20C"/>
    <w:rsid w:val="BEEFB08B"/>
    <w:rsid w:val="BEF89F54"/>
    <w:rsid w:val="BEFD774F"/>
    <w:rsid w:val="BEFD8481"/>
    <w:rsid w:val="BF675C6D"/>
    <w:rsid w:val="BF7F3043"/>
    <w:rsid w:val="BFAF6BEA"/>
    <w:rsid w:val="BFB3220D"/>
    <w:rsid w:val="BFB71D93"/>
    <w:rsid w:val="BFB7BE07"/>
    <w:rsid w:val="BFBBE20F"/>
    <w:rsid w:val="BFBE9210"/>
    <w:rsid w:val="BFBE9B55"/>
    <w:rsid w:val="BFBED6FD"/>
    <w:rsid w:val="BFC5A207"/>
    <w:rsid w:val="BFC70874"/>
    <w:rsid w:val="BFD64240"/>
    <w:rsid w:val="BFD7EC7E"/>
    <w:rsid w:val="BFED66DB"/>
    <w:rsid w:val="BFEF1CF0"/>
    <w:rsid w:val="BFEFCAFA"/>
    <w:rsid w:val="BFF211F5"/>
    <w:rsid w:val="BFFA9525"/>
    <w:rsid w:val="BFFE9173"/>
    <w:rsid w:val="BFFF05AA"/>
    <w:rsid w:val="BFFF2794"/>
    <w:rsid w:val="BFFFD7C6"/>
    <w:rsid w:val="BFFFDD6C"/>
    <w:rsid w:val="C175FC02"/>
    <w:rsid w:val="C22D1432"/>
    <w:rsid w:val="C377D33E"/>
    <w:rsid w:val="C3817AF8"/>
    <w:rsid w:val="C6F79AA3"/>
    <w:rsid w:val="C6FF5552"/>
    <w:rsid w:val="C74F1025"/>
    <w:rsid w:val="C7A6E0C6"/>
    <w:rsid w:val="C7D5E229"/>
    <w:rsid w:val="C97B931B"/>
    <w:rsid w:val="C9F79D00"/>
    <w:rsid w:val="CADC6933"/>
    <w:rsid w:val="CAFAA37E"/>
    <w:rsid w:val="CB75B92C"/>
    <w:rsid w:val="CBB7F621"/>
    <w:rsid w:val="CBD7FC94"/>
    <w:rsid w:val="CC4EC24D"/>
    <w:rsid w:val="CCDEA039"/>
    <w:rsid w:val="CD2F8F6B"/>
    <w:rsid w:val="CD3FEDD1"/>
    <w:rsid w:val="CD43FCA8"/>
    <w:rsid w:val="CDD794E5"/>
    <w:rsid w:val="CDE3ACC7"/>
    <w:rsid w:val="CE59865A"/>
    <w:rsid w:val="CEE3C93B"/>
    <w:rsid w:val="CEEF2283"/>
    <w:rsid w:val="CEEF9173"/>
    <w:rsid w:val="CEF962AC"/>
    <w:rsid w:val="CF9FE00B"/>
    <w:rsid w:val="CFB3E3C7"/>
    <w:rsid w:val="CFB62C4F"/>
    <w:rsid w:val="CFB765EE"/>
    <w:rsid w:val="CFD4E29C"/>
    <w:rsid w:val="CFFD05AF"/>
    <w:rsid w:val="CFFF87B9"/>
    <w:rsid w:val="CFFFD98E"/>
    <w:rsid w:val="D0F8E025"/>
    <w:rsid w:val="D1AC3D17"/>
    <w:rsid w:val="D36F8E10"/>
    <w:rsid w:val="D3AF74CA"/>
    <w:rsid w:val="D3B189C1"/>
    <w:rsid w:val="D3F76A6F"/>
    <w:rsid w:val="D427A4B1"/>
    <w:rsid w:val="D4BF6AC9"/>
    <w:rsid w:val="D5080E33"/>
    <w:rsid w:val="D5E8B31C"/>
    <w:rsid w:val="D5E8D377"/>
    <w:rsid w:val="D657661F"/>
    <w:rsid w:val="D67F4E7E"/>
    <w:rsid w:val="D6DF4AEF"/>
    <w:rsid w:val="D6EB6563"/>
    <w:rsid w:val="D75F352F"/>
    <w:rsid w:val="D77D4576"/>
    <w:rsid w:val="D787430D"/>
    <w:rsid w:val="D79D7F56"/>
    <w:rsid w:val="D7A7460B"/>
    <w:rsid w:val="D7DF94DA"/>
    <w:rsid w:val="D7E7FDB1"/>
    <w:rsid w:val="D7EB2526"/>
    <w:rsid w:val="D7EBD1A5"/>
    <w:rsid w:val="D7F62A5C"/>
    <w:rsid w:val="D7FDE049"/>
    <w:rsid w:val="D7FF623E"/>
    <w:rsid w:val="D8FD8BAE"/>
    <w:rsid w:val="D9EFD876"/>
    <w:rsid w:val="D9F6D5BA"/>
    <w:rsid w:val="DA9DC0C0"/>
    <w:rsid w:val="DA9FB462"/>
    <w:rsid w:val="DADB344B"/>
    <w:rsid w:val="DB370689"/>
    <w:rsid w:val="DB3F8FB7"/>
    <w:rsid w:val="DB5D723C"/>
    <w:rsid w:val="DB6FB61A"/>
    <w:rsid w:val="DB73D7DF"/>
    <w:rsid w:val="DB7920D3"/>
    <w:rsid w:val="DB7DAEAA"/>
    <w:rsid w:val="DBD34663"/>
    <w:rsid w:val="DBEAF5C3"/>
    <w:rsid w:val="DBEAFEFE"/>
    <w:rsid w:val="DBEB7774"/>
    <w:rsid w:val="DBFBF72A"/>
    <w:rsid w:val="DBFFA3A0"/>
    <w:rsid w:val="DBFFE62A"/>
    <w:rsid w:val="DCA61F6F"/>
    <w:rsid w:val="DCBE0BF0"/>
    <w:rsid w:val="DCEFDE86"/>
    <w:rsid w:val="DD36A020"/>
    <w:rsid w:val="DD7DD9E1"/>
    <w:rsid w:val="DD7F06CB"/>
    <w:rsid w:val="DD7F2E4B"/>
    <w:rsid w:val="DDDDC088"/>
    <w:rsid w:val="DDEBBDBE"/>
    <w:rsid w:val="DDEF4DF2"/>
    <w:rsid w:val="DDFCBE8A"/>
    <w:rsid w:val="DDFF957E"/>
    <w:rsid w:val="DE6F166E"/>
    <w:rsid w:val="DE7EE9F8"/>
    <w:rsid w:val="DE9B9269"/>
    <w:rsid w:val="DEED798E"/>
    <w:rsid w:val="DEF5439C"/>
    <w:rsid w:val="DEF773E0"/>
    <w:rsid w:val="DEFBAEFB"/>
    <w:rsid w:val="DEFD88FB"/>
    <w:rsid w:val="DEFD9079"/>
    <w:rsid w:val="DEFFC765"/>
    <w:rsid w:val="DEFFF55F"/>
    <w:rsid w:val="DF1E23E0"/>
    <w:rsid w:val="DF1FFAD4"/>
    <w:rsid w:val="DF2C3AB6"/>
    <w:rsid w:val="DF55E0BC"/>
    <w:rsid w:val="DF5758BD"/>
    <w:rsid w:val="DF758D7C"/>
    <w:rsid w:val="DF7D6912"/>
    <w:rsid w:val="DF7DECCB"/>
    <w:rsid w:val="DF7E224E"/>
    <w:rsid w:val="DF7F5067"/>
    <w:rsid w:val="DF7FB3AB"/>
    <w:rsid w:val="DF9EA8A9"/>
    <w:rsid w:val="DFADB1E4"/>
    <w:rsid w:val="DFB7D4DA"/>
    <w:rsid w:val="DFBF3DB0"/>
    <w:rsid w:val="DFBFB69D"/>
    <w:rsid w:val="DFD5D6FB"/>
    <w:rsid w:val="DFDB6BDD"/>
    <w:rsid w:val="DFDCBDA7"/>
    <w:rsid w:val="DFDF25CB"/>
    <w:rsid w:val="DFE71C10"/>
    <w:rsid w:val="DFE734D9"/>
    <w:rsid w:val="DFEAD540"/>
    <w:rsid w:val="DFF51B9C"/>
    <w:rsid w:val="DFF57B4B"/>
    <w:rsid w:val="DFF7BB33"/>
    <w:rsid w:val="DFF7D1B1"/>
    <w:rsid w:val="DFFA2D74"/>
    <w:rsid w:val="DFFBDD6E"/>
    <w:rsid w:val="DFFD987D"/>
    <w:rsid w:val="DFFDA77F"/>
    <w:rsid w:val="DFFDB25B"/>
    <w:rsid w:val="DFFF1FED"/>
    <w:rsid w:val="E1BE4097"/>
    <w:rsid w:val="E1F7CD63"/>
    <w:rsid w:val="E22E61CF"/>
    <w:rsid w:val="E297809D"/>
    <w:rsid w:val="E2F57C1B"/>
    <w:rsid w:val="E2FF1653"/>
    <w:rsid w:val="E37FE289"/>
    <w:rsid w:val="E385F030"/>
    <w:rsid w:val="E3EBB47D"/>
    <w:rsid w:val="E3EE2D82"/>
    <w:rsid w:val="E5B5433D"/>
    <w:rsid w:val="E5D8E41E"/>
    <w:rsid w:val="E5DBD33F"/>
    <w:rsid w:val="E5F7D947"/>
    <w:rsid w:val="E66BF51E"/>
    <w:rsid w:val="E6E3C5F0"/>
    <w:rsid w:val="E6EFE6BD"/>
    <w:rsid w:val="E6F30116"/>
    <w:rsid w:val="E6FF1BD9"/>
    <w:rsid w:val="E72B99B6"/>
    <w:rsid w:val="E7785746"/>
    <w:rsid w:val="E779E75A"/>
    <w:rsid w:val="E78FF6AA"/>
    <w:rsid w:val="E7CFD029"/>
    <w:rsid w:val="E7EF5D44"/>
    <w:rsid w:val="E7F1DFBF"/>
    <w:rsid w:val="E7F47F0E"/>
    <w:rsid w:val="E7FD447C"/>
    <w:rsid w:val="E7FE694C"/>
    <w:rsid w:val="E7FF9A1A"/>
    <w:rsid w:val="E7FFC760"/>
    <w:rsid w:val="E7FFCEF3"/>
    <w:rsid w:val="E8EF498B"/>
    <w:rsid w:val="E97B7F01"/>
    <w:rsid w:val="E9B838B1"/>
    <w:rsid w:val="E9D36EAE"/>
    <w:rsid w:val="E9D78029"/>
    <w:rsid w:val="E9E62B3C"/>
    <w:rsid w:val="E9F410F8"/>
    <w:rsid w:val="E9FCF86D"/>
    <w:rsid w:val="E9FD3D14"/>
    <w:rsid w:val="E9FEB65B"/>
    <w:rsid w:val="EA5F8B2D"/>
    <w:rsid w:val="EA7A1829"/>
    <w:rsid w:val="EAAEE141"/>
    <w:rsid w:val="EAB7969D"/>
    <w:rsid w:val="EABFA8D8"/>
    <w:rsid w:val="EAE6EC88"/>
    <w:rsid w:val="EAF627E0"/>
    <w:rsid w:val="EAF66968"/>
    <w:rsid w:val="EAF74962"/>
    <w:rsid w:val="EAFDA722"/>
    <w:rsid w:val="EAFF4BEE"/>
    <w:rsid w:val="EB3937BB"/>
    <w:rsid w:val="EB3DA1F8"/>
    <w:rsid w:val="EB560F3D"/>
    <w:rsid w:val="EB6EB4A9"/>
    <w:rsid w:val="EB7781B6"/>
    <w:rsid w:val="EB7A728C"/>
    <w:rsid w:val="EBABBC6B"/>
    <w:rsid w:val="EBD7AB46"/>
    <w:rsid w:val="EBF5DABD"/>
    <w:rsid w:val="EBFF99F0"/>
    <w:rsid w:val="EC3F4107"/>
    <w:rsid w:val="ECBE870D"/>
    <w:rsid w:val="ECCFCABF"/>
    <w:rsid w:val="ED3AF84A"/>
    <w:rsid w:val="ED3E8DCE"/>
    <w:rsid w:val="ED457A82"/>
    <w:rsid w:val="ED5E20C3"/>
    <w:rsid w:val="ED5E5821"/>
    <w:rsid w:val="ED77F700"/>
    <w:rsid w:val="ED7D5FB0"/>
    <w:rsid w:val="ED7EBBBE"/>
    <w:rsid w:val="ED7F9B2E"/>
    <w:rsid w:val="ED994E17"/>
    <w:rsid w:val="EDFB7A63"/>
    <w:rsid w:val="EDFB834E"/>
    <w:rsid w:val="EDFBC016"/>
    <w:rsid w:val="EDFBF0DA"/>
    <w:rsid w:val="EDFF379D"/>
    <w:rsid w:val="EDFFAE75"/>
    <w:rsid w:val="EE1E7BE7"/>
    <w:rsid w:val="EE579B44"/>
    <w:rsid w:val="EE758774"/>
    <w:rsid w:val="EE8E1C73"/>
    <w:rsid w:val="EEC79FA8"/>
    <w:rsid w:val="EEE7829C"/>
    <w:rsid w:val="EEF3B7B9"/>
    <w:rsid w:val="EEFB9D6E"/>
    <w:rsid w:val="EEFCD448"/>
    <w:rsid w:val="EEFD4566"/>
    <w:rsid w:val="EF5BBB3E"/>
    <w:rsid w:val="EF5C3C20"/>
    <w:rsid w:val="EF675FF1"/>
    <w:rsid w:val="EF76C74D"/>
    <w:rsid w:val="EF780C29"/>
    <w:rsid w:val="EF7EF8DA"/>
    <w:rsid w:val="EFA59F96"/>
    <w:rsid w:val="EFABE406"/>
    <w:rsid w:val="EFAF001D"/>
    <w:rsid w:val="EFB747A0"/>
    <w:rsid w:val="EFBBA7C0"/>
    <w:rsid w:val="EFBF197E"/>
    <w:rsid w:val="EFBFA87B"/>
    <w:rsid w:val="EFBFE406"/>
    <w:rsid w:val="EFC924B6"/>
    <w:rsid w:val="EFDA80BF"/>
    <w:rsid w:val="EFDDE47A"/>
    <w:rsid w:val="EFDE9B51"/>
    <w:rsid w:val="EFDEB539"/>
    <w:rsid w:val="EFE6ECB7"/>
    <w:rsid w:val="EFE7B998"/>
    <w:rsid w:val="EFE7E5EC"/>
    <w:rsid w:val="EFEA7D5B"/>
    <w:rsid w:val="EFED498C"/>
    <w:rsid w:val="EFED99BF"/>
    <w:rsid w:val="EFEF2906"/>
    <w:rsid w:val="EFEF72BD"/>
    <w:rsid w:val="EFF934BE"/>
    <w:rsid w:val="EFFD145C"/>
    <w:rsid w:val="EFFDB996"/>
    <w:rsid w:val="EFFF2C9B"/>
    <w:rsid w:val="EFFF3F43"/>
    <w:rsid w:val="EFFF6748"/>
    <w:rsid w:val="EFFF9B30"/>
    <w:rsid w:val="F0F94EE3"/>
    <w:rsid w:val="F0FB4779"/>
    <w:rsid w:val="F14E68EB"/>
    <w:rsid w:val="F17F8C07"/>
    <w:rsid w:val="F18C82C3"/>
    <w:rsid w:val="F1BF1234"/>
    <w:rsid w:val="F1BFDF14"/>
    <w:rsid w:val="F1DFCCE8"/>
    <w:rsid w:val="F1EAAB38"/>
    <w:rsid w:val="F1FFB93C"/>
    <w:rsid w:val="F27B7141"/>
    <w:rsid w:val="F27FA38A"/>
    <w:rsid w:val="F2BB2614"/>
    <w:rsid w:val="F2CFD35C"/>
    <w:rsid w:val="F2DF6F80"/>
    <w:rsid w:val="F2F83809"/>
    <w:rsid w:val="F2FD2B9E"/>
    <w:rsid w:val="F2FF12B4"/>
    <w:rsid w:val="F2FF721A"/>
    <w:rsid w:val="F36F20A8"/>
    <w:rsid w:val="F3724F2C"/>
    <w:rsid w:val="F37F4A1B"/>
    <w:rsid w:val="F37F60F1"/>
    <w:rsid w:val="F3B57471"/>
    <w:rsid w:val="F3BE45FB"/>
    <w:rsid w:val="F3C7602B"/>
    <w:rsid w:val="F3CEB86F"/>
    <w:rsid w:val="F3D294D4"/>
    <w:rsid w:val="F3DB2C35"/>
    <w:rsid w:val="F3EB7093"/>
    <w:rsid w:val="F3F7F6B9"/>
    <w:rsid w:val="F3FE868E"/>
    <w:rsid w:val="F46DC9F9"/>
    <w:rsid w:val="F49B07CE"/>
    <w:rsid w:val="F4B95111"/>
    <w:rsid w:val="F4FDB1E4"/>
    <w:rsid w:val="F552A8DB"/>
    <w:rsid w:val="F56B5BAD"/>
    <w:rsid w:val="F5729ABB"/>
    <w:rsid w:val="F57F4DA8"/>
    <w:rsid w:val="F58FFD66"/>
    <w:rsid w:val="F5B9D0C9"/>
    <w:rsid w:val="F5BDD1EE"/>
    <w:rsid w:val="F5CF8F43"/>
    <w:rsid w:val="F5E7485D"/>
    <w:rsid w:val="F5E78F19"/>
    <w:rsid w:val="F5EBBEC7"/>
    <w:rsid w:val="F5F58577"/>
    <w:rsid w:val="F5F7717B"/>
    <w:rsid w:val="F5F7CC98"/>
    <w:rsid w:val="F5F908CE"/>
    <w:rsid w:val="F5F91F09"/>
    <w:rsid w:val="F5FE5C2F"/>
    <w:rsid w:val="F5FFBB49"/>
    <w:rsid w:val="F62D44B6"/>
    <w:rsid w:val="F6BF00C6"/>
    <w:rsid w:val="F6F5656B"/>
    <w:rsid w:val="F6FA9E45"/>
    <w:rsid w:val="F6FBD95B"/>
    <w:rsid w:val="F6FD14F3"/>
    <w:rsid w:val="F6FFD7B4"/>
    <w:rsid w:val="F71E64CF"/>
    <w:rsid w:val="F73D9369"/>
    <w:rsid w:val="F73FC669"/>
    <w:rsid w:val="F76E9065"/>
    <w:rsid w:val="F7751416"/>
    <w:rsid w:val="F77570B5"/>
    <w:rsid w:val="F7767906"/>
    <w:rsid w:val="F7792F0B"/>
    <w:rsid w:val="F78FE489"/>
    <w:rsid w:val="F79B70F7"/>
    <w:rsid w:val="F79F3EE3"/>
    <w:rsid w:val="F7A7BE7D"/>
    <w:rsid w:val="F7B63B30"/>
    <w:rsid w:val="F7B77A11"/>
    <w:rsid w:val="F7BBDB1B"/>
    <w:rsid w:val="F7BBF1CE"/>
    <w:rsid w:val="F7BD39CA"/>
    <w:rsid w:val="F7BEC53E"/>
    <w:rsid w:val="F7CB21F0"/>
    <w:rsid w:val="F7CFDD56"/>
    <w:rsid w:val="F7D72319"/>
    <w:rsid w:val="F7D9F7D4"/>
    <w:rsid w:val="F7E9353E"/>
    <w:rsid w:val="F7ED4F59"/>
    <w:rsid w:val="F7ED7240"/>
    <w:rsid w:val="F7EF7726"/>
    <w:rsid w:val="F7F32E55"/>
    <w:rsid w:val="F7F6422D"/>
    <w:rsid w:val="F7F696AC"/>
    <w:rsid w:val="F7FA51F0"/>
    <w:rsid w:val="F7FCA273"/>
    <w:rsid w:val="F7FEBB66"/>
    <w:rsid w:val="F7FED789"/>
    <w:rsid w:val="F7FF14E5"/>
    <w:rsid w:val="F7FF49A9"/>
    <w:rsid w:val="F7FF5CC8"/>
    <w:rsid w:val="F7FFEAAB"/>
    <w:rsid w:val="F83DD696"/>
    <w:rsid w:val="F86F379F"/>
    <w:rsid w:val="F8BB73F4"/>
    <w:rsid w:val="F8DB69EF"/>
    <w:rsid w:val="F8F4F377"/>
    <w:rsid w:val="F95B1791"/>
    <w:rsid w:val="F967DB1B"/>
    <w:rsid w:val="F9761257"/>
    <w:rsid w:val="F9AF55C0"/>
    <w:rsid w:val="F9D3BAC4"/>
    <w:rsid w:val="F9DE2760"/>
    <w:rsid w:val="F9ED89BC"/>
    <w:rsid w:val="F9F7BAA1"/>
    <w:rsid w:val="F9FB7534"/>
    <w:rsid w:val="F9FE25F2"/>
    <w:rsid w:val="F9FE8762"/>
    <w:rsid w:val="F9FEC024"/>
    <w:rsid w:val="FA3F6127"/>
    <w:rsid w:val="FA7AB7E2"/>
    <w:rsid w:val="FA7D18E6"/>
    <w:rsid w:val="FAAEE65C"/>
    <w:rsid w:val="FABDF389"/>
    <w:rsid w:val="FACF824A"/>
    <w:rsid w:val="FADCE38E"/>
    <w:rsid w:val="FADEF03B"/>
    <w:rsid w:val="FADF9EA9"/>
    <w:rsid w:val="FAF75CFA"/>
    <w:rsid w:val="FAF7D8F9"/>
    <w:rsid w:val="FAFB1238"/>
    <w:rsid w:val="FAFE9304"/>
    <w:rsid w:val="FB5DC626"/>
    <w:rsid w:val="FB5F08F2"/>
    <w:rsid w:val="FB7FAE68"/>
    <w:rsid w:val="FB9D1143"/>
    <w:rsid w:val="FBB7B68C"/>
    <w:rsid w:val="FBBB2238"/>
    <w:rsid w:val="FBBE0EEE"/>
    <w:rsid w:val="FBBEF27B"/>
    <w:rsid w:val="FBBF5514"/>
    <w:rsid w:val="FBC757C9"/>
    <w:rsid w:val="FBDD42D1"/>
    <w:rsid w:val="FBDFD357"/>
    <w:rsid w:val="FBE3A12F"/>
    <w:rsid w:val="FBEFB199"/>
    <w:rsid w:val="FBFB84EF"/>
    <w:rsid w:val="FBFBF83A"/>
    <w:rsid w:val="FBFD7869"/>
    <w:rsid w:val="FBFD8001"/>
    <w:rsid w:val="FBFF254B"/>
    <w:rsid w:val="FBFFFB25"/>
    <w:rsid w:val="FC5FD9DF"/>
    <w:rsid w:val="FC7F12AA"/>
    <w:rsid w:val="FC99B40C"/>
    <w:rsid w:val="FC9C2D2D"/>
    <w:rsid w:val="FC9FADAD"/>
    <w:rsid w:val="FCDC0783"/>
    <w:rsid w:val="FCFF8C19"/>
    <w:rsid w:val="FD1F5F13"/>
    <w:rsid w:val="FD2FA174"/>
    <w:rsid w:val="FD4FBB59"/>
    <w:rsid w:val="FD56352A"/>
    <w:rsid w:val="FD5800B2"/>
    <w:rsid w:val="FD5B514F"/>
    <w:rsid w:val="FD5C5889"/>
    <w:rsid w:val="FD6F0E90"/>
    <w:rsid w:val="FD764F83"/>
    <w:rsid w:val="FDBD8229"/>
    <w:rsid w:val="FDBF45EC"/>
    <w:rsid w:val="FDDE8FE3"/>
    <w:rsid w:val="FDF16CC7"/>
    <w:rsid w:val="FDF3BDC8"/>
    <w:rsid w:val="FDF7CEDC"/>
    <w:rsid w:val="FDFB1A6C"/>
    <w:rsid w:val="FDFC23C8"/>
    <w:rsid w:val="FDFE2CEC"/>
    <w:rsid w:val="FDFF3652"/>
    <w:rsid w:val="FE1E0770"/>
    <w:rsid w:val="FE3DA7DA"/>
    <w:rsid w:val="FE3FEC7B"/>
    <w:rsid w:val="FE51E2EF"/>
    <w:rsid w:val="FE59B8FC"/>
    <w:rsid w:val="FE5F61A1"/>
    <w:rsid w:val="FE5F66F2"/>
    <w:rsid w:val="FE6E154A"/>
    <w:rsid w:val="FE6EC4CD"/>
    <w:rsid w:val="FE7FD523"/>
    <w:rsid w:val="FE8358B1"/>
    <w:rsid w:val="FE8BA7E3"/>
    <w:rsid w:val="FE9EA054"/>
    <w:rsid w:val="FEAF6FD6"/>
    <w:rsid w:val="FEAFA5FE"/>
    <w:rsid w:val="FEBFBEB7"/>
    <w:rsid w:val="FED20F90"/>
    <w:rsid w:val="FED6F92A"/>
    <w:rsid w:val="FEE79552"/>
    <w:rsid w:val="FEEF1E6E"/>
    <w:rsid w:val="FEEF70A3"/>
    <w:rsid w:val="FEF36EFC"/>
    <w:rsid w:val="FEF6CEFE"/>
    <w:rsid w:val="FEF77092"/>
    <w:rsid w:val="FEFA9585"/>
    <w:rsid w:val="FEFB2EB6"/>
    <w:rsid w:val="FEFC242C"/>
    <w:rsid w:val="FEFD9E63"/>
    <w:rsid w:val="FEFDD817"/>
    <w:rsid w:val="FEFF3F8E"/>
    <w:rsid w:val="FEFF60B4"/>
    <w:rsid w:val="FEFF70A4"/>
    <w:rsid w:val="FEFF7496"/>
    <w:rsid w:val="FEFF7F8E"/>
    <w:rsid w:val="FEFFA731"/>
    <w:rsid w:val="FF0F806E"/>
    <w:rsid w:val="FF2F0176"/>
    <w:rsid w:val="FF3A9D83"/>
    <w:rsid w:val="FF3F446D"/>
    <w:rsid w:val="FF4D0274"/>
    <w:rsid w:val="FF577AD4"/>
    <w:rsid w:val="FF57BEB7"/>
    <w:rsid w:val="FF57BF75"/>
    <w:rsid w:val="FF5B3711"/>
    <w:rsid w:val="FF5D14AB"/>
    <w:rsid w:val="FF5D1C8A"/>
    <w:rsid w:val="FF5FC543"/>
    <w:rsid w:val="FF5FE587"/>
    <w:rsid w:val="FF67ABAB"/>
    <w:rsid w:val="FF7180DC"/>
    <w:rsid w:val="FF74F6A5"/>
    <w:rsid w:val="FF764CB7"/>
    <w:rsid w:val="FF776516"/>
    <w:rsid w:val="FF78B65F"/>
    <w:rsid w:val="FF7C54D9"/>
    <w:rsid w:val="FF7CDF6E"/>
    <w:rsid w:val="FF7D304A"/>
    <w:rsid w:val="FF7F32B3"/>
    <w:rsid w:val="FF7F32DD"/>
    <w:rsid w:val="FF7F3B0E"/>
    <w:rsid w:val="FF7F6CD1"/>
    <w:rsid w:val="FF7FE124"/>
    <w:rsid w:val="FF7FE4B1"/>
    <w:rsid w:val="FF7FFA15"/>
    <w:rsid w:val="FF854BC5"/>
    <w:rsid w:val="FF915A06"/>
    <w:rsid w:val="FF952D36"/>
    <w:rsid w:val="FF9F4B0B"/>
    <w:rsid w:val="FF9F5B82"/>
    <w:rsid w:val="FF9FC2BD"/>
    <w:rsid w:val="FFAB6C8F"/>
    <w:rsid w:val="FFAEDC16"/>
    <w:rsid w:val="FFB3B41D"/>
    <w:rsid w:val="FFB5F89A"/>
    <w:rsid w:val="FFB67D11"/>
    <w:rsid w:val="FFB72880"/>
    <w:rsid w:val="FFB73C73"/>
    <w:rsid w:val="FFB9B593"/>
    <w:rsid w:val="FFBCC6DB"/>
    <w:rsid w:val="FFBF6300"/>
    <w:rsid w:val="FFBF7266"/>
    <w:rsid w:val="FFBFE677"/>
    <w:rsid w:val="FFCEA80B"/>
    <w:rsid w:val="FFCFE9D8"/>
    <w:rsid w:val="FFD714EB"/>
    <w:rsid w:val="FFDAEFEA"/>
    <w:rsid w:val="FFDD0FCC"/>
    <w:rsid w:val="FFDEBB95"/>
    <w:rsid w:val="FFDF307B"/>
    <w:rsid w:val="FFDF5FF6"/>
    <w:rsid w:val="FFDFB76F"/>
    <w:rsid w:val="FFDFBB40"/>
    <w:rsid w:val="FFDFF75E"/>
    <w:rsid w:val="FFE3C880"/>
    <w:rsid w:val="FFE50DCE"/>
    <w:rsid w:val="FFE787C4"/>
    <w:rsid w:val="FFE78811"/>
    <w:rsid w:val="FFED5E70"/>
    <w:rsid w:val="FFEDD336"/>
    <w:rsid w:val="FFEDD7C6"/>
    <w:rsid w:val="FFEE288D"/>
    <w:rsid w:val="FFEF91AF"/>
    <w:rsid w:val="FFEFC1C4"/>
    <w:rsid w:val="FFEFE133"/>
    <w:rsid w:val="FFF38FB5"/>
    <w:rsid w:val="FFF5E6CB"/>
    <w:rsid w:val="FFF7028F"/>
    <w:rsid w:val="FFF74287"/>
    <w:rsid w:val="FFF7A893"/>
    <w:rsid w:val="FFF7B4E9"/>
    <w:rsid w:val="FFF7B7CB"/>
    <w:rsid w:val="FFF7E317"/>
    <w:rsid w:val="FFF7F70D"/>
    <w:rsid w:val="FFF9A206"/>
    <w:rsid w:val="FFF9EC50"/>
    <w:rsid w:val="FFFA217D"/>
    <w:rsid w:val="FFFB013C"/>
    <w:rsid w:val="FFFB2860"/>
    <w:rsid w:val="FFFBB370"/>
    <w:rsid w:val="FFFC6607"/>
    <w:rsid w:val="FFFCC141"/>
    <w:rsid w:val="FFFD1C7D"/>
    <w:rsid w:val="FFFD7C05"/>
    <w:rsid w:val="FFFDDEAA"/>
    <w:rsid w:val="FFFE07AA"/>
    <w:rsid w:val="FFFE1151"/>
    <w:rsid w:val="FFFE9DAC"/>
    <w:rsid w:val="FFFEFA9C"/>
    <w:rsid w:val="FFFF24A9"/>
    <w:rsid w:val="FFFF601D"/>
    <w:rsid w:val="FFFF9FCE"/>
    <w:rsid w:val="FFFFA4D8"/>
    <w:rsid w:val="FFFFB5C8"/>
    <w:rsid w:val="FFFFCA51"/>
    <w:rsid w:val="FFFFE3A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2"/>
    <w:qFormat/>
    <w:uiPriority w:val="0"/>
    <w:pPr>
      <w:keepNext/>
      <w:keepLines/>
      <w:jc w:val="center"/>
      <w:outlineLvl w:val="0"/>
    </w:pPr>
    <w:rPr>
      <w:rFonts w:eastAsia="方正小标宋简体"/>
      <w:b/>
      <w:bCs/>
      <w:kern w:val="44"/>
      <w:sz w:val="36"/>
      <w:szCs w:val="44"/>
    </w:rPr>
  </w:style>
  <w:style w:type="paragraph" w:styleId="4">
    <w:name w:val="heading 2"/>
    <w:basedOn w:val="1"/>
    <w:next w:val="1"/>
    <w:link w:val="33"/>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2">
    <w:name w:val="heading 4"/>
    <w:basedOn w:val="1"/>
    <w:next w:val="1"/>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9"/>
    <w:basedOn w:val="1"/>
    <w:next w:val="1"/>
    <w:link w:val="35"/>
    <w:qFormat/>
    <w:uiPriority w:val="0"/>
    <w:pPr>
      <w:keepNext/>
      <w:keepLines/>
      <w:spacing w:before="240" w:after="64" w:line="320" w:lineRule="auto"/>
      <w:outlineLvl w:val="8"/>
    </w:pPr>
    <w:rPr>
      <w:rFonts w:ascii="Calibri Light" w:hAnsi="Calibri Light"/>
      <w:szCs w:val="21"/>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240" w:lineRule="atLeast"/>
      <w:ind w:firstLine="420" w:firstLineChars="200"/>
    </w:pPr>
    <w:rPr>
      <w:rFonts w:eastAsia="仿宋_GB2312"/>
      <w:spacing w:val="-6"/>
      <w:sz w:val="32"/>
      <w:szCs w:val="20"/>
    </w:rPr>
  </w:style>
  <w:style w:type="paragraph" w:styleId="7">
    <w:name w:val="Document Map"/>
    <w:basedOn w:val="1"/>
    <w:link w:val="59"/>
    <w:qFormat/>
    <w:uiPriority w:val="0"/>
    <w:pPr>
      <w:shd w:val="clear" w:color="auto" w:fill="000080"/>
    </w:pPr>
  </w:style>
  <w:style w:type="paragraph" w:styleId="8">
    <w:name w:val="annotation text"/>
    <w:basedOn w:val="1"/>
    <w:link w:val="34"/>
    <w:qFormat/>
    <w:uiPriority w:val="0"/>
    <w:pPr>
      <w:jc w:val="left"/>
    </w:pPr>
  </w:style>
  <w:style w:type="paragraph" w:styleId="9">
    <w:name w:val="Body Text"/>
    <w:basedOn w:val="1"/>
    <w:next w:val="10"/>
    <w:qFormat/>
    <w:uiPriority w:val="0"/>
    <w:rPr>
      <w:rFonts w:ascii="仿宋_GB2312" w:eastAsia="仿宋_GB2312"/>
      <w:sz w:val="30"/>
      <w:szCs w:val="20"/>
    </w:rPr>
  </w:style>
  <w:style w:type="paragraph" w:customStyle="1" w:styleId="10">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1">
    <w:name w:val="Body Text Indent"/>
    <w:basedOn w:val="1"/>
    <w:unhideWhenUsed/>
    <w:qFormat/>
    <w:uiPriority w:val="99"/>
    <w:pPr>
      <w:spacing w:after="120"/>
      <w:ind w:left="420" w:leftChars="200"/>
    </w:pPr>
  </w:style>
  <w:style w:type="paragraph" w:styleId="12">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3">
    <w:name w:val="Plain Text"/>
    <w:basedOn w:val="1"/>
    <w:qFormat/>
    <w:uiPriority w:val="0"/>
    <w:rPr>
      <w:rFonts w:ascii="宋体" w:hAnsi="Courier New" w:cs="Courier New"/>
      <w:szCs w:val="21"/>
    </w:rPr>
  </w:style>
  <w:style w:type="paragraph" w:styleId="14">
    <w:name w:val="Date"/>
    <w:basedOn w:val="1"/>
    <w:next w:val="1"/>
    <w:qFormat/>
    <w:uiPriority w:val="0"/>
    <w:rPr>
      <w:rFonts w:ascii="黑体" w:eastAsia="仿宋_GB2312"/>
      <w:sz w:val="32"/>
      <w:szCs w:val="20"/>
    </w:rPr>
  </w:style>
  <w:style w:type="paragraph" w:styleId="15">
    <w:name w:val="Balloon Text"/>
    <w:basedOn w:val="1"/>
    <w:link w:val="60"/>
    <w:qFormat/>
    <w:uiPriority w:val="0"/>
    <w:rPr>
      <w:sz w:val="18"/>
      <w:szCs w:val="18"/>
    </w:rPr>
  </w:style>
  <w:style w:type="paragraph" w:styleId="16">
    <w:name w:val="footer"/>
    <w:basedOn w:val="1"/>
    <w:link w:val="31"/>
    <w:qFormat/>
    <w:uiPriority w:val="0"/>
    <w:pPr>
      <w:tabs>
        <w:tab w:val="center" w:pos="4153"/>
        <w:tab w:val="right" w:pos="8306"/>
      </w:tabs>
      <w:snapToGrid w:val="0"/>
      <w:jc w:val="left"/>
    </w:pPr>
    <w:rPr>
      <w:sz w:val="18"/>
      <w:szCs w:val="18"/>
    </w:rPr>
  </w:style>
  <w:style w:type="paragraph" w:styleId="17">
    <w:name w:val="header"/>
    <w:basedOn w:val="1"/>
    <w:link w:val="57"/>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widowControl/>
      <w:spacing w:after="100" w:line="259" w:lineRule="auto"/>
      <w:jc w:val="left"/>
    </w:pPr>
    <w:rPr>
      <w:rFonts w:ascii="Calibri" w:hAnsi="Calibri"/>
      <w:kern w:val="0"/>
      <w:sz w:val="22"/>
      <w:szCs w:val="22"/>
    </w:rPr>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1">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2">
    <w:name w:val="annotation subject"/>
    <w:basedOn w:val="8"/>
    <w:next w:val="8"/>
    <w:link w:val="41"/>
    <w:qFormat/>
    <w:uiPriority w:val="0"/>
    <w:rPr>
      <w:b/>
      <w:bCs/>
    </w:rPr>
  </w:style>
  <w:style w:type="paragraph" w:styleId="23">
    <w:name w:val="Body Text First Indent 2"/>
    <w:basedOn w:val="11"/>
    <w:unhideWhenUsed/>
    <w:qFormat/>
    <w:uiPriority w:val="99"/>
    <w:pPr>
      <w:ind w:firstLine="420" w:firstLineChars="200"/>
    </w:pPr>
  </w:style>
  <w:style w:type="character" w:styleId="26">
    <w:name w:val="page number"/>
    <w:qFormat/>
    <w:uiPriority w:val="0"/>
    <w:rPr>
      <w:rFonts w:ascii="Times New Roman" w:hAnsi="Times New Roman" w:eastAsia="宋体" w:cs="Times New Roman"/>
    </w:rPr>
  </w:style>
  <w:style w:type="character" w:styleId="27">
    <w:name w:val="FollowedHyperlink"/>
    <w:qFormat/>
    <w:uiPriority w:val="0"/>
    <w:rPr>
      <w:rFonts w:ascii="Times New Roman" w:hAnsi="Times New Roman" w:eastAsia="宋体" w:cs="Times New Roman"/>
      <w:color w:val="954F72"/>
      <w:u w:val="single"/>
    </w:rPr>
  </w:style>
  <w:style w:type="character" w:styleId="28">
    <w:name w:val="Emphasis"/>
    <w:qFormat/>
    <w:uiPriority w:val="0"/>
    <w:rPr>
      <w:rFonts w:ascii="Times New Roman" w:hAnsi="Times New Roman" w:eastAsia="宋体" w:cs="Times New Roman"/>
      <w:i/>
      <w:iCs/>
    </w:rPr>
  </w:style>
  <w:style w:type="character" w:styleId="29">
    <w:name w:val="Hyperlink"/>
    <w:qFormat/>
    <w:uiPriority w:val="99"/>
    <w:rPr>
      <w:rFonts w:ascii="Times New Roman" w:hAnsi="Times New Roman" w:eastAsia="宋体" w:cs="Times New Roman"/>
      <w:color w:val="0563C1"/>
      <w:u w:val="single"/>
    </w:rPr>
  </w:style>
  <w:style w:type="character" w:styleId="30">
    <w:name w:val="annotation reference"/>
    <w:qFormat/>
    <w:uiPriority w:val="0"/>
    <w:rPr>
      <w:sz w:val="21"/>
    </w:rPr>
  </w:style>
  <w:style w:type="character" w:customStyle="1" w:styleId="31">
    <w:name w:val="页脚 字符"/>
    <w:link w:val="16"/>
    <w:qFormat/>
    <w:uiPriority w:val="0"/>
    <w:rPr>
      <w:rFonts w:ascii="Times New Roman" w:hAnsi="Times New Roman" w:eastAsia="宋体" w:cs="Times New Roman"/>
      <w:kern w:val="2"/>
      <w:sz w:val="18"/>
      <w:szCs w:val="18"/>
      <w:lang w:val="en-US" w:eastAsia="zh-CN" w:bidi="ar-SA"/>
    </w:rPr>
  </w:style>
  <w:style w:type="character" w:customStyle="1" w:styleId="32">
    <w:name w:val="标题 1 字符"/>
    <w:link w:val="3"/>
    <w:qFormat/>
    <w:uiPriority w:val="0"/>
    <w:rPr>
      <w:rFonts w:ascii="Times New Roman" w:hAnsi="Times New Roman" w:eastAsia="方正小标宋简体" w:cs="Times New Roman"/>
      <w:b/>
      <w:bCs/>
      <w:kern w:val="44"/>
      <w:sz w:val="36"/>
      <w:szCs w:val="44"/>
    </w:rPr>
  </w:style>
  <w:style w:type="character" w:customStyle="1" w:styleId="33">
    <w:name w:val="标题 2 字符"/>
    <w:link w:val="4"/>
    <w:qFormat/>
    <w:uiPriority w:val="0"/>
    <w:rPr>
      <w:rFonts w:ascii="宋体" w:hAnsi="宋体" w:eastAsia="宋体" w:cs="宋体"/>
      <w:b/>
      <w:bCs/>
      <w:sz w:val="30"/>
      <w:szCs w:val="36"/>
    </w:rPr>
  </w:style>
  <w:style w:type="character" w:customStyle="1" w:styleId="34">
    <w:name w:val="批注文字 字符"/>
    <w:link w:val="8"/>
    <w:qFormat/>
    <w:uiPriority w:val="0"/>
    <w:rPr>
      <w:rFonts w:ascii="Times New Roman" w:hAnsi="Times New Roman" w:eastAsia="宋体" w:cs="Times New Roman"/>
      <w:kern w:val="2"/>
      <w:sz w:val="21"/>
      <w:szCs w:val="24"/>
      <w:lang w:val="en-US" w:eastAsia="zh-CN" w:bidi="ar-SA"/>
    </w:rPr>
  </w:style>
  <w:style w:type="character" w:customStyle="1" w:styleId="35">
    <w:name w:val="标题 9 字符"/>
    <w:link w:val="5"/>
    <w:qFormat/>
    <w:uiPriority w:val="0"/>
    <w:rPr>
      <w:rFonts w:ascii="Calibri Light" w:hAnsi="Calibri Light" w:eastAsia="宋体" w:cs="Times New Roman"/>
      <w:kern w:val="2"/>
      <w:sz w:val="21"/>
      <w:szCs w:val="21"/>
    </w:rPr>
  </w:style>
  <w:style w:type="paragraph" w:customStyle="1" w:styleId="36">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8">
    <w:name w:val="默认段落字体 Para Char Char Char Char Char Char Char"/>
    <w:basedOn w:val="7"/>
    <w:qFormat/>
    <w:uiPriority w:val="0"/>
    <w:pPr>
      <w:adjustRightInd w:val="0"/>
      <w:spacing w:line="436" w:lineRule="exact"/>
      <w:ind w:left="357"/>
      <w:jc w:val="left"/>
      <w:outlineLvl w:val="3"/>
    </w:pPr>
    <w:rPr>
      <w:rFonts w:ascii="Tahoma" w:hAnsi="Tahoma"/>
      <w:b/>
      <w:sz w:val="24"/>
    </w:rPr>
  </w:style>
  <w:style w:type="character" w:customStyle="1" w:styleId="39">
    <w:name w:val="p121"/>
    <w:qFormat/>
    <w:uiPriority w:val="0"/>
    <w:rPr>
      <w:rFonts w:hint="default" w:eastAsia="宋体" w:cs="Times New Roman"/>
      <w:sz w:val="24"/>
      <w:szCs w:val="24"/>
    </w:rPr>
  </w:style>
  <w:style w:type="paragraph" w:customStyle="1" w:styleId="40">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1">
    <w:name w:val="批注主题 字符"/>
    <w:link w:val="22"/>
    <w:qFormat/>
    <w:uiPriority w:val="0"/>
    <w:rPr>
      <w:rFonts w:ascii="Times New Roman" w:hAnsi="Times New Roman" w:eastAsia="宋体" w:cs="Times New Roman"/>
      <w:b/>
      <w:bCs/>
      <w:kern w:val="2"/>
      <w:sz w:val="21"/>
      <w:szCs w:val="24"/>
      <w:lang w:val="en-US" w:eastAsia="zh-CN" w:bidi="ar-SA"/>
    </w:rPr>
  </w:style>
  <w:style w:type="paragraph" w:customStyle="1" w:styleId="4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
    <w:name w:val="Char1 Char Char Char"/>
    <w:basedOn w:val="1"/>
    <w:qFormat/>
    <w:uiPriority w:val="0"/>
    <w:rPr>
      <w:rFonts w:ascii="Tahoma" w:hAnsi="Tahoma"/>
      <w:sz w:val="24"/>
      <w:szCs w:val="20"/>
    </w:rPr>
  </w:style>
  <w:style w:type="paragraph" w:customStyle="1" w:styleId="44">
    <w:name w:val="Char1 Char Char Char1"/>
    <w:basedOn w:val="1"/>
    <w:qFormat/>
    <w:uiPriority w:val="0"/>
    <w:rPr>
      <w:rFonts w:ascii="Tahoma" w:hAnsi="Tahoma"/>
      <w:sz w:val="24"/>
      <w:szCs w:val="20"/>
    </w:rPr>
  </w:style>
  <w:style w:type="paragraph" w:customStyle="1" w:styleId="45">
    <w:name w:val="Char1"/>
    <w:basedOn w:val="1"/>
    <w:qFormat/>
    <w:uiPriority w:val="0"/>
    <w:rPr>
      <w:rFonts w:ascii="Tahoma" w:hAnsi="Tahoma"/>
      <w:sz w:val="24"/>
      <w:szCs w:val="20"/>
    </w:rPr>
  </w:style>
  <w:style w:type="paragraph" w:customStyle="1" w:styleId="46">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TOC 标题1"/>
    <w:basedOn w:val="3"/>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6">
    <w:name w:val="列表段落1"/>
    <w:basedOn w:val="1"/>
    <w:qFormat/>
    <w:uiPriority w:val="34"/>
    <w:pPr>
      <w:ind w:firstLine="420" w:firstLineChars="200"/>
    </w:pPr>
  </w:style>
  <w:style w:type="character" w:customStyle="1" w:styleId="57">
    <w:name w:val="页眉 字符"/>
    <w:basedOn w:val="25"/>
    <w:link w:val="17"/>
    <w:qFormat/>
    <w:uiPriority w:val="0"/>
    <w:rPr>
      <w:kern w:val="2"/>
      <w:sz w:val="18"/>
      <w:szCs w:val="18"/>
    </w:rPr>
  </w:style>
  <w:style w:type="character" w:customStyle="1" w:styleId="58">
    <w:name w:val="oalinshistyle21"/>
    <w:qFormat/>
    <w:uiPriority w:val="0"/>
    <w:rPr>
      <w:rFonts w:hint="default" w:ascii="Arial" w:hAnsi="Arial" w:cs="Arial"/>
      <w:sz w:val="27"/>
      <w:szCs w:val="27"/>
    </w:rPr>
  </w:style>
  <w:style w:type="character" w:customStyle="1" w:styleId="59">
    <w:name w:val="文档结构图 字符"/>
    <w:basedOn w:val="25"/>
    <w:link w:val="7"/>
    <w:qFormat/>
    <w:uiPriority w:val="0"/>
    <w:rPr>
      <w:kern w:val="2"/>
      <w:sz w:val="21"/>
      <w:szCs w:val="24"/>
      <w:shd w:val="clear" w:color="auto" w:fill="000080"/>
    </w:rPr>
  </w:style>
  <w:style w:type="character" w:customStyle="1" w:styleId="60">
    <w:name w:val="批注框文本 字符"/>
    <w:basedOn w:val="25"/>
    <w:link w:val="15"/>
    <w:qFormat/>
    <w:uiPriority w:val="0"/>
    <w:rPr>
      <w:kern w:val="2"/>
      <w:sz w:val="18"/>
      <w:szCs w:val="18"/>
    </w:rPr>
  </w:style>
  <w:style w:type="paragraph" w:customStyle="1" w:styleId="61">
    <w:name w:val="列出段落1"/>
    <w:basedOn w:val="1"/>
    <w:qFormat/>
    <w:uiPriority w:val="0"/>
    <w:pPr>
      <w:ind w:firstLine="420" w:firstLineChars="200"/>
    </w:pPr>
  </w:style>
  <w:style w:type="paragraph" w:styleId="62">
    <w:name w:val="List Paragraph"/>
    <w:basedOn w:val="1"/>
    <w:qFormat/>
    <w:uiPriority w:val="99"/>
    <w:pPr>
      <w:ind w:firstLine="420" w:firstLineChars="200"/>
    </w:pPr>
  </w:style>
  <w:style w:type="character" w:customStyle="1" w:styleId="63">
    <w:name w:val="font0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136</Pages>
  <Words>124895</Words>
  <Characters>131914</Characters>
  <Lines>1186</Lines>
  <Paragraphs>334</Paragraphs>
  <TotalTime>1</TotalTime>
  <ScaleCrop>false</ScaleCrop>
  <LinksUpToDate>false</LinksUpToDate>
  <CharactersWithSpaces>134862</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2022-09-05T02:35:00Z</dcterms:created>
  <dc:creator>张通</dc:creator>
  <cp:lastModifiedBy>徐爽</cp:lastModifiedBy>
  <cp:lastPrinted>2024-09-07T23:37:00Z</cp:lastPrinted>
  <dcterms:modified xsi:type="dcterms:W3CDTF">2025-05-09T07:06:37Z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124BE05945A608BAC113EA6786105068_43</vt:lpwstr>
  </property>
</Properties>
</file>