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轻微违法事项免责事项清单</w:t>
      </w:r>
    </w:p>
    <w:tbl>
      <w:tblPr>
        <w:tblStyle w:val="4"/>
        <w:tblW w:w="12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810"/>
        <w:gridCol w:w="856"/>
        <w:gridCol w:w="3859"/>
        <w:gridCol w:w="2269"/>
        <w:gridCol w:w="2681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裁量基准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违反法律法规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措施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C4600600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未按要求履行维护市容环境卫生责任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【城镇地区】违反条款：第二十一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条第一款，第二十三条第一款第（一）项、第（二）项、第（三）项，及第二十四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第二款；处罚条款：第二十四条第二款，责令改正，并处200元以上1000元以下罚款。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【农村地区】违反条款：第二十一条第一款，第二十三条第二款，及《关于印发北京市农村地区环境卫生责任区责任标准（试行）的通知》（京政管发〔2008〕49号）（根据具体情形，引用到相关条款）；处罚条款：第二十四条第二款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擅自摆摊设点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乱堆物料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店外经营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违反条款：第三十五条第三款；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责令改正，并可处300元以上3000元以下的罚款.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在城市道路及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其他公共场所晾晒衣物、吊挂物品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未按规定管护牌匾标识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违反、处罚条款：第三十九第二款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责令停止使用，限期修复，并可处500元以上5000元以下罚款。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C4604900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随地吐痰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随地便溺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随地丢弃废弃物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违反条款：第五十二条第一款第（二）项；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乱倒污水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（垃圾）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在城镇地区饲养家禽家畜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违反、处罚条款：第五十三条第一款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责令限期改正，并可按照每只（头）处20元以上50元以下罚款。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未落实“门前三包”责任制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《北京市“门前三包”责任制管理办法》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违反条款：第三条第（一）项、第（二）项、第（三）项；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处罚条款：第八条，对违反本办法的单位应当责令改正，并视情节轻重，处200元以上1000元以下的罚款，并对单位负责人处20元以上50元以下的罚款。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未按规定扫雪铲冰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《北京市人民政府关于扫雪铲冰管理的规定》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违反条款：第三条第一款、第二款；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处罚条款：第六条，责令改正，并处200元以上1000元以下罚款。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C4635200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无照经营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《无证无照经营查处办法》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处罚条款：第十三条，责令停止违法行为，没收违法所得，并处1万元以下的罚款。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C4650900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电子显示装置不符合设置规范（或者运行时间要求）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违反条款：第二十三条；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处罚条款：第五十条，由街道办事处或者乡镇人民政府责令限期改正；逾期不改正的，处一千元以上一万元以下罚款。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违法设置固定式牌匾标识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违反条款：第三十条；第三十一条；第三十五条第二款；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  <w:t>（根据发生违法行为选择适用）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处罚条款：第四十九条第三款，以及《北京市市容环境卫生条例》第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三十九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条第一款，责令限期改正，逾期不改正的，予以强制拆除，并可处500元以上5000元以下罚款。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未按规定管护宣传设施或者标语宣传品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违反条款：第十五条第一款；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未及时撤除标语宣传品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C4647800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主动向消费者提供一次性用品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违反条款：第二十六条第二款；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责令立即改正，处五千元以上一万元以下罚款；再次违反规定的，处一万元以上五万元以下罚款。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未将生活垃圾分别投入相应标识的收集容器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40" w:lineRule="exact"/>
              <w:ind w:left="420" w:leftChars="20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由生活垃圾分类管理责任人进行劝阻</w:t>
            </w:r>
            <w:r>
              <w:rPr>
                <w:rFonts w:hint="eastAsia" w:hAnsi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对拒不听从劝阻的，生活垃圾分类管理责任人应当向城市管理综合执法部门报告，由城市管理综合执法部门给予书面警告；再次违反规定的，处五十元以上二百元以下罚款。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体积较大的废弃物品未单独堆放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对单位：违反条款：第三十四条第一款第（二）项；处罚条款：第六十八条第一款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对个人：违反条款：第三十四条第一款第（二）项；处罚条款：第六十八条第二款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农村村民产生的灰土未按规定投放的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居民装饰装修房屋过程中产生的建筑垃圾未按指定的时间、地点和要求单独堆放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违反条款：第三十四条第二款；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未按规定设置生活垃圾分类收集容器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未明确生活垃圾投放的时间、地点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违反条款：第三十六条第一款第（四）项；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　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C4610000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携犬人未清除户外犬粪便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《北京市养犬管理规定》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违反条款：第十七条第（六）项；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处罚条款：第三十条</w:t>
            </w:r>
            <w:r>
              <w:rPr>
                <w:rFonts w:hint="eastAsia" w:hAnsi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hanging="640" w:hanging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清单中未列明的其他执法事项，符合《中华人民共和国行政处罚法》规定的应当不予行政处罚或者酌定不予行政处罚情形的，按照《中华人民共和国行政处罚法》的规定依法执行。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4B27"/>
    <w:rsid w:val="08B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2025-01-15T08:08:00Z</dcterms:created>
  <dc:creator>A</dc:creator>
  <cp:lastModifiedBy>A</cp:lastModifiedBy>
  <dcterms:modified xsi:type="dcterms:W3CDTF">2025-01-15T08:09:09Z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736A2CF814F54030BF2FC8C5CCD97053</vt:lpwstr>
  </property>
</Properties>
</file>