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55D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Verdana" w:hAnsi="Verdana" w:eastAsia="宋体" w:cs="Verdana"/>
          <w:b/>
          <w:bCs/>
          <w:i w:val="0"/>
          <w:iCs w:val="0"/>
          <w:caps w:val="0"/>
          <w:color w:val="333333"/>
          <w:spacing w:val="0"/>
          <w:kern w:val="0"/>
          <w:sz w:val="21"/>
          <w:szCs w:val="21"/>
          <w:bdr w:val="none" w:color="auto" w:sz="0" w:space="0"/>
          <w:lang w:val="en-US" w:eastAsia="zh-CN" w:bidi="ar"/>
        </w:rPr>
      </w:pPr>
      <w:r>
        <w:rPr>
          <w:rFonts w:hint="eastAsia" w:ascii="微软雅黑" w:hAnsi="微软雅黑" w:eastAsia="微软雅黑" w:cs="微软雅黑"/>
          <w:b w:val="0"/>
          <w:bCs w:val="0"/>
          <w:i w:val="0"/>
          <w:iCs w:val="0"/>
          <w:caps w:val="0"/>
          <w:color w:val="333333"/>
          <w:spacing w:val="0"/>
          <w:sz w:val="42"/>
          <w:szCs w:val="42"/>
          <w:bdr w:val="none" w:color="auto" w:sz="0" w:space="0"/>
          <w:shd w:val="clear" w:fill="FFFFFF"/>
        </w:rPr>
        <w:t>北京市非政策性粮油经营企业执法检查单</w:t>
      </w:r>
      <w:bookmarkStart w:id="0" w:name="_GoBack"/>
      <w:bookmarkEnd w:id="0"/>
    </w:p>
    <w:tbl>
      <w:tblPr>
        <w:tblW w:w="15000" w:type="dxa"/>
        <w:tblInd w:w="3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70"/>
        <w:gridCol w:w="2931"/>
        <w:gridCol w:w="3022"/>
        <w:gridCol w:w="845"/>
        <w:gridCol w:w="6932"/>
        <w:gridCol w:w="397"/>
        <w:gridCol w:w="503"/>
      </w:tblGrid>
      <w:tr w14:paraId="405B2CB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0" w:type="auto"/>
            <w:gridSpan w:val="4"/>
            <w:tcBorders>
              <w:top w:val="single" w:color="CBCBCB" w:sz="6" w:space="0"/>
              <w:left w:val="single" w:color="CBCBCB" w:sz="6" w:space="0"/>
              <w:bottom w:val="single" w:color="CBCBCB" w:sz="6" w:space="0"/>
              <w:right w:val="single" w:color="CBCBCB" w:sz="6" w:space="0"/>
            </w:tcBorders>
            <w:shd w:val="clear" w:color="auto" w:fill="E3F6FF"/>
            <w:tcMar>
              <w:top w:w="30" w:type="dxa"/>
              <w:left w:w="30" w:type="dxa"/>
              <w:bottom w:w="30" w:type="dxa"/>
              <w:right w:w="30" w:type="dxa"/>
            </w:tcMar>
            <w:vAlign w:val="center"/>
          </w:tcPr>
          <w:p w14:paraId="38D0CF0A">
            <w:pPr>
              <w:keepNext w:val="0"/>
              <w:keepLines w:val="0"/>
              <w:widowControl/>
              <w:suppressLineNumbers w:val="0"/>
              <w:ind w:left="0" w:firstLine="0"/>
              <w:jc w:val="left"/>
              <w:rPr>
                <w:rFonts w:hint="default" w:ascii="Verdana" w:hAnsi="Verdana" w:cs="Verdana"/>
                <w:b/>
                <w:bCs/>
                <w:i w:val="0"/>
                <w:iCs w:val="0"/>
                <w:caps w:val="0"/>
                <w:color w:val="333333"/>
                <w:spacing w:val="0"/>
                <w:sz w:val="21"/>
                <w:szCs w:val="21"/>
              </w:rPr>
            </w:pPr>
            <w:r>
              <w:rPr>
                <w:rFonts w:hint="default" w:ascii="Verdana" w:hAnsi="Verdana" w:eastAsia="宋体" w:cs="Verdana"/>
                <w:b/>
                <w:bCs/>
                <w:i w:val="0"/>
                <w:iCs w:val="0"/>
                <w:caps w:val="0"/>
                <w:color w:val="333333"/>
                <w:spacing w:val="0"/>
                <w:kern w:val="0"/>
                <w:sz w:val="21"/>
                <w:szCs w:val="21"/>
                <w:bdr w:val="none" w:color="auto" w:sz="0" w:space="0"/>
                <w:lang w:val="en-US" w:eastAsia="zh-CN" w:bidi="ar"/>
              </w:rPr>
              <w:t>检查时间：  年  月  日  时  分  秒</w:t>
            </w:r>
          </w:p>
        </w:tc>
        <w:tc>
          <w:tcPr>
            <w:tcW w:w="0" w:type="auto"/>
            <w:gridSpan w:val="3"/>
            <w:tcBorders>
              <w:top w:val="single" w:color="CBCBCB" w:sz="6" w:space="0"/>
              <w:left w:val="single" w:color="CBCBCB" w:sz="6" w:space="0"/>
              <w:bottom w:val="single" w:color="CBCBCB" w:sz="6" w:space="0"/>
              <w:right w:val="single" w:color="CBCBCB" w:sz="6" w:space="0"/>
            </w:tcBorders>
            <w:shd w:val="clear" w:color="auto" w:fill="E3F6FF"/>
            <w:tcMar>
              <w:top w:w="30" w:type="dxa"/>
              <w:left w:w="30" w:type="dxa"/>
              <w:bottom w:w="30" w:type="dxa"/>
              <w:right w:w="30" w:type="dxa"/>
            </w:tcMar>
            <w:vAlign w:val="center"/>
          </w:tcPr>
          <w:p w14:paraId="00164278">
            <w:pPr>
              <w:keepNext w:val="0"/>
              <w:keepLines w:val="0"/>
              <w:widowControl/>
              <w:suppressLineNumbers w:val="0"/>
              <w:ind w:left="0" w:firstLine="0"/>
              <w:jc w:val="left"/>
              <w:rPr>
                <w:rFonts w:hint="default" w:ascii="Verdana" w:hAnsi="Verdana" w:cs="Verdana"/>
                <w:b/>
                <w:bCs/>
                <w:i w:val="0"/>
                <w:iCs w:val="0"/>
                <w:caps w:val="0"/>
                <w:color w:val="333333"/>
                <w:spacing w:val="0"/>
                <w:sz w:val="21"/>
                <w:szCs w:val="21"/>
              </w:rPr>
            </w:pPr>
            <w:r>
              <w:rPr>
                <w:rFonts w:hint="default" w:ascii="Verdana" w:hAnsi="Verdana" w:eastAsia="宋体" w:cs="Verdana"/>
                <w:b/>
                <w:bCs/>
                <w:i w:val="0"/>
                <w:iCs w:val="0"/>
                <w:caps w:val="0"/>
                <w:color w:val="333333"/>
                <w:spacing w:val="0"/>
                <w:kern w:val="0"/>
                <w:sz w:val="21"/>
                <w:szCs w:val="21"/>
                <w:bdr w:val="none" w:color="auto" w:sz="0" w:space="0"/>
                <w:lang w:val="en-US" w:eastAsia="zh-CN" w:bidi="ar"/>
              </w:rPr>
              <w:t>检查单编号：</w:t>
            </w:r>
          </w:p>
        </w:tc>
      </w:tr>
      <w:tr w14:paraId="3E5DC35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F75BF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任务名称</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ECDCB6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w:t>
            </w:r>
          </w:p>
        </w:tc>
      </w:tr>
      <w:tr w14:paraId="189116A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EBB3FE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任务编号</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690E3A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w:t>
            </w:r>
          </w:p>
        </w:tc>
      </w:tr>
      <w:tr w14:paraId="2AEE42A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EA0C6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统一社会信用代码/身份证号</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849630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w:t>
            </w:r>
          </w:p>
        </w:tc>
      </w:tr>
      <w:tr w14:paraId="604AB3A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C67C5D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名称</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566B4B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w:t>
            </w:r>
          </w:p>
        </w:tc>
      </w:tr>
      <w:tr w14:paraId="1751C1A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38B19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类型</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3224AB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w:t>
            </w:r>
          </w:p>
        </w:tc>
      </w:tr>
      <w:tr w14:paraId="797D48E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645"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5868BE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法定代表人/负责人/经营者姓名</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D39E39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w:t>
            </w:r>
          </w:p>
        </w:tc>
      </w:tr>
      <w:tr w14:paraId="2D19523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45"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56D9F8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住所或地址</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80543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w:t>
            </w:r>
          </w:p>
        </w:tc>
      </w:tr>
      <w:tr w14:paraId="2EBAFA5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45"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447ED5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联系方式</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17EC52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w:t>
            </w:r>
          </w:p>
        </w:tc>
      </w:tr>
      <w:tr w14:paraId="5C63093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2"/>
            <w:vMerge w:val="restart"/>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45777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检查来源</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82B0D8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□日常检查</w:t>
            </w:r>
          </w:p>
        </w:tc>
      </w:tr>
      <w:tr w14:paraId="5A27226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45"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84C7265">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08FC3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□专项检查</w:t>
            </w:r>
          </w:p>
        </w:tc>
      </w:tr>
      <w:tr w14:paraId="379EC5E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45"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62D2E63">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0930C0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□投诉举报</w:t>
            </w:r>
          </w:p>
        </w:tc>
      </w:tr>
      <w:tr w14:paraId="60CA187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45"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EC6E99D">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50B5E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□转办交办</w:t>
            </w:r>
          </w:p>
        </w:tc>
      </w:tr>
      <w:tr w14:paraId="323F46D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45"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CC48B63">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4A0C64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□证后核查</w:t>
            </w:r>
          </w:p>
        </w:tc>
      </w:tr>
      <w:tr w14:paraId="4F6215C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D33CDBF">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E4EFF0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□巡检巡查</w:t>
            </w:r>
          </w:p>
        </w:tc>
      </w:tr>
      <w:tr w14:paraId="5DCF47B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68417A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序号</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E11CD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30F097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检查要点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F48F90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检查方式</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51BD3D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检查标准</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6F82DC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实施层级</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638074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检查结果</w:t>
            </w:r>
          </w:p>
        </w:tc>
      </w:tr>
      <w:tr w14:paraId="484FFAC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1DB73D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459FE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对粮油市场价格监测数据的检查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14B5B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粮油价格监测数据报送是否及时、准确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53FEE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5BB3FA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粮油市场价格监测数据报送及时、准确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08B589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3DCBEE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89B475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94763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1FA306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对粮油收购进度五日报数据的检查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3F026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粮油收购进度五日报数据报送是否及时、准确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C70443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6D8A31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粮油收购进度五日报数据报送及时、准确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BDEB63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ED3427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BCC77B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1366"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FA00C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7E677A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对粮食收购者、粮食储存企业按要求使用仓储设施情况的检查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64EE0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仓储设施涉及使用、消杀、储存的资料、记录等齐备规范。</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B3E92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F0FDFC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1、使用的仓储设施符合粮食储存有关标准和技术规范以及安全生产法律、法规的要求，具有与储存品种、规模、周期等相适应的仓储条件。</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2、粮食没有与可能对粮食产生污染的有毒有害物质混存，储存粮食没有使用国家禁止使用的化学药剂或者超量使用化学药剂。</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DAE6EF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4F392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9AC6EF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12D905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8879AB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对粮食经营者从事政策性粮食经营活动时，虚报粮食收储数量情况的检查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7FE259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政策性粮食收储称重、扣杂等单据、凭证齐备规范。</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B48586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EA6EB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政策性粮食收储称重、扣杂等原始记录与报送的粮食收储数量核对一致、准确无误。</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43B0D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158DF7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835FAA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14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B83E1F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D3C074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对从事粮食收购、销售、储存、加工的粮食经营者及饲料、工业用粮企业按照规定报送粮食基本数据和有关情况的检查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E36AB8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按规定报送粮食流通统计基本数据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188EED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BF34D8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1、按要求填写粮食统计报表。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2、将粮食统计报表及时向当地粮食行政管理部门报送。</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3、保证原始记录和凭证、统计台账和统计报表中各项数据的一致性、准确性、完整性，并对所提供的统计数据和情况的真实性负责。</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FC98E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28867B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D53698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9649E4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5478A9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对粮油省际间流向月（年）报及时性、准确性检查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4652F9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粮油省际间流向月（年）报及时、准确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695D18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D1148F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粮油省际间流向月（年）报及时、准确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744405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969A0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12CDE19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E3AA58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0FFE13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对粮食购销存统计月（年）报数据的检查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B63DF3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粮食购销存统计月（年）报数据报送是否及时、准确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F6F090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61D30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粮食购销存统计月（年）报数据按时报送及时、准确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3DA51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D54B7C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4269727">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14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9EA72A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C440DD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对从事粮食收购、销售、储存、加工的粮食经营者以及饲料、工业用粮企业建立粮食经营台账情况的检查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30A89A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1、粮食经营台账的保存期限不得少于3年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2、粮食经营台账质量</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3、建立粮食经营台账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3DA5AD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3、现场检查/非现场检查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247D74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1、粮食经营台账的保存期限不得少于3年。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食经营台账格式合理，内容全面；台账填报规范、准确，按日记录、每月结算；准确记录从生产者、从企业购进数量；准确记录省内、省外购销数量；台账保存完整，与相关原始凭证一致，与会计账、保管账相符。</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3、按要求建立粮食经营台账。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BF3E58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E7D1DF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9D5E59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0EB5F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785560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对粮食加工企业落实防爆要求或粉尘清理制度的检查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FDF6C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谷物磨制生产活动落实防爆要求或粉尘清理制度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D6F036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BCBDEF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大米砻糠间、面粉散存仓、封闭式设备内部等划分为20区的粉尘爆炸危险场所电气设备符合防爆要求，并落实粉尘清理制度。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DEDC9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57A100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FE25C87">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90FBD0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DD204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对粮食收购者、粮食储存企业按照规定使用运输工具情况的检查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BC9F3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1、粮食运输工具相关购买、使用、报废等资料、凭证齐备规范。</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2、核对是否存在被包装材料、容器、运输工具等污染的粮食。</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538684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C31D13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1、粮食运输工具购买、使用、报废等符合规定，未有污染粮食情况。</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2、车辆和包装材料内没有粮食以外的有毒有害物质。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2AA30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925CC5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5C911B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FCD7C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FE1053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对粮油仓储单位备案内容是否存在弄虚作假情况的检查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8E83CC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备案内容真实</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F7168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FCAC7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核实备案通知书和营业执照信息一致。重点检查单位名称、地址、法定代表人、主要仓储业务类型、仓（罐）容规模等内容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F089B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D3364E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2DF55C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E69312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C015B4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对粮油仓储单位在规定时间向粮食行政管理部门备案情况的检查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F6CAA7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核实备案通知书和营业执照信息一致。重点检查单位名称、地址、法定代表人、主要仓储业务类型、仓（罐）容规模等内容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F31EAA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BAFB45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1、备案通知书备案管理部门是粮油仓储单位或库区所在行政区域的备案管理部门。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2、备案通知书在有效期内。</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CAD6F3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EBD99D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AFB2FC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22E82B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16399F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对粮食收购者违反《粮食流通管理条例》规定代扣、代缴税、费和其他款项情况的检查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4D4CC0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粮食收购者是否违反《粮食流通管理条例》规定代扣、代缴税、费和其他款项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D52ED6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197ADF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粮食收购者不得接受任何组织或者个人的委托代扣、代缴任何税、费和其他款项。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41D73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5145B2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CF891C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45B379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E0B6E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对粮食收购者及时向售粮者支付售粮款情况的检查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9C3CB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粮食收购者是否及时向售粮者支付售粮款</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E83465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4F2CE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粮食收购者应及时向售粮者支付售粮款，不得拖欠售粮款。</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F65B5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DAC6D5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912668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156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B7BFB9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2B1325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对从事粮食收购的经营者（以下简称粮食收购者）执行国家粮食质量标准情况的检查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92284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1、公示收购粮食相关信息。</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2、执行国家粮食质量安全检验规定。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52BA60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85EBF0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1.1、公告或告知书明确收购粮食的品种、质量标准、收购价格等内容</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1.2、粮食收购者出具的质量检验单据记载的相应质量指标应与公示的质量标准一致。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2、核对入库逐车检验和平仓检验单据，重点检查水分、杂质、食品安全指标符合《粮食质量安全监管办法》规定。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012776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C329B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26B6D1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16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BF0542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4E0B03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对粮食运输工具、容器以及混装运输情况的检查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1DD770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1、粮食运输工具、容器是否清洁、干燥、安全、卫生。</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2、是否使用专用容器、专用车辆或者使用非专用容器、车辆是否做好必要防护处理。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3、是否使用被污染的运输工具、容器或者包装材料运输粮油，是否将粮油与有毒有害物质混装运输。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CA8F1B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7BF15E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1、通过感官检查以及查验“前载证明”等方式，确认粮食运输工具、容器清洁、干燥、安全、卫生。</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2、通过感官检查以及查验“前载证明”等方式，确认运输食用植物油使用专用容器，使用非专用车（船）运输粮食有必要的铺垫物和防潮湿等设备，铺垫物、防潮湿设备等符合国家有关标准和政策要求。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3、通过感官检查以及查验“前载证明”等方式，确认未使用被污染的运输工具、容器或者包装材料运输粮油，未将粮油与有毒有害物质混装运输。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65BCC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88040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368368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E751B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64F8B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对粮食运输合同、协议或其他监督保证粮食运输质量安全形式的检查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DF5E9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粮食运输合同、协议或其他形式是否能够监督保证粮食运输质量安全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3C1212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53E26A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粮食运输合同、协议或其他形式能够监督保证粮食运输质量安全。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F70D2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EBC36B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D924A9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836"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EC327C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372C47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对从事粮食收购的企业（以下简称粮食收购企业）按照规定备案或者提供备案信息情况的检查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2C8802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1、粮食收购企业是否按照规定备案。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2、粮食收购企业是否提供虚假备案信息。</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5A01FD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FD889A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1、粮食收购企业收购备案日期为粮食收购前或收购季活动完成后5个工作日内。</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2、备案内容发生变化的，应当及时变更备案，如果企业收购时的实际信息与备案信息不符，视为未及时变更备案。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3、备案无有效期，备案后如无信息变更无需再次备案。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4、备案机关应为收购地的区级粮食和储备行政管理部门。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5、备案信息表应加盖备案粮食和储备行政管理部门公章。</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6、备案企业名称、地址、负责人以及仓储设施等信息与实际相符。</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7、企业提供的备案信息表虽符合上述标准，但经查相关粮食和储备行政管理部门并未予以备案。</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5B5127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F7D9A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28D5CE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6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1A6887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5FE1EF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对违法违规拆除、迁移、侵占、损坏油仓储物流设施或者擅自改变其用途情况的检查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CD24C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依法依规使用、拆除、迁移粮油仓储物流设施或改变其用途</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A494F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5491F7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1、粮油仓储单位应出具政府、相关行政管理部门同意拆除、迁移粮油仓储物流设施或改变粮油仓储物流设施用途的文件。</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2、粮油仓储物流设施实际情况应当与批准拆除、迁移对应的情形一致，不得非法损坏。</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3、粮油仓储物流设施使用主体应为合法使用主体，不得非法侵占，非自有使用的，应提供租借协议、合同等，并出具出租、出借备案表。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4、粮油仓储单位出租、出借粮油仓储物流设施，不得破坏粮油仓储物流设施的功能，应出具出租、出借备案表，并检查粮油仓储物流设施的功能。</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E679D1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F33269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27A5AB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98CFE8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0685E9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对使用、拆除、迁移粮油仓储物流设施或改变其用途的检查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0D456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粮油仓储单位备案信息</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1CCDC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BBE99A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1、粮油仓储单位备案日期，应为自设立或者开始从事粮油仓储活动之日起30个工作日内。</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2、备案机关为粮油仓储物流设施所在地粮食和储备行政管理部门。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3、粮油仓储物流设施规模、用途，与备案时一致；若不一致，应提供其间变更的备案表。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4、拆迁、改变用途时，粮油仓储单位备案日期应为行为发生之日起30个工作日内。</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5、依法对粮油仓储物流设施予以行政征收、征用的，被征收、征用单位进行备案日期应为自征收、征用之日起30个工作日内。</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6、粮油仓储单位出租、出借粮油仓储物流设施，备案日期应为自与承租方签订合同之日起30个工作日内，同时检查出租、出借合同及备案表。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04F06E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F49815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5DCCA6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192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433F0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2EF60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对非食用用途粮食出库情况检查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959ACC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污染物质以及其他危害人体健康的物质含量超过食品安全标准限量的粮食是否作为食用销售出库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3EFED4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B766E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出库粮食若为污染物质以及其他危害人体健康的物质含量超过食品安全标准限量，霉变或者色泽、气味异常，储存期间使用储粮药剂未满安全间隔期，被包装材料、容器、运输工具等污染，直接拌有农药、混有农药残渣、含有国家禁止使用的储粮药剂或者超量使用化学药剂等情况，则应作为非食用用途销售出库。</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2、检查定向销售用作非食用用途的粮食，在包装、销售凭证中明确标识用途。</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1DA0F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490E5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D4B3F3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120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4B2E78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C5A2D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对粮食应急预案启动后，粮食经营者按照国家要求承担应急任务，服从国家的统一安排和调度情况的检查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F9D45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应急预案启动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AFA0D1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7859DF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粮食应急预案启动后，粮食经营者必须按照国家要求承担应急任务，服从国家的统一安排和调度，保证应急的需要。</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C3BE58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E5502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45B972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5C6A1F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16848D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对粮食储存企业（粮食经营者）按照规定进行粮食销售出库质量安全检验情况的检查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1D81DF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出库检验报告合法有效</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F19F9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064A3B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1.查验质量检验报告，重点检查报告货位号、粮食品种、数量等信息与实际一致。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2.检验报告有效期自签发之日起6个月内。</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33694B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5DB6A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306CFC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4530D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2B32D0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对粮食收购者收购粮食按照国家有关规定进行质量安全检验情况的检查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4F4EA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收购者执行国家粮食质量安全检验规定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B3F622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F8C4F7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核对入库逐车检验和平仓检验单据，重点检查水分、杂质、食品安全指标，各项指标均未超标。</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7F5500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73D4F3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35165F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1726"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B7248E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DC4915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对粮食收购者收购不符合食品安全标准粮食作为非食用用途单独储存情况的检查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A61E3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非食用用途粮食单独储存</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1E3E8E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F2850E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1、检查质量安全检验报告，食品安全指标超过国家标准（GB 2715 食品安全国家标准粮食、GB 2760 食品安全国家标准食品添加剂使用标准、GB 2761食品安全国家标准食品中真菌毒素限量、GB 2762 食品安全国家标准食品中污染物限量标准、GB 2763 食品安全国家标准 食品中农药最大残留限量）则为不符合食品安全标准的粮食。</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2、非食用用途粮食单独储存，库存货位卡等记录有明确标识。</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F650E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CC4347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A20098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915"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E76AB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0F1DF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对购买国家限定用途的政策性粮食，违规倒卖或者不按照规定用途处置情况的检查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BBD3B8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粮食经营者购买国家限定用途的政策性粮食，是否违规倒卖或者不按照规定用途处置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1671BA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630DF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1、购买国家限定用途的政策性粮食，不得违规倒卖。</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2、购买国家限定用途的政策性粮食，必须按照规定用途处置。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3866B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A89119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1AAA6A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678F2B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68FE49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对粮油仓储单位固定经营场地污染源、危险源的检查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C539BA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经营场地与污染源、危险源保持安全距离</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192026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6D58AA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检查经营场地附近污染源、危险源，距离符合规定要求。</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EFDAE3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EC6AB8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0F8B70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38"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7A686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检查单位</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26C70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1A90DD9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F8AED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检查结论</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7DAE8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62E2E6A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2"/>
            <w:vMerge w:val="restart"/>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56843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检查人员签名</w:t>
            </w:r>
          </w:p>
        </w:tc>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C71CC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姓名：</w:t>
            </w:r>
          </w:p>
        </w:tc>
        <w:tc>
          <w:tcPr>
            <w:tcW w:w="0" w:type="auto"/>
            <w:gridSpan w:val="3"/>
            <w:vMerge w:val="restart"/>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11AB4F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年 月 日</w:t>
            </w:r>
          </w:p>
        </w:tc>
      </w:tr>
      <w:tr w14:paraId="1527AC4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F280EEB">
            <w:pPr>
              <w:rPr>
                <w:rFonts w:hint="default" w:ascii="Verdana" w:hAnsi="Verdana" w:cs="Verdana"/>
                <w:i w:val="0"/>
                <w:iCs w:val="0"/>
                <w:caps w:val="0"/>
                <w:color w:val="333333"/>
                <w:spacing w:val="0"/>
                <w:sz w:val="21"/>
                <w:szCs w:val="21"/>
              </w:rPr>
            </w:pPr>
          </w:p>
        </w:tc>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61FF20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执法证号：</w:t>
            </w:r>
          </w:p>
        </w:tc>
        <w:tc>
          <w:tcPr>
            <w:tcW w:w="0" w:type="auto"/>
            <w:gridSpan w:val="3"/>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B293DCB">
            <w:pPr>
              <w:rPr>
                <w:rFonts w:hint="default" w:ascii="Verdana" w:hAnsi="Verdana" w:cs="Verdana"/>
                <w:i w:val="0"/>
                <w:iCs w:val="0"/>
                <w:caps w:val="0"/>
                <w:color w:val="333333"/>
                <w:spacing w:val="0"/>
                <w:sz w:val="21"/>
                <w:szCs w:val="21"/>
              </w:rPr>
            </w:pPr>
          </w:p>
        </w:tc>
      </w:tr>
      <w:tr w14:paraId="046DD45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8BA1F5B">
            <w:pPr>
              <w:rPr>
                <w:rFonts w:hint="default" w:ascii="Verdana" w:hAnsi="Verdana" w:cs="Verdana"/>
                <w:i w:val="0"/>
                <w:iCs w:val="0"/>
                <w:caps w:val="0"/>
                <w:color w:val="333333"/>
                <w:spacing w:val="0"/>
                <w:sz w:val="21"/>
                <w:szCs w:val="21"/>
              </w:rPr>
            </w:pPr>
          </w:p>
        </w:tc>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293C8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姓名：</w:t>
            </w:r>
          </w:p>
        </w:tc>
        <w:tc>
          <w:tcPr>
            <w:tcW w:w="0" w:type="auto"/>
            <w:gridSpan w:val="3"/>
            <w:vMerge w:val="restart"/>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DD4C0F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年 月 日</w:t>
            </w:r>
          </w:p>
        </w:tc>
      </w:tr>
      <w:tr w14:paraId="59C9378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5EBEAB5">
            <w:pPr>
              <w:rPr>
                <w:rFonts w:hint="default" w:ascii="Verdana" w:hAnsi="Verdana" w:cs="Verdana"/>
                <w:i w:val="0"/>
                <w:iCs w:val="0"/>
                <w:caps w:val="0"/>
                <w:color w:val="333333"/>
                <w:spacing w:val="0"/>
                <w:sz w:val="21"/>
                <w:szCs w:val="21"/>
              </w:rPr>
            </w:pPr>
          </w:p>
        </w:tc>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FE0B5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执法证号：</w:t>
            </w:r>
          </w:p>
        </w:tc>
        <w:tc>
          <w:tcPr>
            <w:tcW w:w="0" w:type="auto"/>
            <w:gridSpan w:val="3"/>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4C904A5">
            <w:pPr>
              <w:rPr>
                <w:rFonts w:hint="default" w:ascii="Verdana" w:hAnsi="Verdana" w:cs="Verdana"/>
                <w:i w:val="0"/>
                <w:iCs w:val="0"/>
                <w:caps w:val="0"/>
                <w:color w:val="333333"/>
                <w:spacing w:val="0"/>
                <w:sz w:val="21"/>
                <w:szCs w:val="21"/>
              </w:rPr>
            </w:pPr>
          </w:p>
        </w:tc>
      </w:tr>
      <w:tr w14:paraId="3C5A95E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3883F2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备注</w:t>
            </w:r>
          </w:p>
        </w:tc>
        <w:tc>
          <w:tcPr>
            <w:tcW w:w="0" w:type="auto"/>
            <w:shd w:val="clear" w:color="auto" w:fill="FFFFFF"/>
            <w:vAlign w:val="center"/>
          </w:tcPr>
          <w:p w14:paraId="158BD0CD">
            <w:pPr>
              <w:rPr>
                <w:rFonts w:hint="default" w:ascii="Verdana" w:hAnsi="Verdana" w:cs="Verdana"/>
                <w:i w:val="0"/>
                <w:iCs w:val="0"/>
                <w:caps w:val="0"/>
                <w:color w:val="333333"/>
                <w:spacing w:val="0"/>
                <w:sz w:val="21"/>
                <w:szCs w:val="21"/>
              </w:rPr>
            </w:pPr>
          </w:p>
        </w:tc>
        <w:tc>
          <w:tcPr>
            <w:tcW w:w="0" w:type="auto"/>
            <w:shd w:val="clear" w:color="auto" w:fill="FFFFFF"/>
            <w:vAlign w:val="center"/>
          </w:tcPr>
          <w:p w14:paraId="792BC7BC">
            <w:pPr>
              <w:rPr>
                <w:rFonts w:hint="default" w:ascii="Verdana" w:hAnsi="Verdana" w:cs="Verdana"/>
                <w:i w:val="0"/>
                <w:iCs w:val="0"/>
                <w:caps w:val="0"/>
                <w:color w:val="333333"/>
                <w:spacing w:val="0"/>
                <w:sz w:val="21"/>
                <w:szCs w:val="21"/>
              </w:rPr>
            </w:pPr>
          </w:p>
        </w:tc>
        <w:tc>
          <w:tcPr>
            <w:tcW w:w="0" w:type="auto"/>
            <w:shd w:val="clear" w:color="auto" w:fill="FFFFFF"/>
            <w:vAlign w:val="center"/>
          </w:tcPr>
          <w:p w14:paraId="34EC1E89">
            <w:pPr>
              <w:rPr>
                <w:rFonts w:hint="default" w:ascii="Verdana" w:hAnsi="Verdana" w:cs="Verdana"/>
                <w:i w:val="0"/>
                <w:iCs w:val="0"/>
                <w:caps w:val="0"/>
                <w:color w:val="333333"/>
                <w:spacing w:val="0"/>
                <w:sz w:val="21"/>
                <w:szCs w:val="21"/>
              </w:rPr>
            </w:pPr>
          </w:p>
        </w:tc>
        <w:tc>
          <w:tcPr>
            <w:tcW w:w="0" w:type="auto"/>
            <w:shd w:val="clear" w:color="auto" w:fill="FFFFFF"/>
            <w:vAlign w:val="center"/>
          </w:tcPr>
          <w:p w14:paraId="0F43E9D0">
            <w:pPr>
              <w:rPr>
                <w:rFonts w:hint="default" w:ascii="Verdana" w:hAnsi="Verdana" w:cs="Verdana"/>
                <w:i w:val="0"/>
                <w:iCs w:val="0"/>
                <w:caps w:val="0"/>
                <w:color w:val="333333"/>
                <w:spacing w:val="0"/>
                <w:sz w:val="21"/>
                <w:szCs w:val="21"/>
              </w:rPr>
            </w:pPr>
          </w:p>
        </w:tc>
        <w:tc>
          <w:tcPr>
            <w:tcW w:w="0" w:type="auto"/>
            <w:shd w:val="clear" w:color="auto" w:fill="FFFFFF"/>
            <w:vAlign w:val="center"/>
          </w:tcPr>
          <w:p w14:paraId="5A60278C">
            <w:pPr>
              <w:rPr>
                <w:rFonts w:hint="default" w:ascii="Verdana" w:hAnsi="Verdana" w:cs="Verdana"/>
                <w:i w:val="0"/>
                <w:iCs w:val="0"/>
                <w:caps w:val="0"/>
                <w:color w:val="333333"/>
                <w:spacing w:val="0"/>
                <w:sz w:val="21"/>
                <w:szCs w:val="21"/>
              </w:rPr>
            </w:pPr>
          </w:p>
        </w:tc>
      </w:tr>
    </w:tbl>
    <w:p w14:paraId="1D83038D">
      <w:pPr>
        <w:keepNext w:val="0"/>
        <w:keepLines w:val="0"/>
        <w:widowControl/>
        <w:suppressLineNumbers w:val="0"/>
        <w:jc w:val="left"/>
      </w:pPr>
    </w:p>
    <w:p w14:paraId="29F421BC"/>
    <w:sectPr>
      <w:pgSz w:w="16838" w:h="11906" w:orient="landscape"/>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561F07"/>
    <w:rsid w:val="40561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7</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2025-07-14T08:23:00Z</dcterms:created>
  <dc:creator>Gehe</dc:creator>
  <cp:lastModifiedBy>Gehe</cp:lastModifiedBy>
  <dcterms:modified xsi:type="dcterms:W3CDTF">2025-07-14T08:31:10Z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9173090F82DE4E09BF27F1F31EB17BB1_11</vt:lpwstr>
  </property>
  <property fmtid="{D5CDD505-2E9C-101B-9397-08002B2CF9AE}" pid="4" name="KSOTemplateDocerSaveRecord">
    <vt:lpwstr>eyJoZGlkIjoiMDFkOGZhM2ZlNWNkZDZmNGYyZjQ3MDE4Y2QyMGY4MTEiLCJ1c2VySWQiOiI4NTI5ODU4NzcifQ==</vt:lpwstr>
  </property>
</Properties>
</file>