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EC8FF2A">
      <w:pPr>
        <w:ind w:left="0" w:leftChars="0" w:firstLine="0" w:firstLineChars="0"/>
        <w:jc w:val="both"/>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Hans"/>
        </w:rPr>
        <w:t>检查合格标准</w:t>
      </w:r>
      <w:r>
        <w:rPr>
          <w:rFonts w:hint="eastAsia" w:ascii="黑体" w:hAnsi="黑体" w:eastAsia="黑体" w:cs="黑体"/>
          <w:b w:val="0"/>
          <w:bCs w:val="0"/>
          <w:sz w:val="32"/>
          <w:szCs w:val="32"/>
          <w:lang w:val="en-US" w:eastAsia="zh-CN"/>
        </w:rPr>
        <w:t>8</w:t>
      </w:r>
      <w:r>
        <w:rPr>
          <w:rFonts w:hint="eastAsia" w:ascii="黑体" w:hAnsi="黑体" w:eastAsia="黑体" w:cs="黑体"/>
          <w:b w:val="0"/>
          <w:bCs w:val="0"/>
          <w:sz w:val="32"/>
          <w:szCs w:val="32"/>
          <w:lang w:val="en-US" w:eastAsia="zh-Hans"/>
        </w:rPr>
        <w:t>:</w:t>
      </w:r>
    </w:p>
    <w:p w14:paraId="401A72FB">
      <w:pPr>
        <w:ind w:left="0" w:leftChars="0" w:firstLine="0" w:firstLineChars="0"/>
        <w:jc w:val="both"/>
        <w:rPr>
          <w:rFonts w:hint="eastAsia" w:ascii="仿宋_GB2312" w:hAnsi="仿宋_GB2312" w:eastAsia="仿宋_GB2312" w:cs="仿宋_GB2312"/>
          <w:sz w:val="32"/>
          <w:szCs w:val="32"/>
          <w:lang w:val="en-US" w:eastAsia="zh-Hans"/>
        </w:rPr>
      </w:pPr>
    </w:p>
    <w:p w14:paraId="75714882">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【1】典当行股东与典当行不存在非正常资金往来；</w:t>
      </w:r>
    </w:p>
    <w:p w14:paraId="580219BA">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【2】典当行不存在股东借款、典当行股东以典当行名义为自己招揽业务或股东利用典当行违法违规从事金融活动的情况。</w:t>
      </w:r>
    </w:p>
    <w:p w14:paraId="738F9466">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【3】典当行遵守以下监管要求：</w:t>
      </w:r>
    </w:p>
    <w:p w14:paraId="0D94033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1.典当期限未超过6个月；</w:t>
      </w:r>
    </w:p>
    <w:p w14:paraId="12B53934">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2.典当当金利率按贷款市场报价利率（LPR）及浮动范围执行，不存在当金利息预扣的情况；</w:t>
      </w:r>
    </w:p>
    <w:p w14:paraId="5E113708">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3.动产质押典当业务月综合费率未超过当金的42‰。 </w:t>
      </w:r>
    </w:p>
    <w:p w14:paraId="4213302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4.房地产抵押典当的月综合费率未超过当金的27‰。 </w:t>
      </w:r>
    </w:p>
    <w:p w14:paraId="176FC40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5.财产权利质押典当的月综合费率未超过当金的24‰。</w:t>
      </w:r>
    </w:p>
    <w:p w14:paraId="389CE8A8">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【4】典当行符合以下监管指标（现场查验公司提供的相关资料）：</w:t>
      </w:r>
    </w:p>
    <w:p w14:paraId="3E099BE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1. 典当行不得从本市（地、州、盟）以外的商业银行贷款。典当行分支机构不得从商业银行贷款。 </w:t>
      </w:r>
    </w:p>
    <w:p w14:paraId="28C3E618">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2. 典当行对同一法人或者自然人的典当余额不得超过注册资本的25％。 </w:t>
      </w:r>
    </w:p>
    <w:p w14:paraId="08AD6416">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3. 典当行对其股东的典当余额不得超过该股东入股金额，且典当条件不得优于普通当户。 </w:t>
      </w:r>
    </w:p>
    <w:p w14:paraId="7A6FFA2B">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4. 典当行净资产低于注册资本的90%时，各股东应当按比例补足或者申请减少注册资本，但减少后的注册资本不得违反本办法关于典当行注册资本最低限额的规定。 </w:t>
      </w:r>
    </w:p>
    <w:p w14:paraId="18418AE3">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 典当行财产权利质押典当余额不得超过注册资本的50%。房地产抵押典当余额不得超过注册资本。注册资本不足1000万元的，房地产抵押典当单笔当金数额不得超过100万元。</w:t>
      </w:r>
    </w:p>
    <w:p w14:paraId="3DE33EA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【5】典当行符合金融管理部门的其他监管要求。</w:t>
      </w:r>
    </w:p>
    <w:p w14:paraId="4DA42640">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【6】典当行处置绝当物采用协议折价或者协议拍卖、变卖的方式；</w:t>
      </w:r>
    </w:p>
    <w:p w14:paraId="699B33DE">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【7】典当行在绝当后积极处理绝当物。</w:t>
      </w:r>
    </w:p>
    <w:p w14:paraId="38226CC9">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【8】典当行不存在违规融资参与上市股票炒作、为客户提供股票交易资金的情况、以证券交易账户资产为质押的股票典当业务的情况。</w:t>
      </w:r>
    </w:p>
    <w:p w14:paraId="56D59389">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【9】典当行遵守以下监管要求：</w:t>
      </w:r>
    </w:p>
    <w:p w14:paraId="7EE7067B">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1.典当行已向当户出具当票；</w:t>
      </w:r>
    </w:p>
    <w:p w14:paraId="0D3C70F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2.房地产抵押典当业务已办理抵押登记； </w:t>
      </w:r>
    </w:p>
    <w:p w14:paraId="4AE442C3">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 xml:space="preserve">3.机动车质押典当业务，已办理质押登记手续； </w:t>
      </w:r>
    </w:p>
    <w:p w14:paraId="58AE9F9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4.典当行经营其他典当业务，已按照有关法律、法规要求登记的，依法办理登记手续。</w:t>
      </w:r>
    </w:p>
    <w:p w14:paraId="6CE8F942">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【10】典当行有健全的公司治理结构（查看公司章程、组织结构图、典当行各部门的设置及简要职责说明）；</w:t>
      </w:r>
    </w:p>
    <w:p w14:paraId="6A457BBD">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【11】典当行有符合国家规定任职条件的董事、监事、高级管理人员和其他人员（查看员工名单及简历）；</w:t>
      </w:r>
    </w:p>
    <w:p w14:paraId="62F1603A">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【12】典当行遵守内控制度、安全制度、风险管理制度、反洗钱制度等方面的规范；</w:t>
      </w:r>
    </w:p>
    <w:p w14:paraId="514FC05B">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【13】典当行在明显位置悬挂公示营业执照、典当经营许可证正本原件，对外公示典当收费标准。</w:t>
      </w:r>
    </w:p>
    <w:p w14:paraId="612B7F2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【14】典当行不得经营下列业务或有下列行为：</w:t>
      </w:r>
    </w:p>
    <w:p w14:paraId="4545586F">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 非绝当物品销售及旧物收购、寄售；</w:t>
      </w:r>
    </w:p>
    <w:p w14:paraId="1D72EAD8">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 动产抵押业务；</w:t>
      </w:r>
    </w:p>
    <w:p w14:paraId="7B2AA9A9">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3. 向除商业银行以外的单位或个人借款；</w:t>
      </w:r>
    </w:p>
    <w:p w14:paraId="37F7BC8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 与其他典当行拆借或变相拆借资金；</w:t>
      </w:r>
    </w:p>
    <w:p w14:paraId="7D255A0D">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 超过规定限额从商业银行贷款；</w:t>
      </w:r>
    </w:p>
    <w:p w14:paraId="29EBA381">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6. 对外投资；</w:t>
      </w:r>
    </w:p>
    <w:p w14:paraId="6C55DD3E">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7. 发放信用贷款；</w:t>
      </w:r>
    </w:p>
    <w:p w14:paraId="005EF33B">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8. 通过网络借贷信息中介机构、私募投资基金等机构或渠道融资；</w:t>
      </w:r>
    </w:p>
    <w:p w14:paraId="4674CBB4">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9. 集资、吸收存款或者变相吸收存款；</w:t>
      </w:r>
    </w:p>
    <w:p w14:paraId="0EE5A7FE">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10. “套路贷”、“砍头息”、洗钱等违法犯罪活动；</w:t>
      </w:r>
    </w:p>
    <w:p w14:paraId="2690A434">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11. 未经市金融</w:t>
      </w:r>
      <w:r>
        <w:rPr>
          <w:rFonts w:hint="eastAsia" w:ascii="仿宋_GB2312" w:hAnsi="仿宋_GB2312" w:cs="仿宋_GB2312"/>
          <w:sz w:val="32"/>
          <w:szCs w:val="32"/>
          <w:lang w:val="en-US" w:eastAsia="zh-CN"/>
        </w:rPr>
        <w:t>管理</w:t>
      </w:r>
      <w:bookmarkStart w:id="0" w:name="_GoBack"/>
      <w:bookmarkEnd w:id="0"/>
      <w:r>
        <w:rPr>
          <w:rFonts w:hint="eastAsia" w:ascii="仿宋_GB2312" w:hAnsi="仿宋_GB2312" w:eastAsia="仿宋_GB2312" w:cs="仿宋_GB2312"/>
          <w:sz w:val="32"/>
          <w:szCs w:val="32"/>
          <w:lang w:eastAsia="zh-Hans"/>
        </w:rPr>
        <w:t>局批准的其他金融业务活动。</w:t>
      </w:r>
    </w:p>
    <w:p w14:paraId="5B954A9E">
      <w:pPr>
        <w:numPr>
          <w:ilvl w:val="0"/>
          <w:numId w:val="0"/>
        </w:numPr>
        <w:ind w:leftChars="0" w:firstLine="640" w:firstLineChars="200"/>
        <w:jc w:val="both"/>
        <w:rPr>
          <w:rFonts w:hint="eastAsia" w:ascii="仿宋_GB2312" w:hAnsi="仿宋_GB2312" w:eastAsia="仿宋_GB2312" w:cs="仿宋_GB2312"/>
          <w:sz w:val="32"/>
          <w:szCs w:val="32"/>
          <w:lang w:eastAsia="zh-Hans"/>
        </w:rPr>
      </w:pPr>
    </w:p>
    <w:p w14:paraId="5313CCF5">
      <w:pPr>
        <w:numPr>
          <w:ilvl w:val="0"/>
          <w:numId w:val="0"/>
        </w:numPr>
        <w:ind w:leftChars="0"/>
        <w:jc w:val="both"/>
        <w:rPr>
          <w:rFonts w:hint="eastAsia"/>
          <w:lang w:eastAsia="zh-Hans"/>
        </w:rPr>
      </w:pPr>
    </w:p>
    <w:p w14:paraId="02F2E591">
      <w:pPr>
        <w:numPr>
          <w:ilvl w:val="0"/>
          <w:numId w:val="0"/>
        </w:numPr>
        <w:ind w:leftChars="0"/>
        <w:jc w:val="both"/>
        <w:rPr>
          <w:rFonts w:hint="eastAsia"/>
          <w:lang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roman"/>
    <w:pitch w:val="default"/>
    <w:sig w:usb0="00000000" w:usb1="00000000" w:usb2="0A246029" w:usb3="0400200C" w:csb0="600001FF" w:csb1="DFFF0000"/>
  </w:font>
  <w:font w:name="Heiti SC Light">
    <w:altName w:val="Noto Serif SC"/>
    <w:panose1 w:val="00000000000000000000"/>
    <w:charset w:val="80"/>
    <w:family w:val="auto"/>
    <w:pitch w:val="default"/>
    <w:sig w:usb0="00000000" w:usb1="00000000" w:usb2="00000000" w:usb3="00000000" w:csb0="203E0000" w:csb1="00000000"/>
  </w:font>
  <w:font w:name="方正书宋_GBK">
    <w:altName w:val="微软雅黑"/>
    <w:panose1 w:val="02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Noto Serif SC">
    <w:panose1 w:val="02020200000000000000"/>
    <w:charset w:val="86"/>
    <w:family w:val="auto"/>
    <w:pitch w:val="default"/>
    <w:sig w:usb0="20000083" w:usb1="2ADF3C10" w:usb2="00000016" w:usb3="00000000" w:csb0="60060107"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F9EEF"/>
    <w:rsid w:val="036119FD"/>
    <w:rsid w:val="070508DD"/>
    <w:rsid w:val="0EC60B38"/>
    <w:rsid w:val="1384217A"/>
    <w:rsid w:val="13BF43AD"/>
    <w:rsid w:val="17844BB9"/>
    <w:rsid w:val="1DAB2FF8"/>
    <w:rsid w:val="38565EBE"/>
    <w:rsid w:val="4A704BB0"/>
    <w:rsid w:val="53102AC4"/>
    <w:rsid w:val="5CFD5355"/>
    <w:rsid w:val="5DAD6CAF"/>
    <w:rsid w:val="5F7DCF59"/>
    <w:rsid w:val="5FB6FD0B"/>
    <w:rsid w:val="60FF7198"/>
    <w:rsid w:val="68FF25CE"/>
    <w:rsid w:val="6BE42537"/>
    <w:rsid w:val="6DC731BB"/>
    <w:rsid w:val="6FFF619B"/>
    <w:rsid w:val="742A1D92"/>
    <w:rsid w:val="776F9EEF"/>
    <w:rsid w:val="7B5FC075"/>
    <w:rsid w:val="7BDFD233"/>
    <w:rsid w:val="7D3F7860"/>
    <w:rsid w:val="7DFBDC78"/>
    <w:rsid w:val="7E80769C"/>
    <w:rsid w:val="7F7E9C4C"/>
    <w:rsid w:val="7FEF0B80"/>
    <w:rsid w:val="7FFF8554"/>
    <w:rsid w:val="B4FF8A02"/>
    <w:rsid w:val="BBFFA552"/>
    <w:rsid w:val="DF591126"/>
    <w:rsid w:val="DFB5C6E4"/>
    <w:rsid w:val="E5FF2EE9"/>
    <w:rsid w:val="EB5F30A1"/>
    <w:rsid w:val="EB774F38"/>
    <w:rsid w:val="EDF92240"/>
    <w:rsid w:val="EFBF5FDE"/>
    <w:rsid w:val="F0AD54E5"/>
    <w:rsid w:val="F7E6AAB1"/>
    <w:rsid w:val="F7FEA782"/>
    <w:rsid w:val="FCBFB1E6"/>
    <w:rsid w:val="FFC26B9C"/>
    <w:rsid w:val="FFE79C4A"/>
    <w:rsid w:val="FFEFF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pPr>
    <w:rPr>
      <w:rFonts w:ascii="Times New Roman" w:hAnsi="Times New Roman" w:eastAsia="仿宋_GB2312" w:cs="Times New Roman"/>
      <w:sz w:val="28"/>
      <w:szCs w:val="24"/>
      <w:lang w:val="en-US" w:eastAsia="zh-CN" w:bidi="ar-SA"/>
    </w:rPr>
  </w:style>
  <w:style w:type="paragraph" w:styleId="2">
    <w:name w:val="heading 1"/>
    <w:basedOn w:val="3"/>
    <w:next w:val="4"/>
    <w:link w:val="10"/>
    <w:qFormat/>
    <w:uiPriority w:val="0"/>
    <w:pPr>
      <w:keepNext/>
      <w:keepLines/>
      <w:jc w:val="center"/>
      <w:outlineLvl w:val="0"/>
    </w:pPr>
    <w:rPr>
      <w:rFonts w:eastAsiaTheme="majorEastAsia"/>
      <w:b/>
      <w:kern w:val="44"/>
      <w:sz w:val="32"/>
      <w:szCs w:val="44"/>
    </w:rPr>
  </w:style>
  <w:style w:type="paragraph" w:styleId="5">
    <w:name w:val="heading 2"/>
    <w:basedOn w:val="6"/>
    <w:next w:val="6"/>
    <w:link w:val="11"/>
    <w:unhideWhenUsed/>
    <w:qFormat/>
    <w:uiPriority w:val="0"/>
    <w:pPr>
      <w:widowControl/>
      <w:jc w:val="center"/>
      <w:outlineLvl w:val="1"/>
    </w:pPr>
    <w:rPr>
      <w:rFonts w:ascii="宋体" w:hAnsi="宋体" w:eastAsia="宋体"/>
      <w:b/>
      <w:bCs/>
      <w:kern w:val="0"/>
      <w:sz w:val="30"/>
      <w:szCs w:val="36"/>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toa heading"/>
    <w:basedOn w:val="1"/>
    <w:next w:val="1"/>
    <w:qFormat/>
    <w:uiPriority w:val="0"/>
    <w:pPr>
      <w:spacing w:before="120" w:beforeLines="0" w:beforeAutospacing="0"/>
    </w:pPr>
    <w:rPr>
      <w:rFonts w:ascii="DejaVu Sans" w:hAnsi="DejaVu Sans"/>
      <w:sz w:val="24"/>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DejaVu Sans" w:hAnsi="DejaVu Sans"/>
      <w:sz w:val="24"/>
    </w:rPr>
  </w:style>
  <w:style w:type="paragraph" w:styleId="7">
    <w:name w:val="toc 2"/>
    <w:basedOn w:val="1"/>
    <w:next w:val="1"/>
    <w:qFormat/>
    <w:uiPriority w:val="0"/>
    <w:pPr>
      <w:ind w:left="420" w:leftChars="200"/>
    </w:pPr>
    <w:rPr>
      <w:rFonts w:eastAsia="宋体"/>
      <w:b/>
      <w:kern w:val="2"/>
      <w:sz w:val="24"/>
    </w:rPr>
  </w:style>
  <w:style w:type="character" w:customStyle="1" w:styleId="10">
    <w:name w:val="Heading 1 Char"/>
    <w:basedOn w:val="9"/>
    <w:link w:val="2"/>
    <w:qFormat/>
    <w:uiPriority w:val="0"/>
    <w:rPr>
      <w:rFonts w:ascii="Heiti SC Light" w:hAnsi="Heiti SC Light" w:eastAsia="宋体"/>
      <w:b/>
      <w:bCs/>
      <w:kern w:val="44"/>
      <w:sz w:val="32"/>
      <w:szCs w:val="44"/>
    </w:rPr>
  </w:style>
  <w:style w:type="character" w:customStyle="1" w:styleId="11">
    <w:name w:val="标题 2 字符"/>
    <w:basedOn w:val="9"/>
    <w:link w:val="5"/>
    <w:qFormat/>
    <w:uiPriority w:val="9"/>
    <w:rPr>
      <w:rFonts w:ascii="宋体" w:hAnsi="宋体" w:eastAsia="宋体"/>
      <w:b/>
      <w:bCs/>
      <w:sz w:val="30"/>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1120</Words>
  <Characters>1168</Characters>
  <Lines>0</Lines>
  <Paragraphs>0</Paragraphs>
  <TotalTime>4</TotalTime>
  <ScaleCrop>false</ScaleCrop>
  <LinksUpToDate>false</LinksUpToDate>
  <CharactersWithSpaces>1192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2022-01-02T17:58:00Z</dcterms:created>
  <dc:creator>张嘉嘉律师</dc:creator>
  <cp:lastModifiedBy>啦啦啦~</cp:lastModifiedBy>
  <cp:lastPrinted>2025-06-26T18:00:00Z</cp:lastPrinted>
  <dcterms:modified xsi:type="dcterms:W3CDTF">2025-07-04T08:54:53Z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9BAD8867089E46C88945A97F88D0CC8D</vt:lpwstr>
  </property>
  <property fmtid="{D5CDD505-2E9C-101B-9397-08002B2CF9AE}" pid="4" name="KSOTemplateDocerSaveRecord">
    <vt:lpwstr>eyJoZGlkIjoiMTY1NDZmNjYwNjFjZWI5ZmRjM2QwMjhhZTRkODg4OGQiLCJ1c2VySWQiOiIyNDkyMDAyOTUifQ==</vt:lpwstr>
  </property>
</Properties>
</file>