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32"/>
          <w:szCs w:val="3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北京市丰台区南苑乡人民政府</w:t>
      </w:r>
    </w:p>
    <w:p>
      <w:pPr>
        <w:jc w:val="center"/>
        <w:rPr>
          <w:rFonts w:ascii="黑体" w:eastAsia="黑体"/>
          <w:sz w:val="72"/>
          <w:szCs w:val="72"/>
        </w:rPr>
      </w:pPr>
      <w:r>
        <w:rPr>
          <w:rFonts w:hint="eastAsia" w:ascii="黑体" w:eastAsia="黑体"/>
          <w:sz w:val="72"/>
          <w:szCs w:val="72"/>
        </w:rPr>
        <w:t>2020年度部门决算（草案）</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32"/>
          <w:szCs w:val="32"/>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2020年度部门决算报表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2020年度部门决算说明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2020年度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2020年度部门绩效评价情况</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第一部分 2020年度部门决算报表</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北京市丰台区南苑乡人民政府2020年度部门决算报表详见附件。</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第二部分 2020年度部门决算说明</w:t>
      </w:r>
    </w:p>
    <w:p>
      <w:pPr>
        <w:tabs>
          <w:tab w:val="center" w:pos="6979"/>
        </w:tabs>
        <w:spacing w:line="580" w:lineRule="exact"/>
        <w:ind w:firstLine="548" w:firstLineChars="196"/>
        <w:rPr>
          <w:rFonts w:ascii="黑体" w:eastAsia="黑体"/>
          <w:b/>
          <w:sz w:val="28"/>
          <w:szCs w:val="28"/>
        </w:rPr>
      </w:pPr>
      <w:r>
        <w:rPr>
          <w:rFonts w:hint="eastAsia" w:ascii="黑体" w:eastAsia="黑体"/>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北京市丰台区南苑乡人民政府南苑乡人民政府是隶属于北京市丰台区人民政府的行政单位，下设全额拨款事业单位4个，分别为丰台区南苑乡社会保障事务所、丰台区南苑乡农业服务中心，丰台区南苑乡农村合作经济经营管理站及丰台区南苑乡文化服务中心。</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北京市丰台区南苑乡人民政府在北京市丰台区人民政府的领导下，按照有关法律法规对全乡进行管理。主要职责是：</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（1）贯彻执行党的路线、方针、政策和国家的法律、法规；执行本级人民代表大会的决议和上级国家行政机关的决定和命令。</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（2）负责制定本乡经济社会发展规划并组织实施；负责本乡产业结构调整、投资项目引进的指导与服务； 负责本乡企业管理与服务、科技创新、信息产业发展。</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（3）负责本乡财政预算、决算和收支管理，协助组织税收、内部审计、农村金融管理。</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（4）负责农村改革发展、农村土地承包管理、农民负担监督管理、农村集体资产财务、村级账务管理和审计监督等工作。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（5）负责统筹、协调、监督本乡安全工作，加强社会管理、社会治安综合治理、安全生产、民防、交通安全、消防安全、流动人口和出租房屋的管理工作。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（6）负责乡村建设发展、市政基础设施建设与管理、市容环境卫生管理、违法建设查处、环境保护工作。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（7）负责人口计划生育管理工作。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（8）负责社会保障、社会福利、拥军优属、殡葬管理等社会事务管理工作；负责辖区内劳动者权益保护工作；负责民族、宗教、侨务工作。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（9）负责开展教育、科普、卫生、体育以及群众性文化工作。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（10）负责农业、林业、水务、畜牧产业的管理工作；负责旅游、防汛抗旱、新农村建设工作。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（11）负责社区建设、发展、管理与服务工作。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（12）负责村民（居民）自治组织和村级政权建设。</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（13）负责民事调解和普法教育工作。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（14）办理人民群众来信来访，反映人民群众的意见和要求。</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（15）承办区政府交办的其他事项。</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行政编制94人，实有人数88人；事业编制54人，实有人数43人。</w:t>
      </w:r>
    </w:p>
    <w:p>
      <w:pPr>
        <w:tabs>
          <w:tab w:val="center" w:pos="6979"/>
        </w:tabs>
        <w:spacing w:line="580" w:lineRule="exact"/>
        <w:rPr>
          <w:rFonts w:ascii="黑体" w:eastAsia="黑体"/>
          <w:sz w:val="28"/>
          <w:szCs w:val="28"/>
        </w:rPr>
      </w:pPr>
      <w:r>
        <w:rPr>
          <w:rFonts w:hint="eastAsia" w:ascii="仿宋_GB2312" w:eastAsia="仿宋_GB2312"/>
          <w:b/>
          <w:sz w:val="32"/>
          <w:szCs w:val="32"/>
        </w:rPr>
        <w:t xml:space="preserve">   </w:t>
      </w:r>
      <w:r>
        <w:rPr>
          <w:rFonts w:hint="eastAsia" w:ascii="黑体" w:eastAsia="黑体"/>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2020年度收、</w:t>
      </w:r>
      <w:r>
        <w:rPr>
          <w:rFonts w:ascii="仿宋_GB2312" w:eastAsia="仿宋_GB2312"/>
          <w:sz w:val="28"/>
          <w:szCs w:val="28"/>
        </w:rPr>
        <w:t>支</w:t>
      </w:r>
      <w:r>
        <w:rPr>
          <w:rFonts w:hint="eastAsia" w:ascii="仿宋_GB2312" w:eastAsia="仿宋_GB2312"/>
          <w:sz w:val="28"/>
          <w:szCs w:val="28"/>
        </w:rPr>
        <w:t>总计54704.42万元，</w:t>
      </w:r>
      <w:r>
        <w:rPr>
          <w:rFonts w:ascii="仿宋_GB2312" w:eastAsia="仿宋_GB2312"/>
          <w:sz w:val="28"/>
          <w:szCs w:val="28"/>
        </w:rPr>
        <w:t>比上年</w:t>
      </w:r>
      <w:r>
        <w:rPr>
          <w:rFonts w:hint="eastAsia" w:ascii="仿宋_GB2312" w:eastAsia="仿宋_GB2312"/>
          <w:sz w:val="28"/>
          <w:szCs w:val="28"/>
        </w:rPr>
        <w:t>减少上年减少10357.55万元，下降21.25%。。</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2020年度本年收入合计27525.65万元，</w:t>
      </w:r>
      <w:r>
        <w:rPr>
          <w:rFonts w:ascii="仿宋_GB2312" w:eastAsia="仿宋_GB2312"/>
          <w:sz w:val="28"/>
          <w:szCs w:val="28"/>
        </w:rPr>
        <w:t>比上年</w:t>
      </w:r>
      <w:r>
        <w:rPr>
          <w:rFonts w:hint="eastAsia" w:ascii="仿宋_GB2312" w:eastAsia="仿宋_GB2312"/>
          <w:sz w:val="28"/>
          <w:szCs w:val="28"/>
        </w:rPr>
        <w:t>减少2362.04万元，增长下降17.88</w:t>
      </w:r>
      <w:r>
        <w:rPr>
          <w:rFonts w:ascii="仿宋_GB2312" w:eastAsia="仿宋_GB2312"/>
          <w:sz w:val="28"/>
          <w:szCs w:val="28"/>
        </w:rPr>
        <w:t>.</w:t>
      </w:r>
      <w:r>
        <w:rPr>
          <w:rFonts w:hint="eastAsia" w:ascii="仿宋_GB2312" w:eastAsia="仿宋_GB2312"/>
          <w:sz w:val="28"/>
          <w:szCs w:val="28"/>
        </w:rPr>
        <w:t>%，其中：财政拨款收入27525.65万元，占收入合计的100</w:t>
      </w:r>
      <w:r>
        <w:rPr>
          <w:rFonts w:ascii="仿宋_GB2312" w:eastAsia="仿宋_GB2312"/>
          <w:sz w:val="28"/>
          <w:szCs w:val="28"/>
        </w:rPr>
        <w:t>.</w:t>
      </w:r>
      <w:r>
        <w:rPr>
          <w:rFonts w:hint="eastAsia" w:ascii="仿宋_GB2312" w:eastAsia="仿宋_GB2312"/>
          <w:sz w:val="28"/>
          <w:szCs w:val="28"/>
        </w:rPr>
        <w:t>00%；上级补助收入0</w:t>
      </w:r>
      <w:r>
        <w:rPr>
          <w:rFonts w:ascii="仿宋_GB2312" w:eastAsia="仿宋_GB2312"/>
          <w:sz w:val="28"/>
          <w:szCs w:val="28"/>
        </w:rPr>
        <w:t>.</w:t>
      </w:r>
      <w:r>
        <w:rPr>
          <w:rFonts w:hint="eastAsia" w:ascii="仿宋_GB2312" w:eastAsia="仿宋_GB2312"/>
          <w:sz w:val="28"/>
          <w:szCs w:val="28"/>
        </w:rPr>
        <w:t>00万元，占收入合计的0</w:t>
      </w:r>
      <w:r>
        <w:rPr>
          <w:rFonts w:ascii="仿宋_GB2312" w:eastAsia="仿宋_GB2312"/>
          <w:sz w:val="28"/>
          <w:szCs w:val="28"/>
        </w:rPr>
        <w:t>.</w:t>
      </w:r>
      <w:r>
        <w:rPr>
          <w:rFonts w:hint="eastAsia" w:ascii="仿宋_GB2312" w:eastAsia="仿宋_GB2312"/>
          <w:sz w:val="28"/>
          <w:szCs w:val="28"/>
        </w:rPr>
        <w:t>00%；事业收入0</w:t>
      </w:r>
      <w:r>
        <w:rPr>
          <w:rFonts w:ascii="仿宋_GB2312" w:eastAsia="仿宋_GB2312"/>
          <w:sz w:val="28"/>
          <w:szCs w:val="28"/>
        </w:rPr>
        <w:t>.</w:t>
      </w:r>
      <w:r>
        <w:rPr>
          <w:rFonts w:hint="eastAsia" w:ascii="仿宋_GB2312" w:eastAsia="仿宋_GB2312"/>
          <w:sz w:val="28"/>
          <w:szCs w:val="28"/>
        </w:rPr>
        <w:t>00万元，占收入合计的0</w:t>
      </w:r>
      <w:r>
        <w:rPr>
          <w:rFonts w:ascii="仿宋_GB2312" w:eastAsia="仿宋_GB2312"/>
          <w:sz w:val="28"/>
          <w:szCs w:val="28"/>
        </w:rPr>
        <w:t>.</w:t>
      </w:r>
      <w:r>
        <w:rPr>
          <w:rFonts w:hint="eastAsia" w:ascii="仿宋_GB2312" w:eastAsia="仿宋_GB2312"/>
          <w:sz w:val="28"/>
          <w:szCs w:val="28"/>
        </w:rPr>
        <w:t>00%；经营收入0</w:t>
      </w:r>
      <w:r>
        <w:rPr>
          <w:rFonts w:ascii="仿宋_GB2312" w:eastAsia="仿宋_GB2312"/>
          <w:sz w:val="28"/>
          <w:szCs w:val="28"/>
        </w:rPr>
        <w:t>.</w:t>
      </w:r>
      <w:r>
        <w:rPr>
          <w:rFonts w:hint="eastAsia" w:ascii="仿宋_GB2312" w:eastAsia="仿宋_GB2312"/>
          <w:sz w:val="28"/>
          <w:szCs w:val="28"/>
        </w:rPr>
        <w:t>00万元，占收入合计的0</w:t>
      </w:r>
      <w:r>
        <w:rPr>
          <w:rFonts w:ascii="仿宋_GB2312" w:eastAsia="仿宋_GB2312"/>
          <w:sz w:val="28"/>
          <w:szCs w:val="28"/>
        </w:rPr>
        <w:t>.</w:t>
      </w:r>
      <w:r>
        <w:rPr>
          <w:rFonts w:hint="eastAsia" w:ascii="仿宋_GB2312" w:eastAsia="仿宋_GB2312"/>
          <w:sz w:val="28"/>
          <w:szCs w:val="28"/>
        </w:rPr>
        <w:t>00%；附属单位上缴收入0</w:t>
      </w:r>
      <w:r>
        <w:rPr>
          <w:rFonts w:ascii="仿宋_GB2312" w:eastAsia="仿宋_GB2312"/>
          <w:sz w:val="28"/>
          <w:szCs w:val="28"/>
        </w:rPr>
        <w:t>.</w:t>
      </w:r>
      <w:r>
        <w:rPr>
          <w:rFonts w:hint="eastAsia" w:ascii="仿宋_GB2312" w:eastAsia="仿宋_GB2312"/>
          <w:sz w:val="28"/>
          <w:szCs w:val="28"/>
        </w:rPr>
        <w:t>00万元，占收入合计的0</w:t>
      </w:r>
      <w:r>
        <w:rPr>
          <w:rFonts w:ascii="仿宋_GB2312" w:eastAsia="仿宋_GB2312"/>
          <w:sz w:val="28"/>
          <w:szCs w:val="28"/>
        </w:rPr>
        <w:t>.</w:t>
      </w:r>
      <w:r>
        <w:rPr>
          <w:rFonts w:hint="eastAsia" w:ascii="仿宋_GB2312" w:eastAsia="仿宋_GB2312"/>
          <w:sz w:val="28"/>
          <w:szCs w:val="28"/>
        </w:rPr>
        <w:t>00%；其他收入0</w:t>
      </w:r>
      <w:r>
        <w:rPr>
          <w:rFonts w:ascii="仿宋_GB2312" w:eastAsia="仿宋_GB2312"/>
          <w:sz w:val="28"/>
          <w:szCs w:val="28"/>
        </w:rPr>
        <w:t>.</w:t>
      </w:r>
      <w:r>
        <w:rPr>
          <w:rFonts w:hint="eastAsia" w:ascii="仿宋_GB2312" w:eastAsia="仿宋_GB2312"/>
          <w:sz w:val="28"/>
          <w:szCs w:val="28"/>
        </w:rPr>
        <w:t>00万元，占收入合计的0</w:t>
      </w:r>
      <w:r>
        <w:rPr>
          <w:rFonts w:ascii="仿宋_GB2312" w:eastAsia="仿宋_GB2312"/>
          <w:sz w:val="28"/>
          <w:szCs w:val="28"/>
        </w:rPr>
        <w:t>.</w:t>
      </w:r>
      <w:r>
        <w:rPr>
          <w:rFonts w:hint="eastAsia" w:ascii="仿宋_GB2312" w:eastAsia="仿宋_GB2312"/>
          <w:sz w:val="28"/>
          <w:szCs w:val="28"/>
        </w:rPr>
        <w:t>00%。</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2020年度本年支出合计27178.77万元，</w:t>
      </w:r>
      <w:r>
        <w:rPr>
          <w:rFonts w:ascii="仿宋_GB2312" w:eastAsia="仿宋_GB2312"/>
          <w:sz w:val="28"/>
          <w:szCs w:val="28"/>
        </w:rPr>
        <w:t>比上年</w:t>
      </w:r>
      <w:r>
        <w:rPr>
          <w:rFonts w:hint="eastAsia" w:ascii="仿宋_GB2312" w:eastAsia="仿宋_GB2312"/>
          <w:sz w:val="28"/>
          <w:szCs w:val="28"/>
        </w:rPr>
        <w:t>减少7995.51万元，下降</w:t>
      </w:r>
      <w:r>
        <w:rPr>
          <w:rFonts w:ascii="仿宋_GB2312" w:eastAsia="仿宋_GB2312"/>
          <w:sz w:val="28"/>
          <w:szCs w:val="28"/>
        </w:rPr>
        <w:t>XX.XX</w:t>
      </w:r>
      <w:r>
        <w:rPr>
          <w:rFonts w:hint="eastAsia" w:ascii="仿宋_GB2312" w:eastAsia="仿宋_GB2312"/>
          <w:sz w:val="28"/>
          <w:szCs w:val="28"/>
        </w:rPr>
        <w:t>%，其中：基本支出5441.4万元，占支出合计的20.02%；项目支出21737.36万元，占支出合计的79.98%;上缴上级支出0</w:t>
      </w:r>
      <w:r>
        <w:rPr>
          <w:rFonts w:ascii="仿宋_GB2312" w:eastAsia="仿宋_GB2312"/>
          <w:sz w:val="28"/>
          <w:szCs w:val="28"/>
        </w:rPr>
        <w:t>.</w:t>
      </w:r>
      <w:r>
        <w:rPr>
          <w:rFonts w:hint="eastAsia" w:ascii="仿宋_GB2312" w:eastAsia="仿宋_GB2312"/>
          <w:sz w:val="28"/>
          <w:szCs w:val="28"/>
        </w:rPr>
        <w:t>00万元，占支出合计的0</w:t>
      </w:r>
      <w:r>
        <w:rPr>
          <w:rFonts w:ascii="仿宋_GB2312" w:eastAsia="仿宋_GB2312"/>
          <w:sz w:val="28"/>
          <w:szCs w:val="28"/>
        </w:rPr>
        <w:t>.</w:t>
      </w:r>
      <w:r>
        <w:rPr>
          <w:rFonts w:hint="eastAsia" w:ascii="仿宋_GB2312" w:eastAsia="仿宋_GB2312"/>
          <w:sz w:val="28"/>
          <w:szCs w:val="28"/>
        </w:rPr>
        <w:t>00%；经营支出0</w:t>
      </w:r>
      <w:r>
        <w:rPr>
          <w:rFonts w:ascii="仿宋_GB2312" w:eastAsia="仿宋_GB2312"/>
          <w:sz w:val="28"/>
          <w:szCs w:val="28"/>
        </w:rPr>
        <w:t>.</w:t>
      </w:r>
      <w:r>
        <w:rPr>
          <w:rFonts w:hint="eastAsia" w:ascii="仿宋_GB2312" w:eastAsia="仿宋_GB2312"/>
          <w:sz w:val="28"/>
          <w:szCs w:val="28"/>
        </w:rPr>
        <w:t>00万元，占支出合计的0</w:t>
      </w:r>
      <w:r>
        <w:rPr>
          <w:rFonts w:ascii="仿宋_GB2312" w:eastAsia="仿宋_GB2312"/>
          <w:sz w:val="28"/>
          <w:szCs w:val="28"/>
        </w:rPr>
        <w:t>.</w:t>
      </w:r>
      <w:r>
        <w:rPr>
          <w:rFonts w:hint="eastAsia" w:ascii="仿宋_GB2312" w:eastAsia="仿宋_GB2312"/>
          <w:sz w:val="28"/>
          <w:szCs w:val="28"/>
        </w:rPr>
        <w:t>00%；对附属单位补助支出0</w:t>
      </w:r>
      <w:r>
        <w:rPr>
          <w:rFonts w:ascii="仿宋_GB2312" w:eastAsia="仿宋_GB2312"/>
          <w:sz w:val="28"/>
          <w:szCs w:val="28"/>
        </w:rPr>
        <w:t>.</w:t>
      </w:r>
      <w:r>
        <w:rPr>
          <w:rFonts w:hint="eastAsia" w:ascii="仿宋_GB2312" w:eastAsia="仿宋_GB2312"/>
          <w:sz w:val="28"/>
          <w:szCs w:val="28"/>
        </w:rPr>
        <w:t>00万元，占支出合计的0</w:t>
      </w:r>
      <w:r>
        <w:rPr>
          <w:rFonts w:ascii="仿宋_GB2312" w:eastAsia="仿宋_GB2312"/>
          <w:sz w:val="28"/>
          <w:szCs w:val="28"/>
        </w:rPr>
        <w:t>.</w:t>
      </w:r>
      <w:r>
        <w:rPr>
          <w:rFonts w:hint="eastAsia" w:ascii="仿宋_GB2312" w:eastAsia="仿宋_GB2312"/>
          <w:sz w:val="28"/>
          <w:szCs w:val="28"/>
        </w:rPr>
        <w:t>00%。</w:t>
      </w:r>
    </w:p>
    <w:p>
      <w:pPr>
        <w:tabs>
          <w:tab w:val="center" w:pos="6979"/>
        </w:tabs>
        <w:spacing w:line="580" w:lineRule="exact"/>
        <w:ind w:firstLine="548" w:firstLineChars="196"/>
        <w:rPr>
          <w:rFonts w:ascii="黑体" w:eastAsia="黑体"/>
          <w:sz w:val="28"/>
          <w:szCs w:val="28"/>
        </w:rPr>
      </w:pPr>
      <w:r>
        <w:rPr>
          <w:rFonts w:hint="eastAsia" w:ascii="黑体" w:eastAsia="黑体"/>
          <w:sz w:val="28"/>
          <w:szCs w:val="28"/>
        </w:rPr>
        <w:t>三</w:t>
      </w:r>
      <w:r>
        <w:rPr>
          <w:rFonts w:ascii="黑体" w:eastAsia="黑体"/>
          <w:sz w:val="28"/>
          <w:szCs w:val="28"/>
        </w:rPr>
        <w:t>、财政拨款</w:t>
      </w:r>
      <w:r>
        <w:rPr>
          <w:rFonts w:hint="eastAsia" w:ascii="黑体" w:eastAsia="黑体"/>
          <w:sz w:val="28"/>
          <w:szCs w:val="28"/>
        </w:rPr>
        <w:t>收入支出决算</w:t>
      </w:r>
      <w:r>
        <w:rPr>
          <w:rFonts w:ascii="黑体" w:eastAsia="黑体"/>
          <w:sz w:val="28"/>
          <w:szCs w:val="28"/>
        </w:rPr>
        <w:t>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2020年度财政拨款收、</w:t>
      </w:r>
      <w:r>
        <w:rPr>
          <w:rFonts w:ascii="仿宋_GB2312" w:eastAsia="仿宋_GB2312"/>
          <w:sz w:val="28"/>
          <w:szCs w:val="28"/>
        </w:rPr>
        <w:t>支</w:t>
      </w:r>
      <w:r>
        <w:rPr>
          <w:rFonts w:hint="eastAsia" w:ascii="仿宋_GB2312" w:eastAsia="仿宋_GB2312"/>
          <w:sz w:val="28"/>
          <w:szCs w:val="28"/>
        </w:rPr>
        <w:t>总计54704.42万元，比上年减少10357.55万元，下降21.25%。主要原因：疏解整治促改提升专项行动任务量少于往年。</w:t>
      </w:r>
    </w:p>
    <w:p>
      <w:pPr>
        <w:tabs>
          <w:tab w:val="center" w:pos="6979"/>
        </w:tabs>
        <w:spacing w:line="580" w:lineRule="exact"/>
        <w:ind w:firstLine="548" w:firstLineChars="196"/>
        <w:rPr>
          <w:rFonts w:ascii="黑体" w:eastAsia="黑体"/>
          <w:sz w:val="28"/>
          <w:szCs w:val="28"/>
        </w:rPr>
      </w:pPr>
      <w:r>
        <w:rPr>
          <w:rFonts w:hint="eastAsia" w:ascii="黑体" w:eastAsia="黑体"/>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一般公共预算财政拨款支出24817.17万元，主要用于以下方面（按大类）：一般公共服务支出9006.84万元，占本年财政拨款支出33.14%；国防支出15.16万元，占本年财政拨款支出0.06%；公共安全支出1.5万元，占本年财政拨款支出0.01%；文化旅游体育与传媒支出90.91万元，占本年财政拨款支出0.33%；社会保障和就业支出支出2299.01万元，占本年财政拨款支出8.46%；卫生健康支出658.55万元，占本年财政拨款支出2.42%；节能环保支出9.5万元，占本年财政拨款支出0.03%；城乡社区支出7520.31万元，占本年财政拨款支出27.67%；农林水支出4466.49万元，占本年财政拨款支出16.43%；住房保障支出627.99万元，占本年财政拨款支出2.31%；灾害防治及应急管理支出120.9万元，占本年财政拨款支出0.44%；其他支出51.28万元，占本年财政拨款支出0.19%；抗疫特别国债安排的支出2310.32万元，占本年财政拨款支出8.5%。</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1、“一般公共服务支出”（类）2020年度决算9006.84万元，比2020年年初预算增加2658.38万元，增长29.52%。其中：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“人大事务”（款，下同）2020年度决算11.77万元，比2020年年初预算增加11.77万元，增长100.00%，主要原因：追加人大代表活动经费。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“政府办公厅（室）及相关机构事务”2020年度决算8033.29万元，比2020年年初预算增加2174.5万元，增长37.12%；主要原因：新生违法建设管控奖励、拆违控违宣传补助奖励资金增加。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“统计信息事务”2020年度决算28.91万元，比2020年年初预算增加28.91万元，增长100.00%，主要原因：追加第七次全国人口普查经费。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“人力资源事务”2020年度决算5.2万元，比2020年年初预算增加5.2万元，增长100.00%，主要原因：追加高校毕业生“三支一扶”计划中央补助资金。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“群众团体事务”2020年度决算2.8万元，比2020年年初预算增加0万元，无变动。</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“组织事务”2020年度决算888.99万元，比2020年年初预算增加425.95万元，增长91.99%；主要原因：追加城乡基层党组织服务群众经费、正常离任村主要干部生活补贴资金。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“其他共产党事务支出”2020年度决算33.38万元，比2020年年初预算增加12.04万元，增长56.42%；主要原因：支出往年结余经费12.04万元。</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“市场监督管理事务”2020年度决算2.5万元，比2020年年初预算增加0万元，增长100.00%，主要原因：追加无照经营整治经费。</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“国防支出”(类)2020年度决算15.16万元，比2020年年初预算增加15.16万元，增长100.00%。其中：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“国防动员”2020年度决算15.16万元，比2020年年初预算增加15.16万元，增长100.00%，主要原因：追加地下空间综合整治经费。</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“公共安全支出”(类)2020年度决算1.5万元，比2020年年初预算增加0.00万元，无变动。</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“教育支出”(类)2020年度决算4.82万元，比2020年年初预算减少4.82万元，主要原因：进修及培训费未支出。</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“文化旅游体育与传媒支出”(类)2020年度决算90.91万元，比2020年年初预算增加16.55万元，增长22.26%。其中：</w:t>
      </w:r>
    </w:p>
    <w:p>
      <w:pPr>
        <w:spacing w:line="580" w:lineRule="exact"/>
        <w:ind w:firstLine="560" w:firstLineChars="20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文化和旅游</w:t>
      </w:r>
      <w:r>
        <w:rPr>
          <w:rFonts w:ascii="仿宋_GB2312" w:eastAsia="仿宋_GB2312"/>
          <w:sz w:val="28"/>
          <w:szCs w:val="28"/>
        </w:rPr>
        <w:t>”</w:t>
      </w:r>
      <w:r>
        <w:rPr>
          <w:rFonts w:hint="eastAsia" w:ascii="仿宋_GB2312" w:eastAsia="仿宋_GB2312"/>
          <w:sz w:val="28"/>
          <w:szCs w:val="28"/>
        </w:rPr>
        <w:t>2020年度决算58.35万元，比2020年年初预算增加16.55万元，增长35.59%，主要原因：追加基层文化活动经费、三馆免费开放补助。</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“社会保障和就业支出”(类)2020年度决算2299.01万元，比2020年年初预算增加103.67万元，增长4.72%。其中：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“人力资源和社会保障管理事务”2020年度决算102.28万元，比2020年年初预算减少62.79万元，降低38.04%，主要原因：高校毕业生支农工资及五险一金、区管理退休人员自采暖补贴据实发生。</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“民政管理事务”2020年度决算1493.37万元，比2020年年初预算增加88.17万元，增长6.27%，主要原因：用于丰台区扶持社区志愿服务组织项目。</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“行政事业单位养老支出”2020年度决算416.93万元，比2020年年初预算增加70.09万元，增长20.21%，主要原因：用于人员养老保险缴纳。</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“就业补助”2020年度决算169.49万元，比2020年年初预算减少26.01万元，降低13.30%，主要原因：以实际申请人员结算。</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“社会福利”2020年度决算2.31万元，比2020年年初预算减少12.49万元，降低13.30%，主要原因：受疫情影响，居家养老巡视探访服务开展较少。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“残疾人事业”2020年度决算37.83万元，比2020年年初预算增加28.11万元，增长289.20%，主要原因：用于残联工作经费。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“临时救助”2020年度决算2.8万元，比2020年年初预算增加1.8万元，增长180.00%，主要原因：用于预算外困难群众临时救助。</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“其他社会保障和就业支出”2020年度决算74.01万元，比2020年年初预算增加16.82万元，增长29.41.%，主要原因：高校毕业生支农工资及五险一金工资。</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“卫生健康支出”(类)2020年度决算658.55万元，比2020年年初预算增加658.55万元，增长101.99%。其中：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“公共卫生”2020年度决算558.32万元，比2020年年初预算增加344.12万元，增长160.65%，主要原因：用于新冠疫情防控集中隔离点工作经费。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“计划生育事务”2020年度决算25.07万元，比2020年年初预算减少4.8万元，降低16.07%，主要原因：独生子女父母三项奖励费据实发放。</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“医疗救助”2020年度决算1.78万元，比2020年年初预算减少15.22万元，降低89.53%，主要原因：根据规定向符合条件人员发放。</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“优抚对象医疗”2020年度决算1.09万元，比2020年年初预算增加0.39万元，增长55.71%，主要原因：根据规定向符合条件的优抚对象发放。</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“其他卫生健康支出”2020年度决算72.28万元，比2020年年初预算增加8.02万元，增长12.48%，主要原因：用于严重精神障碍患者监护人看护管理补贴。</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“节能环保支出”(类)2020年度决算9.5万元，比2020年年初预算增加9.5万元，增长100.00%。其中：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“污染防治”2020年度决算9.5万元，比2020年年初预算增加9.5万元，增长100.00%，主要原因：用于2019-2020年采暖季“无煤化”补贴。</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“城乡社区支出”(类)2020年度决算7520.31万元，比2020年年初预算增加6424.3万元，增长586.15%，其中：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“城乡社区管理事务”2020年度决算3456.43万元，比2020年年初预算增加2672.07万元，增长340.67%，主要原因：用于拆违控违补助资金、新生违建管控及宣传报道奖励。</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“城乡社区公共设施”2020年度决算2165.75万元，比2020年年初预算增加2165.75万元，增长100.00%，主要原因：用于2020年区属长途客运场站疏解补助资金。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“城乡社区环境卫生”2020年度决算1565.37万元，比2020年年初预算增加1565.37万元，增长100.00%，主要原因：留白增绿2020年土地复垦项目、2020年“战略留白”临时绿化工程及生活垃圾分类。</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“其他城乡社区支出”2020年度决算332.76万元，比2020年年初预算增加21.11万元，增长6.77%，主要原因：用于南苑-大红门地区疏解整治促提升工作现场指挥部工作经费。</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“农林水支出”(类)2020年度决算4466.49万元，比2020年年初预算增加4464.71万元，增长250826.40%。其中：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“农业农村”2020年度决算1104.85万元，比2020年年初预算增加1103.07万元，增长61970.22%，主要原因：用于村庄保洁费、三类公厕管护费、生活垃圾运输费。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林业和草原”2020年度决算3341.79万元，比2020年年初预算增加3341.79万元，增长100.00%，主要原因：用于平原造林土地复垦一次性综合补助费、纳入完善政策平原生态林养护工程、平原造林养护费、郊野公园养护工程。</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“水利”2020年度决算19.85万元，比2020年年初预算增加19.85万元，增长100.00%，主要原因：用于防汛应急资金。</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“住房保障支出”(类)2020年度决算627.99万元，比2020年年初预算减少0.48万元，降低0.08%。其中：</w:t>
      </w:r>
    </w:p>
    <w:p>
      <w:pPr>
        <w:spacing w:line="580" w:lineRule="exact"/>
        <w:ind w:firstLine="280" w:firstLineChars="100"/>
        <w:rPr>
          <w:rFonts w:ascii="仿宋_GB2312" w:eastAsia="仿宋_GB2312"/>
          <w:sz w:val="28"/>
          <w:szCs w:val="28"/>
        </w:rPr>
      </w:pPr>
      <w:r>
        <w:rPr>
          <w:rFonts w:hint="eastAsia" w:ascii="仿宋_GB2312" w:eastAsia="仿宋_GB2312"/>
          <w:sz w:val="28"/>
          <w:szCs w:val="28"/>
        </w:rPr>
        <w:t>“住房改革支出”2020年度决算627.99万元，比2020年年初预算增加0.48万元，降低0.08%。主要原因：根据实际情况发放</w:t>
      </w:r>
    </w:p>
    <w:p>
      <w:pPr>
        <w:numPr>
          <w:ilvl w:val="0"/>
          <w:numId w:val="1"/>
        </w:numPr>
        <w:spacing w:line="580" w:lineRule="exact"/>
        <w:ind w:firstLine="560" w:firstLineChars="200"/>
        <w:rPr>
          <w:rFonts w:ascii="仿宋_GB2312" w:eastAsia="仿宋_GB2312"/>
          <w:sz w:val="28"/>
          <w:szCs w:val="28"/>
        </w:rPr>
      </w:pPr>
      <w:r>
        <w:rPr>
          <w:rFonts w:hint="eastAsia" w:ascii="仿宋_GB2312" w:eastAsia="仿宋_GB2312"/>
          <w:sz w:val="28"/>
          <w:szCs w:val="28"/>
        </w:rPr>
        <w:t>“消防事务”(类)2020年度决算120.9万元，比2020年年初预算增加0.00万元，无变动</w:t>
      </w:r>
    </w:p>
    <w:p>
      <w:pPr>
        <w:spacing w:line="560" w:lineRule="exact"/>
        <w:ind w:firstLine="420" w:firstLineChars="150"/>
        <w:rPr>
          <w:rFonts w:ascii="黑体" w:eastAsia="黑体"/>
          <w:sz w:val="28"/>
          <w:szCs w:val="28"/>
        </w:rPr>
      </w:pPr>
      <w:r>
        <w:rPr>
          <w:rFonts w:hint="eastAsia" w:ascii="黑体" w:eastAsia="黑体"/>
          <w:sz w:val="28"/>
          <w:szCs w:val="28"/>
        </w:rPr>
        <w:t>五、政府性基金预算财政拨款支出决算情况说明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2020年度政府性基金预算财政拨款支出2361.32万元，主要用于以下方面（按大类）：其他支出51.00万元，占本年财政拨款支出2.16%；抗疫特别国债安排的支出2361.32万元，占本年财政拨款支出97.84%。</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pPr>
        <w:autoSpaceDE w:val="0"/>
        <w:autoSpaceDN w:val="0"/>
        <w:adjustRightInd w:val="0"/>
        <w:spacing w:line="580" w:lineRule="exact"/>
        <w:ind w:firstLine="700" w:firstLineChars="250"/>
        <w:jc w:val="left"/>
        <w:rPr>
          <w:rFonts w:ascii="仿宋_GB2312" w:eastAsia="仿宋_GB2312"/>
          <w:sz w:val="28"/>
          <w:szCs w:val="28"/>
        </w:rPr>
      </w:pPr>
      <w:r>
        <w:rPr>
          <w:rFonts w:hint="eastAsia" w:ascii="仿宋_GB2312" w:eastAsia="仿宋_GB2312"/>
          <w:sz w:val="28"/>
          <w:szCs w:val="28"/>
        </w:rPr>
        <w:t>1、“其他支出”（类，下同）2020年度决算51.00万元，比2020年年初预算增加49.72万元，增长3984.38%。其中：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“彩票公益金安排的支出”（款，下同）51.00万元，比2020年年初预算增加49.72万元，增长3984.38%，主要原因：用于体育事业的彩票公益金支出增加。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2、“抗疫特别国债安排的支出”（类）2020年度决算2310.32万元，比2020年年初预算增加2310.32万元，增长100.00%。其中：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“抗疫相关支出”（款）2020年度决算2310.32万元，比2020年年初预算增加2310.32万，增长100.00%。主要原因：用于抗击新冠肺炎疫情的支出。</w:t>
      </w:r>
    </w:p>
    <w:p>
      <w:pPr>
        <w:spacing w:line="560" w:lineRule="exact"/>
        <w:ind w:firstLine="420" w:firstLineChars="15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收支情况说明</w:t>
      </w:r>
    </w:p>
    <w:p>
      <w:pPr>
        <w:ind w:firstLine="537" w:firstLineChars="192"/>
        <w:rPr>
          <w:rFonts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rPr>
        <w:t>。</w:t>
      </w:r>
    </w:p>
    <w:p>
      <w:pPr>
        <w:spacing w:line="580" w:lineRule="exact"/>
        <w:ind w:firstLine="548" w:firstLineChars="196"/>
        <w:rPr>
          <w:rFonts w:ascii="黑体" w:eastAsia="黑体"/>
          <w:sz w:val="28"/>
          <w:szCs w:val="28"/>
        </w:rPr>
      </w:pPr>
      <w:r>
        <w:rPr>
          <w:rFonts w:hint="eastAsia" w:ascii="黑体" w:eastAsia="黑体"/>
          <w:sz w:val="28"/>
          <w:szCs w:val="28"/>
        </w:rPr>
        <w:t>七、财政拨款基本支出决算情况说明</w:t>
      </w:r>
    </w:p>
    <w:p>
      <w:pPr>
        <w:tabs>
          <w:tab w:val="center" w:pos="6979"/>
        </w:tabs>
        <w:spacing w:line="580" w:lineRule="exact"/>
        <w:ind w:firstLine="548" w:firstLineChars="196"/>
        <w:rPr>
          <w:rFonts w:ascii="仿宋_GB2312" w:eastAsia="仿宋_GB2312"/>
          <w:b/>
          <w:sz w:val="32"/>
          <w:szCs w:val="32"/>
        </w:rPr>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r>
        <w:rPr>
          <w:rFonts w:hint="eastAsia" w:ascii="仿宋_GB2312" w:eastAsia="仿宋_GB2312"/>
          <w:sz w:val="28"/>
          <w:szCs w:val="28"/>
        </w:rPr>
        <w:t>2020年使用一般公共预算财政拨款安排基本支出24817.17万元，使用政府性基金财政拨款安排基本支出2361.32万元，使用国有资本经营预算财政</w:t>
      </w:r>
      <w:r>
        <w:rPr>
          <w:rFonts w:ascii="仿宋_GB2312" w:eastAsia="仿宋_GB2312"/>
          <w:sz w:val="28"/>
          <w:szCs w:val="28"/>
        </w:rPr>
        <w:t>拨款</w:t>
      </w:r>
      <w:r>
        <w:rPr>
          <w:rFonts w:hint="eastAsia" w:ascii="仿宋_GB2312" w:eastAsia="仿宋_GB2312"/>
          <w:sz w:val="28"/>
          <w:szCs w:val="28"/>
        </w:rPr>
        <w:t>安排基本支出0万元，其中：(1)工资福利支出包括基本工资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r>
        <w:rPr>
          <w:rFonts w:ascii="仿宋_GB2312" w:eastAsia="仿宋_GB2312"/>
          <w:b/>
          <w:sz w:val="32"/>
          <w:szCs w:val="32"/>
        </w:rPr>
        <w:tab/>
      </w:r>
    </w:p>
    <w:p>
      <w:pPr>
        <w:tabs>
          <w:tab w:val="center" w:pos="6979"/>
        </w:tabs>
        <w:spacing w:line="580" w:lineRule="exact"/>
        <w:ind w:firstLine="627" w:firstLineChars="196"/>
        <w:rPr>
          <w:rFonts w:ascii="仿宋_GB2312" w:eastAsia="仿宋_GB2312"/>
          <w:b/>
          <w:sz w:val="32"/>
          <w:szCs w:val="32"/>
        </w:rPr>
      </w:pP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第三部分2020年度其他重要事项的情况说明</w:t>
      </w:r>
    </w:p>
    <w:p>
      <w:pPr>
        <w:spacing w:line="560" w:lineRule="exact"/>
        <w:ind w:firstLine="420" w:firstLineChars="15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 xml:space="preserve"> “三公”经费包括本单位所属1个行政单位。2020年“三公”经费财政拨款决算数0.00万元，比2020年“三公”经费财政拨款年初预算减少1.94万元。其中：</w:t>
      </w:r>
    </w:p>
    <w:p>
      <w:pPr>
        <w:spacing w:line="560" w:lineRule="exact"/>
        <w:ind w:firstLine="600"/>
        <w:rPr>
          <w:rFonts w:ascii="仿宋_GB2312" w:eastAsia="仿宋_GB2312"/>
          <w:sz w:val="28"/>
          <w:szCs w:val="28"/>
        </w:rPr>
      </w:pPr>
      <w:r>
        <w:rPr>
          <w:rFonts w:hint="eastAsia" w:ascii="仿宋_GB2312" w:eastAsia="仿宋_GB2312"/>
          <w:sz w:val="28"/>
          <w:szCs w:val="28"/>
        </w:rPr>
        <w:t>1.1.因公出国（境）费用。2020年决算数0.00万元，比2020年年初预算数0.00万元增加0.00万元。主要原因：未发生因公出国（境）费用事项；2020年组织因公出国（境）团组0个、0人次，人均因公出国（境）费用0.00万元。</w:t>
      </w:r>
    </w:p>
    <w:p>
      <w:pPr>
        <w:spacing w:line="560" w:lineRule="exact"/>
        <w:ind w:firstLine="600"/>
        <w:rPr>
          <w:rFonts w:ascii="仿宋_GB2312" w:eastAsia="仿宋_GB2312"/>
          <w:sz w:val="28"/>
          <w:szCs w:val="28"/>
        </w:rPr>
      </w:pPr>
      <w:r>
        <w:rPr>
          <w:rFonts w:hint="eastAsia" w:ascii="仿宋_GB2312" w:eastAsia="仿宋_GB2312"/>
          <w:sz w:val="28"/>
          <w:szCs w:val="28"/>
        </w:rPr>
        <w:t>2.2.公务接待费。2020年决算数0.00万元，比2020年年初预算数1.94万元减少1.94万元。主要原因：未发生公务接待费事项。公务接待0批次，公务接待0人次。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2020年决算数0.00万元，比2020年年初预算数0.00万元增加0.00万元。其中，公务用车购置费2020年决算数0.00万元，比2020年年初预算数0.00万元增加0.00万元。主要原因：未发生公务用车购置及运行维护，2020年购置（更新）0辆，车均购置费0.00万元。公务用车运行维护费2020年决算数0.00万元，比2020年年初预算数0.00万元增加0.00万元，主要原因：未购置（更新）车辆。2020年公务用车运行维护费中，公务用车加油0.00万元，公务用车维修0.00万元，公务用车保险0.00万元，公务用车其他支出0.00万元。2020年公务用车保有量0辆，车均运行维护费0.00万元。</w:t>
      </w:r>
    </w:p>
    <w:p>
      <w:pPr>
        <w:spacing w:line="560" w:lineRule="exact"/>
        <w:ind w:firstLine="560" w:firstLineChars="200"/>
        <w:rPr>
          <w:rFonts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2020年使用一般公共预算财政拨款安排的基本支出中的日常公用经费支出，合计403.72万元，比上年366.05万元增加36.67万元，增加原因：公务员和社工编制数及实有人数增加。</w:t>
      </w:r>
    </w:p>
    <w:p>
      <w:pPr>
        <w:ind w:left="540"/>
        <w:rPr>
          <w:rFonts w:ascii="黑体" w:eastAsia="黑体"/>
          <w:sz w:val="28"/>
          <w:szCs w:val="28"/>
        </w:rPr>
      </w:pPr>
      <w:r>
        <w:rPr>
          <w:rFonts w:hint="eastAsia" w:ascii="黑体" w:eastAsia="黑体"/>
          <w:sz w:val="28"/>
          <w:szCs w:val="28"/>
        </w:rPr>
        <w:t>三、政府采购支出情况</w:t>
      </w:r>
    </w:p>
    <w:p>
      <w:pPr>
        <w:ind w:firstLine="560" w:firstLineChars="200"/>
        <w:rPr>
          <w:rFonts w:ascii="仿宋_GB2312" w:eastAsia="仿宋_GB2312"/>
          <w:sz w:val="28"/>
          <w:szCs w:val="28"/>
        </w:rPr>
      </w:pPr>
      <w:r>
        <w:rPr>
          <w:rFonts w:hint="eastAsia" w:ascii="仿宋_GB2312" w:eastAsia="仿宋_GB2312"/>
          <w:sz w:val="28"/>
          <w:szCs w:val="28"/>
        </w:rPr>
        <w:t>2020年政府采购支出总额3821.85万元，其中：政府采购货物支出41.74万元，政府采购工程支出3329.51万元，政府采购服务支出450.60万元。授予中小企业合同金额3717.11万元，占政府采购支出总额的97.26%，其中：授予小微企业合同金额16.81万元，占政府采购支出总额的0.44%。</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37" w:firstLineChars="192"/>
        <w:rPr>
          <w:rFonts w:ascii="仿宋_GB2312" w:eastAsia="仿宋_GB2312"/>
          <w:sz w:val="28"/>
          <w:szCs w:val="28"/>
        </w:rPr>
      </w:pPr>
      <w:r>
        <w:rPr>
          <w:rFonts w:hint="eastAsia" w:ascii="仿宋_GB2312" w:eastAsia="仿宋_GB2312"/>
          <w:sz w:val="28"/>
          <w:szCs w:val="28"/>
        </w:rPr>
        <w:t>2020年车辆4台，26.66万元；单位价值50万元以上的通用设备0台（套），单位价值100万元以上的专用设备0台（套）。</w:t>
      </w:r>
    </w:p>
    <w:p>
      <w:pPr>
        <w:ind w:firstLine="537" w:firstLineChars="192"/>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ascii="仿宋_GB2312" w:eastAsia="仿宋_GB2312"/>
          <w:sz w:val="28"/>
          <w:szCs w:val="28"/>
        </w:rPr>
      </w:pPr>
      <w:r>
        <w:rPr>
          <w:rFonts w:hint="eastAsia" w:ascii="仿宋_GB2312" w:eastAsia="仿宋_GB2312"/>
          <w:sz w:val="28"/>
          <w:szCs w:val="28"/>
        </w:rPr>
        <w:t>2020年政府购买服务决算1681.79万元。</w:t>
      </w:r>
    </w:p>
    <w:p>
      <w:pPr>
        <w:ind w:firstLine="560" w:firstLineChars="200"/>
        <w:rPr>
          <w:rFonts w:ascii="仿宋_GB2312" w:eastAsia="仿宋_GB2312"/>
          <w:sz w:val="28"/>
          <w:szCs w:val="28"/>
        </w:rPr>
      </w:pPr>
      <w:r>
        <w:rPr>
          <w:rFonts w:hint="eastAsia" w:ascii="黑体" w:eastAsia="黑体"/>
          <w:sz w:val="28"/>
          <w:szCs w:val="28"/>
        </w:rPr>
        <w:t>六、</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420" w:firstLineChars="15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tabs>
          <w:tab w:val="center" w:pos="6979"/>
        </w:tabs>
        <w:spacing w:before="156" w:beforeLines="50" w:after="156" w:afterLines="50"/>
        <w:jc w:val="left"/>
        <w:rPr>
          <w:rFonts w:ascii="仿宋_GB2312" w:eastAsia="仿宋_GB2312"/>
          <w:sz w:val="28"/>
          <w:szCs w:val="28"/>
        </w:rPr>
      </w:pPr>
      <w:r>
        <w:rPr>
          <w:rFonts w:hint="eastAsia" w:ascii="仿宋_GB2312" w:eastAsia="仿宋_GB2312"/>
          <w:sz w:val="28"/>
          <w:szCs w:val="28"/>
        </w:rPr>
        <w:t xml:space="preserve">   5.国有资产，是指属于国家所有的一切财产和财产权利的总和，是国家所有权的客体。具体而言，国有资产包括国家依法或依权力取得和认定的财产，国家资本金及其收益所形成的财产，国家向行政和事业单位拨入经费形成的财产以及接受捐赠、国际援助等所形成的财产。</w:t>
      </w:r>
    </w:p>
    <w:p>
      <w:pPr>
        <w:tabs>
          <w:tab w:val="center" w:pos="6979"/>
        </w:tabs>
        <w:spacing w:before="156" w:beforeLines="50" w:after="156" w:afterLines="50"/>
        <w:jc w:val="left"/>
        <w:rPr>
          <w:rFonts w:ascii="仿宋_GB2312" w:eastAsia="仿宋_GB2312"/>
          <w:sz w:val="28"/>
          <w:szCs w:val="28"/>
        </w:rPr>
        <w:sectPr>
          <w:pgSz w:w="16838" w:h="11906" w:orient="landscape"/>
          <w:pgMar w:top="1134" w:right="1134" w:bottom="1134" w:left="1134" w:header="851" w:footer="992" w:gutter="0"/>
          <w:cols w:space="720" w:num="1"/>
          <w:docGrid w:type="linesAndChars" w:linePitch="312" w:charSpace="0"/>
        </w:sectPr>
      </w:pPr>
    </w:p>
    <w:p>
      <w:pPr>
        <w:tabs>
          <w:tab w:val="center" w:pos="6979"/>
        </w:tabs>
        <w:spacing w:before="156" w:beforeLines="50" w:after="156" w:afterLines="50"/>
        <w:jc w:val="left"/>
        <w:rPr>
          <w:rFonts w:ascii="仿宋_GB2312" w:eastAsia="仿宋_GB2312"/>
          <w:sz w:val="28"/>
          <w:szCs w:val="28"/>
        </w:rPr>
      </w:pP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第四部分  2020年度部门绩效评价情况</w:t>
      </w: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537" w:firstLineChars="192"/>
        <w:rPr>
          <w:rFonts w:ascii="仿宋_GB2312" w:eastAsia="仿宋_GB2312"/>
          <w:sz w:val="28"/>
          <w:szCs w:val="28"/>
        </w:rPr>
      </w:pPr>
      <w:r>
        <w:rPr>
          <w:rFonts w:hint="eastAsia" w:ascii="仿宋_GB2312" w:eastAsia="仿宋_GB2312"/>
          <w:sz w:val="28"/>
          <w:szCs w:val="28"/>
        </w:rPr>
        <w:t>北京市丰台区南苑乡人民政府对</w:t>
      </w:r>
      <w:r>
        <w:rPr>
          <w:rFonts w:ascii="仿宋_GB2312" w:eastAsia="仿宋_GB2312"/>
          <w:sz w:val="28"/>
          <w:szCs w:val="28"/>
        </w:rPr>
        <w:t>2020年</w:t>
      </w:r>
      <w:r>
        <w:rPr>
          <w:rFonts w:hint="eastAsia" w:ascii="仿宋_GB2312" w:eastAsia="仿宋_GB2312"/>
          <w:sz w:val="28"/>
          <w:szCs w:val="28"/>
        </w:rPr>
        <w:t>度部门项目支出实施绩效评价，评价项目98个，占应评价部门项目总数的100.00%，涉及金额28599.83万元。评价结果为较好。</w:t>
      </w:r>
    </w:p>
    <w:p>
      <w:pPr>
        <w:ind w:firstLine="560" w:firstLineChars="200"/>
        <w:rPr>
          <w:rFonts w:ascii="黑体" w:eastAsia="黑体"/>
          <w:sz w:val="28"/>
          <w:szCs w:val="28"/>
        </w:rPr>
      </w:pPr>
      <w:r>
        <w:rPr>
          <w:rFonts w:hint="eastAsia" w:ascii="黑体" w:eastAsia="黑体"/>
          <w:sz w:val="28"/>
          <w:szCs w:val="28"/>
        </w:rPr>
        <w:t>二、项目绩效评价报告</w:t>
      </w:r>
    </w:p>
    <w:p>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（一）基本情况；</w:t>
      </w:r>
    </w:p>
    <w:p>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2020年，北京市丰台区南苑乡人民政府对2019年度部门项目(200万以下的房租类、人员聘用类及中央、市级专项转移支付除外)支出实施了绩效评价，因新冠疫情影响，绩效评价分两批次进行，经合并相同项目共计98个项目，占部门项目总数的100%。</w:t>
      </w:r>
    </w:p>
    <w:p>
      <w:pPr>
        <w:numPr>
          <w:ilvl w:val="0"/>
          <w:numId w:val="2"/>
        </w:num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绩效评价工作开展情况；</w:t>
      </w:r>
    </w:p>
    <w:p>
      <w:pPr>
        <w:pStyle w:val="2"/>
        <w:ind w:firstLine="420"/>
        <w:rPr>
          <w:rFonts w:ascii="仿宋_GB2312" w:hAnsi="黑体" w:eastAsia="仿宋_GB2312"/>
          <w:sz w:val="28"/>
          <w:szCs w:val="28"/>
        </w:rPr>
      </w:pPr>
      <w:r>
        <w:rPr>
          <w:rFonts w:hint="eastAsia" w:ascii="仿宋_GB2312" w:hAnsi="黑体" w:eastAsia="仿宋_GB2312"/>
          <w:sz w:val="28"/>
          <w:szCs w:val="28"/>
        </w:rPr>
        <w:t>为确保2020年部门财政预算绩效自评工作（以下简称“部门自评”）的顺利开展，我乡成立了绩效自评领导小组，组长由常务副乡长王健担任，副组长由四级调研员徐君担任，成员由各科室负责人组成。领导小组全面负责部门自评工作，包括审定部门自评工作方案、确定评价对象、审定绩效评价报告等。领导小组下设办公室，办公室设在财政科，负责自评工作的具体组织实施，职责包括制定工作方案、业务培训、资料收集及初审、指导评价对象开展评价工作，形成绩效评价报告等。</w:t>
      </w:r>
    </w:p>
    <w:p>
      <w:pPr>
        <w:pStyle w:val="2"/>
        <w:ind w:firstLine="420"/>
        <w:rPr>
          <w:rFonts w:ascii="仿宋_GB2312" w:hAnsi="黑体" w:eastAsia="仿宋_GB2312"/>
          <w:sz w:val="28"/>
          <w:szCs w:val="28"/>
        </w:rPr>
      </w:pPr>
      <w:r>
        <w:rPr>
          <w:rFonts w:hint="eastAsia" w:ascii="仿宋_GB2312" w:hAnsi="黑体" w:eastAsia="仿宋_GB2312"/>
          <w:sz w:val="28"/>
          <w:szCs w:val="28"/>
        </w:rPr>
        <w:t>按照《丰台区财政支出绩效评价管理暂行办法 》（丰财绩效〔2012〕729 号) 和《丰台区财政局关于开展2020年绩效自评工作的通知》等文件规定，乡绩效领导小组周密筹划，认真部署，确定自评工作方案，从项目重要性、民生相关度、项目资金量三个维度综合考量，选定了2019年项目绩效考核名单，并形成了自评汇总表。</w:t>
      </w:r>
    </w:p>
    <w:p>
      <w:pPr>
        <w:pStyle w:val="2"/>
        <w:ind w:firstLine="420"/>
        <w:rPr>
          <w:rFonts w:ascii="仿宋_GB2312" w:hAnsi="黑体" w:eastAsia="仿宋_GB2312"/>
          <w:sz w:val="28"/>
          <w:szCs w:val="28"/>
        </w:rPr>
      </w:pPr>
      <w:r>
        <w:rPr>
          <w:rFonts w:hint="eastAsia" w:ascii="仿宋_GB2312" w:hAnsi="黑体" w:eastAsia="仿宋_GB2312"/>
          <w:sz w:val="28"/>
          <w:szCs w:val="28"/>
        </w:rPr>
        <w:t>根据工作安排，绩效领导小组于6月初召集相关科室召开部门自评部署培训会。会上首先传达了市、区财政局开展绩效自评工作的文件精神，要求各科室认真领会绩效评价工作的重要意义；其次对简要评价程序和一般评价程序进行了讲解，重点介绍了《自评表》的填写要求；最后要求各科室明确工作任务，积极配合财政科上报各类材料。会后开展简要评价程序的各科室均积极行动，认真填报《项目支出绩效自评表》，经审核后由财政科汇总上报，相关文件见后文。</w:t>
      </w:r>
    </w:p>
    <w:p>
      <w:pPr>
        <w:numPr>
          <w:ilvl w:val="0"/>
          <w:numId w:val="2"/>
        </w:num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综合评价情况及评价结论（附相关评分表）；</w:t>
      </w:r>
    </w:p>
    <w:p>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第一批次5-7月进行，共评价项目36个，占部门项目总数的36.7%，涉及金额26,159.82万元。其中，普通程序评价项目1个，涉及金额1090万元，评价得分81.2分，评价；简易程序评价项目35个，涉及金额25069.82万元，评价得分在90分（含90分）以上的31个、评价得分在75-90分（含75分）的2个。第二批次8-10月进行，共评价项目62个，占部门项目总数的73.3%.本批次均为简易程序评价，涉及金额3,530.01万元，评价得分在90分（含90分）以上的35个、评价得分在75-90分（含75分）的27个。评分表如下所示：</w:t>
      </w:r>
    </w:p>
    <w:p>
      <w:pPr>
        <w:pStyle w:val="2"/>
        <w:ind w:left="-619" w:leftChars="-295" w:firstLine="1680" w:firstLineChars="600"/>
        <w:rPr>
          <w:rFonts w:ascii="仿宋_GB2312" w:hAnsi="黑体" w:eastAsia="仿宋_GB2312"/>
          <w:sz w:val="28"/>
          <w:szCs w:val="28"/>
        </w:rPr>
      </w:pPr>
      <w:r>
        <w:rPr>
          <w:rFonts w:hint="eastAsia" w:ascii="仿宋_GB2312" w:hAnsi="黑体" w:eastAsia="仿宋_GB2312"/>
          <w:sz w:val="28"/>
          <w:szCs w:val="28"/>
        </w:rPr>
        <w:t>南苑乡2020年绩效自评简易程序汇总表（第一批次）</w:t>
      </w:r>
    </w:p>
    <w:tbl>
      <w:tblPr>
        <w:tblStyle w:val="14"/>
        <w:tblW w:w="9667" w:type="dxa"/>
        <w:jc w:val="center"/>
        <w:tblLayout w:type="fixed"/>
        <w:tblCellMar>
          <w:top w:w="0" w:type="dxa"/>
          <w:left w:w="0" w:type="dxa"/>
          <w:bottom w:w="0" w:type="dxa"/>
          <w:right w:w="0" w:type="dxa"/>
        </w:tblCellMar>
      </w:tblPr>
      <w:tblGrid>
        <w:gridCol w:w="700"/>
        <w:gridCol w:w="4375"/>
        <w:gridCol w:w="1734"/>
        <w:gridCol w:w="1675"/>
        <w:gridCol w:w="1183"/>
      </w:tblGrid>
      <w:tr>
        <w:tblPrEx>
          <w:tblCellMar>
            <w:top w:w="0" w:type="dxa"/>
            <w:left w:w="0" w:type="dxa"/>
            <w:bottom w:w="0" w:type="dxa"/>
            <w:right w:w="0" w:type="dxa"/>
          </w:tblCellMar>
        </w:tblPrEx>
        <w:trPr>
          <w:trHeight w:val="672"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color w:val="000000"/>
                <w:sz w:val="22"/>
                <w:szCs w:val="22"/>
              </w:rPr>
            </w:pPr>
            <w:r>
              <w:rPr>
                <w:rFonts w:hint="eastAsia" w:ascii="微软雅黑" w:hAnsi="微软雅黑" w:eastAsia="微软雅黑" w:cs="微软雅黑"/>
                <w:b/>
                <w:color w:val="000000"/>
                <w:kern w:val="0"/>
                <w:sz w:val="22"/>
                <w:szCs w:val="22"/>
                <w:lang w:bidi="ar"/>
              </w:rPr>
              <w:t>项目名称</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color w:val="000000"/>
                <w:sz w:val="22"/>
                <w:szCs w:val="22"/>
              </w:rPr>
            </w:pPr>
            <w:r>
              <w:rPr>
                <w:rFonts w:hint="eastAsia" w:ascii="微软雅黑" w:hAnsi="微软雅黑" w:eastAsia="微软雅黑" w:cs="微软雅黑"/>
                <w:b/>
                <w:color w:val="000000"/>
                <w:kern w:val="0"/>
                <w:sz w:val="22"/>
                <w:szCs w:val="22"/>
                <w:lang w:bidi="ar"/>
              </w:rPr>
              <w:t>项目代码</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sz w:val="22"/>
                <w:szCs w:val="22"/>
              </w:rPr>
            </w:pPr>
            <w:r>
              <w:rPr>
                <w:rFonts w:hint="eastAsia" w:ascii="微软雅黑" w:hAnsi="微软雅黑" w:eastAsia="微软雅黑" w:cs="微软雅黑"/>
                <w:b/>
                <w:kern w:val="0"/>
                <w:sz w:val="22"/>
                <w:szCs w:val="22"/>
                <w:lang w:bidi="ar"/>
              </w:rPr>
              <w:t>指标金额（元）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color w:val="9C0006"/>
                <w:sz w:val="22"/>
                <w:szCs w:val="22"/>
              </w:rPr>
            </w:pPr>
            <w:r>
              <w:rPr>
                <w:rFonts w:hint="eastAsia" w:ascii="微软雅黑" w:hAnsi="微软雅黑" w:eastAsia="微软雅黑" w:cs="微软雅黑"/>
                <w:b/>
                <w:color w:val="9C0006"/>
                <w:kern w:val="0"/>
                <w:sz w:val="22"/>
                <w:szCs w:val="22"/>
                <w:lang w:bidi="ar"/>
              </w:rPr>
              <w:t>自评得分</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乡政府办公楼资产使用费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19177000304</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7000000.00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95.88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基础支出</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19177000002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15000000.00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食药所、城管分队办公场所租金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19177000452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3000000.00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94.88 </w:t>
            </w:r>
          </w:p>
        </w:tc>
      </w:tr>
      <w:tr>
        <w:tblPrEx>
          <w:tblCellMar>
            <w:top w:w="0" w:type="dxa"/>
            <w:left w:w="0" w:type="dxa"/>
            <w:bottom w:w="0" w:type="dxa"/>
            <w:right w:w="0" w:type="dxa"/>
          </w:tblCellMar>
        </w:tblPrEx>
        <w:trPr>
          <w:trHeight w:val="375" w:hRule="atLeast"/>
          <w:jc w:val="center"/>
        </w:trPr>
        <w:tc>
          <w:tcPr>
            <w:tcW w:w="7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43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事业发展</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19177000191</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1980000.00 </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20"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19177000191</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8939745.00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szCs w:val="22"/>
              </w:rPr>
            </w:pP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19177000684</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219337.01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2015、2016年大红门地区农村集体产业疏解转型第三年租金补贴</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19177000733</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27156600.00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6</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2016年10月至2017年10月期间完成疏解转型的大红门地区农村集体产业奖励资金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19177000743</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48860200.00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97.00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区域性市场及仓储物流设施疏解专项资金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19177000659</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11209340.00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95.00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城乡基层党组织服务群众经费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19177000608</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2600000.00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97.02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2019年木樨园长途客运站疏解补助资金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19177000653</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21657500.00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97.00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南苑-大红门地区疏解整治促提升工作现场指挥部工作经费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19177000742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2717290.00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93.58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11</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拆违控违补助资金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19177000601</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37500000.00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91.18 </w:t>
            </w:r>
          </w:p>
        </w:tc>
      </w:tr>
      <w:tr>
        <w:tblPrEx>
          <w:tblCellMar>
            <w:top w:w="0" w:type="dxa"/>
            <w:left w:w="0" w:type="dxa"/>
            <w:bottom w:w="0" w:type="dxa"/>
            <w:right w:w="0" w:type="dxa"/>
          </w:tblCellMar>
        </w:tblPrEx>
        <w:trPr>
          <w:trHeight w:val="280" w:hRule="atLeast"/>
          <w:jc w:val="center"/>
        </w:trPr>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c>
          <w:tcPr>
            <w:tcW w:w="43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留白增绿2019年土地复垦一次性综合补助</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11212000.00 </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95.48 </w:t>
            </w: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19177000686</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10912000.00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szCs w:val="22"/>
              </w:rPr>
            </w:pP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999000.00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20" w:hRule="atLeast"/>
          <w:jc w:val="center"/>
        </w:trPr>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w:t>
            </w:r>
          </w:p>
        </w:tc>
        <w:tc>
          <w:tcPr>
            <w:tcW w:w="43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平原地区生态林、平原造林土地流转费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19177000699</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5947890.00 </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99.10 </w:t>
            </w: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cs="宋体"/>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19177000655</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2454351.88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ascii="宋体" w:hAnsi="宋体" w:cs="宋体"/>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19177000704</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2663453.12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14</w:t>
            </w:r>
          </w:p>
        </w:tc>
        <w:tc>
          <w:tcPr>
            <w:tcW w:w="43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平原造林、平原地区生态林养护费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19177000656</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4211023.00 </w:t>
            </w:r>
          </w:p>
        </w:tc>
        <w:tc>
          <w:tcPr>
            <w:tcW w:w="11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99.10 </w:t>
            </w:r>
          </w:p>
        </w:tc>
      </w:tr>
      <w:tr>
        <w:tblPrEx>
          <w:tblCellMar>
            <w:top w:w="0" w:type="dxa"/>
            <w:left w:w="0" w:type="dxa"/>
            <w:bottom w:w="0" w:type="dxa"/>
            <w:right w:w="0" w:type="dxa"/>
          </w:tblCellMar>
        </w:tblPrEx>
        <w:trPr>
          <w:trHeight w:val="320"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19177000705</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4211023.00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19177000658</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5003741.00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22"/>
                <w:szCs w:val="2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19177000698</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5003741.00 </w:t>
            </w:r>
          </w:p>
        </w:tc>
        <w:tc>
          <w:tcPr>
            <w:tcW w:w="11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4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2019年背街小巷村庄道路保洁费</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19177000662</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4187652.00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95.99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16</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南苑湿地公园先行启动区建设土地复垦一次性综合补助</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19177000671</w:t>
            </w:r>
          </w:p>
        </w:tc>
        <w:tc>
          <w:tcPr>
            <w:tcW w:w="1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1460000.00 </w:t>
            </w:r>
          </w:p>
        </w:tc>
        <w:tc>
          <w:tcPr>
            <w:tcW w:w="11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95.54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17</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2019年村级公益事业专项补助</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19177000672</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1200000.00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97.00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18</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果园村集体土地占地补偿金</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19177000729</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621000.00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99.80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19</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2019年第四次全国经济普查经费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19177000688</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349470.00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98.00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2019年人口抽样调查经费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19177000728</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64618.00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98.00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餐饮业高效油烟净化设施升级改造经费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19177000633</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137500.00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22</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2018年拆迁滞留户“无煤化”补贴资金</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19177000650</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85000.00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23</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基层党组织工作和活动经费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19177000604</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603450.00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94.04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24</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软弱涣散村和后进社区整顿工作专项经费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19177000732</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500000.00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96.50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商务楼宇党组织活动和办公经费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19177000594</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120000.00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26</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群租房整治经费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19177000597</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95000.00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27</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群防群治专项经费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19177000675</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96.00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28</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服装全产业链整治经费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19177000727</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250000.00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97.52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29</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区人大代表活动经费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19177000682</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18056.00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86.20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30</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挂职干部经费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19177000706</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120000.00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99.94 </w:t>
            </w:r>
          </w:p>
        </w:tc>
      </w:tr>
      <w:tr>
        <w:tblPrEx>
          <w:tblCellMar>
            <w:top w:w="0" w:type="dxa"/>
            <w:left w:w="0" w:type="dxa"/>
            <w:bottom w:w="0" w:type="dxa"/>
            <w:right w:w="0" w:type="dxa"/>
          </w:tblCellMar>
        </w:tblPrEx>
        <w:trPr>
          <w:trHeight w:val="32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31</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妇女之家工作经费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19177000600</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24008.00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98.00 </w:t>
            </w:r>
          </w:p>
        </w:tc>
      </w:tr>
      <w:tr>
        <w:tblPrEx>
          <w:tblCellMar>
            <w:top w:w="0" w:type="dxa"/>
            <w:left w:w="0" w:type="dxa"/>
            <w:bottom w:w="0" w:type="dxa"/>
            <w:right w:w="0" w:type="dxa"/>
          </w:tblCellMar>
        </w:tblPrEx>
        <w:trPr>
          <w:trHeight w:val="375" w:hRule="atLeast"/>
          <w:jc w:val="center"/>
        </w:trPr>
        <w:tc>
          <w:tcPr>
            <w:tcW w:w="7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32</w:t>
            </w:r>
          </w:p>
        </w:tc>
        <w:tc>
          <w:tcPr>
            <w:tcW w:w="43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残疾儿童少年康复训练补助</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19177000637</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105000.00 </w:t>
            </w:r>
          </w:p>
        </w:tc>
        <w:tc>
          <w:tcPr>
            <w:tcW w:w="118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94.00 </w:t>
            </w:r>
          </w:p>
        </w:tc>
      </w:tr>
      <w:tr>
        <w:tblPrEx>
          <w:tblCellMar>
            <w:top w:w="0" w:type="dxa"/>
            <w:left w:w="0" w:type="dxa"/>
            <w:bottom w:w="0" w:type="dxa"/>
            <w:right w:w="0" w:type="dxa"/>
          </w:tblCellMar>
        </w:tblPrEx>
        <w:trPr>
          <w:trHeight w:val="320" w:hRule="atLeast"/>
          <w:jc w:val="center"/>
        </w:trPr>
        <w:tc>
          <w:tcPr>
            <w:tcW w:w="7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2"/>
                <w:szCs w:val="22"/>
              </w:rPr>
            </w:pPr>
          </w:p>
        </w:tc>
        <w:tc>
          <w:tcPr>
            <w:tcW w:w="43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2"/>
                <w:szCs w:val="22"/>
              </w:rPr>
            </w:pP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19177000707</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4600.00 </w:t>
            </w:r>
          </w:p>
        </w:tc>
        <w:tc>
          <w:tcPr>
            <w:tcW w:w="11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33</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街乡镇残联工作经费</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19177000612</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54659.00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82.17 </w:t>
            </w:r>
          </w:p>
        </w:tc>
      </w:tr>
      <w:tr>
        <w:tblPrEx>
          <w:tblCellMar>
            <w:top w:w="0" w:type="dxa"/>
            <w:left w:w="0" w:type="dxa"/>
            <w:bottom w:w="0" w:type="dxa"/>
            <w:right w:w="0" w:type="dxa"/>
          </w:tblCellMar>
        </w:tblPrEx>
        <w:trPr>
          <w:trHeight w:val="380" w:hRule="atLeast"/>
          <w:jc w:val="center"/>
        </w:trPr>
        <w:tc>
          <w:tcPr>
            <w:tcW w:w="7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34</w:t>
            </w:r>
          </w:p>
        </w:tc>
        <w:tc>
          <w:tcPr>
            <w:tcW w:w="43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就业补助专项资金-灵活就业社会保险补贴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19177000628</w:t>
            </w:r>
          </w:p>
        </w:tc>
        <w:tc>
          <w:tcPr>
            <w:tcW w:w="16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110000.00 </w:t>
            </w:r>
          </w:p>
        </w:tc>
        <w:tc>
          <w:tcPr>
            <w:tcW w:w="11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96.68 </w:t>
            </w:r>
          </w:p>
        </w:tc>
      </w:tr>
      <w:tr>
        <w:tblPrEx>
          <w:tblCellMar>
            <w:top w:w="0" w:type="dxa"/>
            <w:left w:w="0" w:type="dxa"/>
            <w:bottom w:w="0" w:type="dxa"/>
            <w:right w:w="0" w:type="dxa"/>
          </w:tblCellMar>
        </w:tblPrEx>
        <w:trPr>
          <w:trHeight w:val="375" w:hRule="atLeast"/>
          <w:jc w:val="center"/>
        </w:trPr>
        <w:tc>
          <w:tcPr>
            <w:tcW w:w="70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35</w:t>
            </w:r>
          </w:p>
        </w:tc>
        <w:tc>
          <w:tcPr>
            <w:tcW w:w="437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社区青年汇经费</w:t>
            </w:r>
          </w:p>
        </w:tc>
        <w:tc>
          <w:tcPr>
            <w:tcW w:w="173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19177000596</w:t>
            </w:r>
          </w:p>
        </w:tc>
        <w:tc>
          <w:tcPr>
            <w:tcW w:w="167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30000.00 </w:t>
            </w:r>
          </w:p>
        </w:tc>
        <w:tc>
          <w:tcPr>
            <w:tcW w:w="118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98.90 </w:t>
            </w:r>
          </w:p>
        </w:tc>
      </w:tr>
      <w:tr>
        <w:tblPrEx>
          <w:tblCellMar>
            <w:top w:w="0" w:type="dxa"/>
            <w:left w:w="0" w:type="dxa"/>
            <w:bottom w:w="0" w:type="dxa"/>
            <w:right w:w="0" w:type="dxa"/>
          </w:tblCellMar>
        </w:tblPrEx>
        <w:trPr>
          <w:trHeight w:val="375" w:hRule="atLeast"/>
          <w:jc w:val="center"/>
        </w:trPr>
        <w:tc>
          <w:tcPr>
            <w:tcW w:w="70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22"/>
                <w:szCs w:val="22"/>
              </w:rPr>
            </w:pPr>
          </w:p>
        </w:tc>
        <w:tc>
          <w:tcPr>
            <w:tcW w:w="4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 w:val="22"/>
                <w:szCs w:val="22"/>
              </w:rPr>
            </w:pPr>
            <w:r>
              <w:rPr>
                <w:rFonts w:hint="eastAsia" w:ascii="宋体" w:hAnsi="宋体" w:cs="宋体"/>
                <w:color w:val="000000"/>
                <w:sz w:val="22"/>
                <w:szCs w:val="22"/>
              </w:rPr>
              <w:t>合计</w:t>
            </w:r>
          </w:p>
        </w:tc>
        <w:tc>
          <w:tcPr>
            <w:tcW w:w="17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p>
        </w:tc>
        <w:tc>
          <w:tcPr>
            <w:tcW w:w="1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 w:val="22"/>
                <w:szCs w:val="22"/>
              </w:rPr>
            </w:pPr>
            <w:r>
              <w:rPr>
                <w:rFonts w:hint="eastAsia" w:ascii="宋体" w:hAnsi="宋体" w:cs="宋体"/>
                <w:color w:val="000000"/>
                <w:sz w:val="22"/>
                <w:szCs w:val="22"/>
              </w:rPr>
              <w:t>95.75</w:t>
            </w:r>
          </w:p>
        </w:tc>
      </w:tr>
    </w:tbl>
    <w:p>
      <w:pPr>
        <w:pStyle w:val="2"/>
        <w:jc w:val="center"/>
        <w:rPr>
          <w:rFonts w:ascii="仿宋" w:hAnsi="仿宋" w:eastAsia="仿宋" w:cs="仿宋"/>
          <w:kern w:val="44"/>
          <w:sz w:val="32"/>
          <w:szCs w:val="32"/>
        </w:rPr>
      </w:pPr>
      <w:r>
        <w:rPr>
          <w:rFonts w:hint="eastAsia" w:ascii="仿宋" w:hAnsi="仿宋" w:eastAsia="仿宋" w:cs="仿宋"/>
          <w:kern w:val="44"/>
          <w:sz w:val="32"/>
          <w:szCs w:val="32"/>
        </w:rPr>
        <w:t>南苑乡2020年绩效自评简易程序汇总表（第二批次）</w:t>
      </w:r>
    </w:p>
    <w:tbl>
      <w:tblPr>
        <w:tblStyle w:val="14"/>
        <w:tblW w:w="9692" w:type="dxa"/>
        <w:tblInd w:w="0" w:type="dxa"/>
        <w:tblLayout w:type="fixed"/>
        <w:tblCellMar>
          <w:top w:w="0" w:type="dxa"/>
          <w:left w:w="0" w:type="dxa"/>
          <w:bottom w:w="0" w:type="dxa"/>
          <w:right w:w="0" w:type="dxa"/>
        </w:tblCellMar>
      </w:tblPr>
      <w:tblGrid>
        <w:gridCol w:w="600"/>
        <w:gridCol w:w="4425"/>
        <w:gridCol w:w="1817"/>
        <w:gridCol w:w="1600"/>
        <w:gridCol w:w="1250"/>
      </w:tblGrid>
      <w:tr>
        <w:tblPrEx>
          <w:tblCellMar>
            <w:top w:w="0" w:type="dxa"/>
            <w:left w:w="0" w:type="dxa"/>
            <w:bottom w:w="0" w:type="dxa"/>
            <w:right w:w="0" w:type="dxa"/>
          </w:tblCellMar>
        </w:tblPrEx>
        <w:trPr>
          <w:trHeight w:val="6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微软雅黑" w:hAnsi="微软雅黑" w:eastAsia="微软雅黑" w:cs="微软雅黑"/>
                <w:b/>
                <w:color w:val="000000"/>
                <w:sz w:val="22"/>
                <w:szCs w:val="22"/>
              </w:rPr>
            </w:pPr>
            <w:r>
              <w:rPr>
                <w:rFonts w:hint="eastAsia" w:ascii="微软雅黑" w:hAnsi="微软雅黑" w:eastAsia="微软雅黑" w:cs="微软雅黑"/>
                <w:b/>
                <w:color w:val="000000"/>
                <w:kern w:val="0"/>
                <w:sz w:val="22"/>
                <w:szCs w:val="22"/>
                <w:lang w:bidi="ar"/>
              </w:rPr>
              <w:t>项目名称</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color w:val="000000"/>
                <w:sz w:val="22"/>
                <w:szCs w:val="22"/>
              </w:rPr>
            </w:pPr>
            <w:r>
              <w:rPr>
                <w:rFonts w:hint="eastAsia" w:ascii="微软雅黑" w:hAnsi="微软雅黑" w:eastAsia="微软雅黑" w:cs="微软雅黑"/>
                <w:b/>
                <w:color w:val="000000"/>
                <w:kern w:val="0"/>
                <w:sz w:val="22"/>
                <w:szCs w:val="22"/>
                <w:lang w:bidi="ar"/>
              </w:rPr>
              <w:t>项目代码</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微软雅黑" w:hAnsi="微软雅黑" w:eastAsia="微软雅黑" w:cs="微软雅黑"/>
                <w:b/>
                <w:color w:val="9C0006"/>
                <w:sz w:val="22"/>
                <w:szCs w:val="22"/>
              </w:rPr>
            </w:pPr>
            <w:r>
              <w:rPr>
                <w:rFonts w:hint="eastAsia" w:ascii="微软雅黑" w:hAnsi="微软雅黑" w:eastAsia="微软雅黑" w:cs="微软雅黑"/>
                <w:b/>
                <w:kern w:val="0"/>
                <w:sz w:val="22"/>
                <w:szCs w:val="22"/>
                <w:lang w:bidi="ar"/>
              </w:rPr>
              <w:t>指标金额</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得分</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2019年基层体育经费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19177000696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250700.00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电影公益放映补贴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19177000610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49000.00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基层文化活动</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19177000638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125000.00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86.8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三馆免费开放补助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19177000616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基层体育经费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250700.00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首都公共文化示范区创建经费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19177000679</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文化设备维护与更新运维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19177000618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86</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文化信息资源共享工程运维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19177000622</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24000.00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周末百姓大舞台</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46200.00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2017年“两新”党组织连续2年提供启动经费（第二年）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2018年“两新”党组织连续2年提供启动经费(第一年）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第一书记专项经费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86.54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组织部区党代表任期制工作经费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19177000562</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24000.00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84.4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免费计划生育技术服务</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89.96</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严重精神障碍患者监护人看护管理补贴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19177000607</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362880.00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91</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农村育龄妇女长效措施奖励费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19177000621</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2018年新型农民培养乡镇引导性培训补贴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30400.00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84.14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公共就业服务机构推荐就业补贴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19177000695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265000.00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86.32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19</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就业补助专项资金-外出就业补助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19177000630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92.98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社区管理退休人员服务经费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8950.00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88.18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社区管理退休人员自采暖补贴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76.8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优抚对象发放一次性医疗补助金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6100.00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91</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2019年群租房专项整治新增1000处任务资金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19177000731</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76000.00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群众安全感调查工作</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37500.00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吹哨报到平台系统建设</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19177000593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198000.00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2019年拆除普通地下室违规隔断资金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175000.00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2019年拆除普通地下室违规隔断补助资金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19177000719</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224000.00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伤残军人医疗补助资金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19177000716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5501.83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96</w:t>
            </w:r>
          </w:p>
        </w:tc>
      </w:tr>
      <w:tr>
        <w:tblPrEx>
          <w:tblCellMar>
            <w:top w:w="0" w:type="dxa"/>
            <w:left w:w="0" w:type="dxa"/>
            <w:bottom w:w="0" w:type="dxa"/>
            <w:right w:w="0" w:type="dxa"/>
          </w:tblCellMar>
        </w:tblPrEx>
        <w:trPr>
          <w:trHeight w:val="34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29</w:t>
            </w:r>
          </w:p>
        </w:tc>
        <w:tc>
          <w:tcPr>
            <w:tcW w:w="4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重点优抚对象医疗减免</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kern w:val="0"/>
                <w:sz w:val="22"/>
                <w:szCs w:val="22"/>
                <w:lang w:bidi="ar"/>
              </w:rPr>
              <w:t>19177000677</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 xml:space="preserve">38400.00 </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77.62</w:t>
            </w:r>
          </w:p>
        </w:tc>
      </w:tr>
      <w:tr>
        <w:tblPrEx>
          <w:tblCellMar>
            <w:top w:w="0" w:type="dxa"/>
            <w:left w:w="0" w:type="dxa"/>
            <w:bottom w:w="0" w:type="dxa"/>
            <w:right w:w="0" w:type="dxa"/>
          </w:tblCellMar>
        </w:tblPrEx>
        <w:trPr>
          <w:trHeight w:val="34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c>
          <w:tcPr>
            <w:tcW w:w="4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22"/>
                <w:szCs w:val="22"/>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10000.00 </w:t>
            </w: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szCs w:val="22"/>
              </w:rPr>
            </w:pP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2019年统计所业务费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15000.00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91</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2019年第四次全国经济普查经费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19177000673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27000.00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91</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基层司法所工作经费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19177000598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90.98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城乡无丧葬居民丧葬补贴</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19177000625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城乡医疗救助资金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19177000614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78.5</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城乡特困人员换季服装经费（社会孤老临时困难补助）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2250.00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公厕保洁费（区级）</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19177000700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乡镇自管公厕保洁费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19177000740</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660000.00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农村人居环境整治补助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450000.00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农村人居环境整治补助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1550000.00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农村地区路灯运维维护资金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19177000708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210400.00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社区工作者继续教育经费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19177000639</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志愿者活动经费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社区公益金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728120.00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82.84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街道社区工作者体检经费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19177000642</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58669.00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76.64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2019年基层宣讲经费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19177000647</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27000.00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社会主义核心价值观公益广告补助经费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第十届社区居委会、第十一届村委会选举工作经费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19177000689</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118000.00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活动保障经费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19177000739</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94080.00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96</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49</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新生违法建设管控奖励</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19177000667</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2019年追加无照经营整治工作经费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630000.00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基层文化建设六个十补助</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45000.00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2019年违法建设点位摸排经费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19177000725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500000.00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87.98</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53</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2019年美丽乡村村庄其他绿化养护工程</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19177000664</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393420.00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54</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2019年无照经营整治工作经费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19177000681</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55</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地下空间综合整治</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19177000606</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153865.32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56</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拆违控违宣传补助奖励</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19177000668</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83460.00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57</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大额医疗救助专项资金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19177000641</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20000.00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91</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58</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垃圾收集站点提升项目资金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19177000703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1038000.00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90.94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59</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2019年生活垃圾运输费</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19177000663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2880762.50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93.6</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60</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大红门核心区域环境提升</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19177000713</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6336014.45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94</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61</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生活垃圾分类示范片区创建资金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19177000651</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5000000.00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87.12</w:t>
            </w:r>
          </w:p>
        </w:tc>
      </w:tr>
      <w:tr>
        <w:tblPrEx>
          <w:tblCellMar>
            <w:top w:w="0" w:type="dxa"/>
            <w:left w:w="0" w:type="dxa"/>
            <w:bottom w:w="0" w:type="dxa"/>
            <w:right w:w="0" w:type="dxa"/>
          </w:tblCellMar>
        </w:tblPrEx>
        <w:trPr>
          <w:trHeight w:val="3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62</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2019年拆违控违第六批资金</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19177000745</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sz w:val="22"/>
                <w:szCs w:val="22"/>
              </w:rPr>
            </w:pPr>
            <w:r>
              <w:rPr>
                <w:rFonts w:hint="eastAsia" w:ascii="宋体" w:hAnsi="宋体" w:cs="宋体"/>
                <w:kern w:val="0"/>
                <w:sz w:val="22"/>
                <w:szCs w:val="22"/>
                <w:lang w:bidi="ar"/>
              </w:rPr>
              <w:t xml:space="preserve">10020891.00 </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89.8</w:t>
            </w:r>
          </w:p>
        </w:tc>
      </w:tr>
    </w:tbl>
    <w:p>
      <w:pPr>
        <w:adjustRightInd w:val="0"/>
        <w:snapToGrid w:val="0"/>
        <w:spacing w:line="360" w:lineRule="auto"/>
        <w:outlineLvl w:val="1"/>
        <w:rPr>
          <w:rFonts w:ascii="仿宋_GB2312" w:hAnsi="仿宋_GB2312" w:cs="仿宋_GB2312"/>
          <w:kern w:val="44"/>
          <w:sz w:val="28"/>
          <w:szCs w:val="28"/>
        </w:rPr>
      </w:pPr>
    </w:p>
    <w:p>
      <w:pPr>
        <w:adjustRightInd w:val="0"/>
        <w:snapToGrid w:val="0"/>
        <w:jc w:val="center"/>
        <w:outlineLvl w:val="1"/>
        <w:rPr>
          <w:rFonts w:ascii="仿宋_GB2312" w:hAnsi="仿宋_GB2312" w:cs="仿宋_GB2312"/>
          <w:kern w:val="44"/>
          <w:sz w:val="22"/>
          <w:szCs w:val="22"/>
        </w:rPr>
      </w:pPr>
    </w:p>
    <w:p>
      <w:pPr>
        <w:numPr>
          <w:ilvl w:val="0"/>
          <w:numId w:val="3"/>
        </w:num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绩效评价指标分析；</w:t>
      </w:r>
    </w:p>
    <w:p>
      <w:pPr>
        <w:spacing w:line="360" w:lineRule="auto"/>
        <w:ind w:firstLine="840" w:firstLineChars="300"/>
        <w:outlineLvl w:val="0"/>
        <w:rPr>
          <w:rFonts w:ascii="仿宋_GB2312" w:hAnsi="黑体" w:eastAsia="仿宋_GB2312"/>
          <w:sz w:val="28"/>
          <w:szCs w:val="28"/>
        </w:rPr>
      </w:pPr>
      <w:r>
        <w:rPr>
          <w:rFonts w:hint="eastAsia" w:ascii="仿宋_GB2312" w:hAnsi="黑体" w:eastAsia="仿宋_GB2312"/>
          <w:sz w:val="28"/>
          <w:szCs w:val="28"/>
        </w:rPr>
        <w:t>以“平原造林土地复垦一次性综合补助”项目为例（项目预算金额1090万元），相关评价指标分析如下：</w:t>
      </w:r>
    </w:p>
    <w:p>
      <w:p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1．项目经济性分析</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该项目严格按照预算批复和计划内容使用财政资金。根据具体业务需求，将资金及时拨付到位，保障了项目的顺利实施。此项预算截止2019年12月底前财政资金支出1013.5万元，剩余资金76.5万，其中卢沟桥乡糖厂地块复垦经费40万因未履行验收程序尚未拨付、项目审计费预计10万尚未支出，实际结余26.5万元。该项目成本控制情况基本良好，但预算支出进度未能按时完成，完成度92.98%。</w:t>
      </w:r>
    </w:p>
    <w:p>
      <w:p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2．项目效率性分析</w:t>
      </w:r>
    </w:p>
    <w:p>
      <w:p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（1）项目实施进度</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该项目周期为2019年1月至12月，项目实施过程严格按照服务协议执行。但卢沟桥乡糖厂地块8亩复垦土地尚未履行验收手续，预期进度目标实现96.33%。</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（2）项目完成质量</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2019年平原造林土地复垦项目实施中各项工作按计划、方案或合同规定有序开展，项目整体情况良好，实现了预期的绩效目标。</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①已验收的复垦土地红线范围内渣土全部清理干净，符合相关规定。</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②已验收的复垦土地覆土厚度高于图纸要求，符合复垦要求。。</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③农服中心与监理单位、村或集体经济组织定期对复垦土地工程进行进度督查、质量把控，对于巡检中发现的问题，给出合理的处理建议。</w:t>
      </w:r>
    </w:p>
    <w:p>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3．项目效益性分析</w:t>
      </w:r>
    </w:p>
    <w:p>
      <w:pPr>
        <w:spacing w:line="360" w:lineRule="auto"/>
        <w:ind w:firstLine="280" w:firstLineChars="100"/>
        <w:outlineLvl w:val="0"/>
        <w:rPr>
          <w:rFonts w:ascii="仿宋_GB2312" w:hAnsi="黑体" w:eastAsia="仿宋_GB2312"/>
          <w:sz w:val="28"/>
          <w:szCs w:val="28"/>
        </w:rPr>
      </w:pPr>
      <w:r>
        <w:rPr>
          <w:rFonts w:hint="eastAsia" w:ascii="仿宋_GB2312" w:hAnsi="黑体" w:eastAsia="仿宋_GB2312"/>
          <w:sz w:val="28"/>
          <w:szCs w:val="28"/>
        </w:rPr>
        <w:t>（1）项目预期目标完成情况</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项目预期目标完成情况如下：</w:t>
      </w:r>
    </w:p>
    <w:tbl>
      <w:tblPr>
        <w:tblStyle w:val="14"/>
        <w:tblW w:w="0" w:type="auto"/>
        <w:tblInd w:w="0" w:type="dxa"/>
        <w:tblLayout w:type="fixed"/>
        <w:tblCellMar>
          <w:top w:w="0" w:type="dxa"/>
          <w:left w:w="108" w:type="dxa"/>
          <w:bottom w:w="0" w:type="dxa"/>
          <w:right w:w="108" w:type="dxa"/>
        </w:tblCellMar>
      </w:tblPr>
      <w:tblGrid>
        <w:gridCol w:w="912"/>
        <w:gridCol w:w="3997"/>
        <w:gridCol w:w="4709"/>
      </w:tblGrid>
      <w:tr>
        <w:tblPrEx>
          <w:tblCellMar>
            <w:top w:w="0" w:type="dxa"/>
            <w:left w:w="108" w:type="dxa"/>
            <w:bottom w:w="0" w:type="dxa"/>
            <w:right w:w="108" w:type="dxa"/>
          </w:tblCellMar>
        </w:tblPrEx>
        <w:trPr>
          <w:trHeight w:val="90"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目标</w:t>
            </w:r>
          </w:p>
        </w:tc>
        <w:tc>
          <w:tcPr>
            <w:tcW w:w="3997"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预期目标</w:t>
            </w:r>
          </w:p>
        </w:tc>
        <w:tc>
          <w:tcPr>
            <w:tcW w:w="4709"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实际完成</w:t>
            </w:r>
          </w:p>
        </w:tc>
      </w:tr>
      <w:tr>
        <w:tblPrEx>
          <w:tblCellMar>
            <w:top w:w="0" w:type="dxa"/>
            <w:left w:w="108" w:type="dxa"/>
            <w:bottom w:w="0" w:type="dxa"/>
            <w:right w:w="108" w:type="dxa"/>
          </w:tblCellMar>
        </w:tblPrEx>
        <w:trPr>
          <w:trHeight w:val="669"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数量指标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560" w:lineRule="exact"/>
              <w:ind w:firstLine="0"/>
              <w:rPr>
                <w:rFonts w:ascii="仿宋_GB2312" w:hAnsi="仿宋_GB2312" w:eastAsia="仿宋_GB2312" w:cs="仿宋_GB2312"/>
                <w:color w:val="000000"/>
              </w:rPr>
            </w:pPr>
            <w:r>
              <w:rPr>
                <w:rFonts w:hint="eastAsia" w:ascii="仿宋_GB2312" w:hAnsi="仿宋_GB2312" w:eastAsia="仿宋_GB2312" w:cs="仿宋_GB2312"/>
                <w:color w:val="000000"/>
              </w:rPr>
              <w:t>对划定的218亩土地进行土地复垦</w:t>
            </w:r>
          </w:p>
        </w:tc>
        <w:tc>
          <w:tcPr>
            <w:tcW w:w="4709"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均已完成，其中卢沟桥乡糖厂项目8亩土地待验收。</w:t>
            </w:r>
          </w:p>
        </w:tc>
      </w:tr>
      <w:tr>
        <w:tblPrEx>
          <w:tblCellMar>
            <w:top w:w="0" w:type="dxa"/>
            <w:left w:w="108" w:type="dxa"/>
            <w:bottom w:w="0" w:type="dxa"/>
            <w:right w:w="108" w:type="dxa"/>
          </w:tblCellMar>
        </w:tblPrEx>
        <w:trPr>
          <w:trHeight w:val="1051"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质量指标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320" w:lineRule="exact"/>
              <w:ind w:firstLine="480" w:firstLineChars="200"/>
              <w:jc w:val="center"/>
              <w:rPr>
                <w:rFonts w:ascii="仿宋_GB2312" w:hAnsi="仿宋_GB2312" w:eastAsia="仿宋_GB2312" w:cs="仿宋_GB2312"/>
                <w:color w:val="000000"/>
              </w:rPr>
            </w:pPr>
            <w:r>
              <w:rPr>
                <w:rFonts w:hint="eastAsia" w:ascii="仿宋_GB2312" w:hAnsi="仿宋_GB2312" w:eastAsia="仿宋_GB2312" w:cs="仿宋_GB2312"/>
                <w:color w:val="000000"/>
              </w:rPr>
              <w:t>保证复垦土地渣土清运干净、保证复垦土地覆土厚度不低于图纸要求。</w:t>
            </w:r>
          </w:p>
        </w:tc>
        <w:tc>
          <w:tcPr>
            <w:tcW w:w="4709"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红线范围内渣土全部清理干净，</w:t>
            </w:r>
            <w:r>
              <w:rPr>
                <w:rFonts w:hint="eastAsia" w:ascii="仿宋_GB2312" w:hAnsi="仿宋_GB2312" w:eastAsia="仿宋_GB2312" w:cs="仿宋_GB2312"/>
                <w:color w:val="000000"/>
                <w:sz w:val="24"/>
              </w:rPr>
              <w:t>覆土厚度高于图纸要求</w:t>
            </w:r>
          </w:p>
        </w:tc>
      </w:tr>
      <w:tr>
        <w:tblPrEx>
          <w:tblCellMar>
            <w:top w:w="0" w:type="dxa"/>
            <w:left w:w="108" w:type="dxa"/>
            <w:bottom w:w="0" w:type="dxa"/>
            <w:right w:w="108" w:type="dxa"/>
          </w:tblCellMar>
        </w:tblPrEx>
        <w:trPr>
          <w:trHeight w:val="1050"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进度指标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560" w:lineRule="exact"/>
              <w:ind w:firstLine="480" w:firstLineChars="200"/>
              <w:rPr>
                <w:rFonts w:ascii="仿宋_GB2312" w:hAnsi="仿宋_GB2312" w:eastAsia="仿宋_GB2312" w:cs="仿宋_GB2312"/>
                <w:color w:val="000000"/>
              </w:rPr>
            </w:pPr>
            <w:r>
              <w:rPr>
                <w:rFonts w:hint="eastAsia" w:ascii="仿宋_GB2312" w:hAnsi="仿宋_GB2312" w:eastAsia="仿宋_GB2312" w:cs="仿宋_GB2312"/>
                <w:color w:val="000000"/>
              </w:rPr>
              <w:t>2019年12月底前竣工。</w:t>
            </w:r>
          </w:p>
          <w:p>
            <w:pPr>
              <w:widowControl/>
              <w:jc w:val="left"/>
              <w:rPr>
                <w:rFonts w:ascii="仿宋_GB2312" w:hAnsi="仿宋_GB2312" w:eastAsia="仿宋_GB2312" w:cs="仿宋_GB2312"/>
                <w:kern w:val="0"/>
                <w:sz w:val="24"/>
                <w:highlight w:val="yellow"/>
              </w:rPr>
            </w:pPr>
          </w:p>
        </w:tc>
        <w:tc>
          <w:tcPr>
            <w:tcW w:w="4709"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highlight w:val="yellow"/>
              </w:rPr>
            </w:pPr>
            <w:r>
              <w:rPr>
                <w:rFonts w:hint="eastAsia" w:ascii="仿宋_GB2312" w:hAnsi="仿宋_GB2312" w:eastAsia="仿宋_GB2312" w:cs="仿宋_GB2312"/>
                <w:color w:val="000000"/>
                <w:kern w:val="0"/>
                <w:sz w:val="24"/>
              </w:rPr>
              <w:t>均已完成，其中卢沟桥乡糖厂项目8亩土地待验收。</w:t>
            </w:r>
          </w:p>
        </w:tc>
      </w:tr>
      <w:tr>
        <w:trPr>
          <w:trHeight w:val="938"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成本指标</w:t>
            </w:r>
          </w:p>
        </w:tc>
        <w:tc>
          <w:tcPr>
            <w:tcW w:w="399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sz w:val="24"/>
              </w:rPr>
              <w:t>总成本控制在预算批复数额以内，成本控制在1090万元内</w:t>
            </w:r>
          </w:p>
        </w:tc>
        <w:tc>
          <w:tcPr>
            <w:tcW w:w="4709"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sz w:val="24"/>
              </w:rPr>
            </w:pPr>
            <w:r>
              <w:rPr>
                <w:rFonts w:hint="eastAsia" w:ascii="仿宋_GB2312" w:hAnsi="仿宋_GB2312" w:eastAsia="仿宋_GB2312" w:cs="仿宋_GB2312"/>
                <w:sz w:val="24"/>
              </w:rPr>
              <w:t>该项目按照预算批复使用财政资金，已支出1013.5万元</w:t>
            </w:r>
            <w:r>
              <w:rPr>
                <w:rFonts w:hint="eastAsia" w:ascii="仿宋_GB2312" w:hAnsi="仿宋_GB2312" w:eastAsia="仿宋_GB2312" w:cs="仿宋_GB2312"/>
                <w:color w:val="000000"/>
                <w:kern w:val="0"/>
                <w:sz w:val="24"/>
              </w:rPr>
              <w:t>。</w:t>
            </w:r>
          </w:p>
        </w:tc>
      </w:tr>
    </w:tbl>
    <w:p>
      <w:pPr>
        <w:pStyle w:val="2"/>
      </w:pP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如上所列，项目实施较好达到了预期目标，一定程度上实现了预期效果，各项具体工作指标要求完成情况有待进一步完善，但基本实现了平原造林土地复垦达到可种植条件的根本目的。</w:t>
      </w:r>
    </w:p>
    <w:p>
      <w:p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（2）项目实施对社会的影响</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社会效益：平原造林土地复垦在改善地区土质的同时提升景观效果，为周围群众提供良好的视觉感受，提升地区绿色指数，营造宜居环境。</w:t>
      </w:r>
    </w:p>
    <w:p>
      <w:pPr>
        <w:spacing w:line="360" w:lineRule="auto"/>
        <w:ind w:left="420" w:leftChars="200"/>
        <w:outlineLvl w:val="0"/>
        <w:rPr>
          <w:rFonts w:ascii="仿宋_GB2312" w:hAnsi="黑体" w:eastAsia="仿宋_GB2312"/>
          <w:sz w:val="28"/>
          <w:szCs w:val="28"/>
        </w:rPr>
      </w:pPr>
      <w:r>
        <w:rPr>
          <w:rFonts w:hint="eastAsia" w:ascii="仿宋_GB2312" w:hAnsi="黑体" w:eastAsia="仿宋_GB2312"/>
          <w:sz w:val="28"/>
          <w:szCs w:val="28"/>
        </w:rPr>
        <w:t>（3）项目可持续影响</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通过土地复垦，改良地块土质，使其符合种植条件，提升生态环境品质。但该项目绩效目标短期内无法量化测量，可持续影响证明资料或数据收集难度较大，支撑材料不足。</w:t>
      </w:r>
    </w:p>
    <w:p>
      <w:pPr>
        <w:spacing w:line="360" w:lineRule="auto"/>
        <w:ind w:firstLine="280" w:firstLineChars="100"/>
        <w:outlineLvl w:val="0"/>
        <w:rPr>
          <w:rFonts w:ascii="仿宋_GB2312" w:hAnsi="黑体" w:eastAsia="仿宋_GB2312"/>
          <w:sz w:val="28"/>
          <w:szCs w:val="28"/>
        </w:rPr>
      </w:pPr>
      <w:r>
        <w:rPr>
          <w:rFonts w:hint="eastAsia" w:ascii="仿宋_GB2312" w:hAnsi="黑体" w:eastAsia="仿宋_GB2312"/>
          <w:sz w:val="28"/>
          <w:szCs w:val="28"/>
        </w:rPr>
        <w:t>（4）服务对象满意度</w:t>
      </w:r>
    </w:p>
    <w:p>
      <w:pPr>
        <w:spacing w:line="360" w:lineRule="auto"/>
        <w:ind w:left="420" w:leftChars="200" w:firstLine="560" w:firstLineChars="200"/>
        <w:outlineLvl w:val="0"/>
        <w:rPr>
          <w:rFonts w:ascii="仿宋_GB2312" w:hAnsi="黑体" w:eastAsia="仿宋_GB2312"/>
          <w:sz w:val="28"/>
          <w:szCs w:val="28"/>
        </w:rPr>
      </w:pPr>
      <w:r>
        <w:rPr>
          <w:rFonts w:hint="eastAsia" w:ascii="仿宋_GB2312" w:hAnsi="黑体" w:eastAsia="仿宋_GB2312"/>
          <w:sz w:val="28"/>
          <w:szCs w:val="28"/>
        </w:rPr>
        <w:t>2019年，对周边群众就平原造林复垦工作带来的环境改善进行口头满意度调查，满意度达90%。但由于未留存书面材料，缺少反映服务对象满意度的证明材料。</w:t>
      </w:r>
    </w:p>
    <w:p>
      <w:pPr>
        <w:numPr>
          <w:ilvl w:val="0"/>
          <w:numId w:val="2"/>
        </w:num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主要经验及做法、存在的问题及原因分析；</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1、主要经验</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领导重视，组织有序。为更好地开展此次绩效自评工作，我乡领导高度重视，首先在乡长办公会上传达区财政局工作要求，其次组建由常务副乡长挂帅的领导专班，从乡级层面加强统筹谋划，制定方案确保实施。</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科室配合，互促互进。本次自评工作得到了各业务科室的大力支持，在简易程序自评工作实施中，各科室与财政科密切配合，及时沟通，确保发现问题及时解答、指标解释口径统一、时间安排合理有序，保证了工作的高质量完成。</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注重节俭，突出实效。为确保绩效自评工作顺利完成，我乡经认真研究，确定了简要评价程序及普通评价程序均由政府内部自行完成，尽可能做到“把钱花在刀刃上”，体现了财政经费使用的经济性和效益性。</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2、存在的问题</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部门绩效评价意识有待进一步提高。各部门及各单位对绩效评价工作的认识还不到位，对于绩效管理的相关政策理解不够深刻，对绩效评价指标的理解存在偏差，导致绩效自评表填报时不尽规范。</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部分项目过程管理有待加强。评价过程中发现，部分项目实施的有效性、项目效果的可持续性未能如实反映，主要表现在执行部门存档意识薄弱，同时缺乏有效的过程监督及系统的过程控制制度。</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部分项目年初绩效目标设置过于笼统。部分项目绩效目标设置侧重于项目主要内容的描述，项目绩效指标设置不够全面、细化、量化，如部分项目对服务对象满意度调查重视不够，未能提供对应的满意度调查资料或调查不够细致，效果呈现不明显。</w:t>
      </w:r>
    </w:p>
    <w:p>
      <w:pPr>
        <w:pStyle w:val="2"/>
        <w:ind w:left="420" w:leftChars="200"/>
      </w:pPr>
    </w:p>
    <w:p>
      <w:pPr>
        <w:numPr>
          <w:ilvl w:val="0"/>
          <w:numId w:val="2"/>
        </w:num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有关建议。</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提升各部门绩效管理及绩效评价意识。加强财政支出的绩效意识，强化预算编制、管理的刚性约束，反复强调“花钱必有效，无效必问责”。加强对绩效管理相关文件的学习，建立、完善本单位内控管理制度，提升绩效管理水平。</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强化项目实施过程管理。项目实施中要细化“四个效益、五个产出”的效果呈现，加大公开力度，强化项目实施过程中的留痕意识，通过开展满意度调查等渠道实现对政策执行的可持续评价，体现过程监督。</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实现绩效评价效果应用。以本次绩效评价工作为契机，逐步将绩效评价推广至更大范围，提高评价结果在年度预算安排的权重，督促项目实施部门总结经验、发现问题，强化支出责任、提高财政资金使用效率。</w:t>
      </w:r>
    </w:p>
    <w:p>
      <w:pPr>
        <w:pStyle w:val="2"/>
        <w:ind w:left="420" w:leftChars="200"/>
      </w:pPr>
    </w:p>
    <w:p>
      <w:pPr>
        <w:spacing w:line="360" w:lineRule="auto"/>
        <w:ind w:firstLine="560" w:firstLineChars="200"/>
        <w:outlineLvl w:val="0"/>
        <w:rPr>
          <w:rFonts w:ascii="黑体" w:eastAsia="黑体"/>
          <w:sz w:val="28"/>
          <w:szCs w:val="28"/>
        </w:rPr>
        <w:sectPr>
          <w:pgSz w:w="11906" w:h="16838"/>
          <w:pgMar w:top="1134" w:right="1134" w:bottom="1134" w:left="1134" w:header="851" w:footer="992" w:gutter="0"/>
          <w:cols w:space="720" w:num="1"/>
          <w:docGrid w:type="linesAndChars" w:linePitch="312" w:charSpace="0"/>
        </w:sect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w:t>
      </w:r>
      <w:r>
        <w:rPr>
          <w:rFonts w:hint="eastAsia" w:ascii="黑体" w:eastAsia="黑体"/>
          <w:sz w:val="28"/>
          <w:szCs w:val="28"/>
        </w:rPr>
        <w:t>评表</w:t>
      </w:r>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bCs/>
                <w:color w:val="000000"/>
                <w:kern w:val="0"/>
                <w:sz w:val="32"/>
                <w:szCs w:val="32"/>
              </w:rPr>
            </w:pPr>
            <w:r>
              <w:rPr>
                <w:rFonts w:hint="eastAsia" w:ascii="方正小标宋简体" w:hAnsi="黑体" w:eastAsia="方正小标宋简体" w:cs="宋体"/>
                <w:bCs/>
                <w:color w:val="000000"/>
                <w:kern w:val="0"/>
                <w:sz w:val="32"/>
                <w:szCs w:val="32"/>
              </w:rPr>
              <w:t>附件2：</w:t>
            </w:r>
          </w:p>
          <w:p>
            <w:pPr>
              <w:widowControl/>
              <w:ind w:firstLine="640" w:firstLineChars="200"/>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项目支出事后绩效自评表（表1）</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9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乡政府办公楼资产使用费</w:t>
            </w:r>
          </w:p>
        </w:tc>
      </w:tr>
      <w:tr>
        <w:tblPrEx>
          <w:tblCellMar>
            <w:top w:w="0" w:type="dxa"/>
            <w:left w:w="108" w:type="dxa"/>
            <w:bottom w:w="0" w:type="dxa"/>
            <w:right w:w="108" w:type="dxa"/>
          </w:tblCellMar>
        </w:tblPrEx>
        <w:trPr>
          <w:trHeight w:val="348"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38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700</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699.9</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99.98</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9.99</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42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700</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699.9</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99.98</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9.99</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7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2218"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保障乡政府办公场地，支付全年租金。</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年度总体目标完成情况综述：</w:t>
            </w:r>
          </w:p>
          <w:p>
            <w:pPr>
              <w:widowControl/>
              <w:ind w:firstLine="440" w:firstLineChars="200"/>
              <w:rPr>
                <w:rFonts w:ascii="宋体" w:hAnsi="宋体" w:cs="宋体"/>
                <w:color w:val="000000"/>
                <w:kern w:val="0"/>
                <w:sz w:val="24"/>
              </w:rPr>
            </w:pPr>
            <w:r>
              <w:rPr>
                <w:rFonts w:hint="eastAsia" w:ascii="宋体" w:hAnsi="宋体" w:cs="宋体"/>
                <w:color w:val="000000"/>
                <w:kern w:val="0"/>
                <w:sz w:val="22"/>
                <w:szCs w:val="22"/>
              </w:rPr>
              <w:t>按照节约、高效的原则，以保障乡机关正常运转为前提，按照合同约定，向产权方支付场地租金，具体为：租赁期限为2019.1.1-2023.12.31，办公楼面积7250㎡、单价2.35/天/㎡，租金6218687.5元；平房区(含食堂)面积750㎡，单价2.05/天/㎡，租金561187.5元；服务大厅（临街）面积200㎡，单价3/天/㎡，租金219000元，全年总计6998875元。</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48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办公楼使用面积</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 xml:space="preserve">10 </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7250㎡</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7250㎡</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9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cs="宋体"/>
                <w:color w:val="000000"/>
                <w:kern w:val="0"/>
                <w:sz w:val="22"/>
                <w:szCs w:val="22"/>
              </w:rPr>
              <w:t>平房区(含食堂)使用面积</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750㎡</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750㎡</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7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cs="宋体"/>
                <w:color w:val="000000"/>
                <w:kern w:val="0"/>
                <w:sz w:val="22"/>
                <w:szCs w:val="22"/>
              </w:rPr>
              <w:t>服务大厅（临街）使用面积</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200㎡</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2"/>
                <w:szCs w:val="22"/>
              </w:rPr>
              <w:t>200㎡</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5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提供满足机关日常办公的场地条件及基本设施</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98%</w:t>
            </w:r>
          </w:p>
        </w:tc>
        <w:tc>
          <w:tcPr>
            <w:tcW w:w="28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提供满足机关日常食堂供应条件</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98%</w:t>
            </w:r>
          </w:p>
        </w:tc>
        <w:tc>
          <w:tcPr>
            <w:tcW w:w="28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72"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按合同约定支付全年租金</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当年</w:t>
            </w:r>
            <w:r>
              <w:rPr>
                <w:rFonts w:ascii="宋体" w:hAnsi="宋体"/>
                <w:sz w:val="22"/>
                <w:szCs w:val="22"/>
              </w:rPr>
              <w:t>12</w:t>
            </w:r>
            <w:r>
              <w:rPr>
                <w:rFonts w:hint="eastAsia" w:ascii="宋体" w:hAnsi="宋体"/>
                <w:sz w:val="22"/>
                <w:szCs w:val="22"/>
              </w:rPr>
              <w:t>月前完成</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当年</w:t>
            </w:r>
            <w:r>
              <w:rPr>
                <w:rFonts w:ascii="宋体" w:hAnsi="宋体"/>
                <w:sz w:val="22"/>
                <w:szCs w:val="22"/>
              </w:rPr>
              <w:t>12</w:t>
            </w:r>
            <w:r>
              <w:rPr>
                <w:rFonts w:hint="eastAsia" w:ascii="宋体" w:hAnsi="宋体"/>
                <w:sz w:val="22"/>
                <w:szCs w:val="22"/>
              </w:rPr>
              <w:t>月前完成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7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ind w:firstLine="440" w:firstLineChars="200"/>
              <w:rPr>
                <w:rFonts w:ascii="宋体" w:hAnsi="宋体"/>
                <w:sz w:val="22"/>
                <w:szCs w:val="22"/>
              </w:rPr>
            </w:pPr>
            <w:r>
              <w:rPr>
                <w:rFonts w:hint="eastAsia" w:ascii="宋体" w:hAnsi="宋体"/>
                <w:sz w:val="22"/>
                <w:szCs w:val="22"/>
              </w:rPr>
              <w:t>700万</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700万</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699.9</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44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为乡机关正常运转提供保障，促进节约型政府机关建设。</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20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为乡机关正常运转提供保障，促进节约型政府机关建设。</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达到预期目标</w:t>
            </w:r>
          </w:p>
        </w:tc>
        <w:tc>
          <w:tcPr>
            <w:tcW w:w="2806"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Cs w:val="21"/>
              </w:rPr>
              <w:t>就机关选址是否具备稳定性、延续性、开展工作便利性向机关内部进行满意度调查</w:t>
            </w:r>
          </w:p>
        </w:tc>
        <w:tc>
          <w:tcPr>
            <w:tcW w:w="851"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20</w:t>
            </w:r>
          </w:p>
        </w:tc>
        <w:tc>
          <w:tcPr>
            <w:tcW w:w="1382" w:type="dxa"/>
            <w:tcBorders>
              <w:top w:val="nil"/>
              <w:left w:val="nil"/>
              <w:bottom w:val="single" w:color="auto" w:sz="4" w:space="0"/>
              <w:right w:val="single" w:color="auto" w:sz="4" w:space="0"/>
            </w:tcBorders>
            <w:noWrap/>
            <w:vAlign w:val="center"/>
          </w:tcPr>
          <w:p>
            <w:pPr>
              <w:rPr>
                <w:rFonts w:ascii="宋体" w:hAnsi="宋体" w:cs="宋体"/>
                <w:sz w:val="22"/>
                <w:szCs w:val="22"/>
              </w:rPr>
            </w:pPr>
            <w:r>
              <w:rPr>
                <w:rFonts w:hint="eastAsia" w:ascii="宋体" w:hAnsi="宋体" w:cs="宋体"/>
                <w:sz w:val="22"/>
                <w:szCs w:val="22"/>
              </w:rPr>
              <w:t>依据好评率判断</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好评率达90%</w:t>
            </w:r>
          </w:p>
        </w:tc>
        <w:tc>
          <w:tcPr>
            <w:tcW w:w="2806"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95.88</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9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footerReference r:id="rId5" w:type="default"/>
          <w:pgSz w:w="16838" w:h="11906" w:orient="landscape"/>
          <w:pgMar w:top="1440" w:right="1803" w:bottom="1440" w:left="1803" w:header="851" w:footer="992" w:gutter="0"/>
          <w:cols w:space="720" w:num="1"/>
          <w:docGrid w:type="lines" w:linePitch="312" w:charSpace="0"/>
        </w:sectPr>
      </w:pPr>
    </w:p>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项目支出事后绩效自评表（表2）</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9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基础支出</w:t>
            </w:r>
          </w:p>
        </w:tc>
      </w:tr>
      <w:tr>
        <w:tblPrEx>
          <w:tblCellMar>
            <w:top w:w="0" w:type="dxa"/>
            <w:left w:w="108" w:type="dxa"/>
            <w:bottom w:w="0" w:type="dxa"/>
            <w:right w:w="108" w:type="dxa"/>
          </w:tblCellMar>
        </w:tblPrEx>
        <w:trPr>
          <w:trHeight w:val="348"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3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ind w:firstLine="480" w:firstLineChars="200"/>
              <w:jc w:val="left"/>
              <w:rPr>
                <w:rFonts w:ascii="宋体" w:hAnsi="宋体"/>
                <w:sz w:val="24"/>
              </w:rPr>
            </w:pPr>
            <w:r>
              <w:rPr>
                <w:rFonts w:hint="eastAsia" w:ascii="宋体" w:hAnsi="宋体" w:cs="宋体"/>
                <w:color w:val="000000"/>
                <w:kern w:val="0"/>
                <w:sz w:val="24"/>
              </w:rPr>
              <w:t>1500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1500</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ind w:firstLine="480" w:firstLineChars="200"/>
              <w:jc w:val="left"/>
              <w:rPr>
                <w:rFonts w:ascii="宋体" w:hAnsi="宋体"/>
                <w:sz w:val="24"/>
              </w:rPr>
            </w:pPr>
            <w:r>
              <w:rPr>
                <w:rFonts w:hint="eastAsia" w:ascii="宋体" w:hAnsi="宋体" w:cs="宋体"/>
                <w:color w:val="000000"/>
                <w:kern w:val="0"/>
                <w:sz w:val="24"/>
              </w:rPr>
              <w:t>1500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1500</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4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支付乡机关非统发人员工资，维护机关正常运转。</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年度总体目标完成情况综述：</w:t>
            </w:r>
          </w:p>
          <w:p>
            <w:pPr>
              <w:widowControl/>
              <w:numPr>
                <w:ilvl w:val="0"/>
                <w:numId w:val="4"/>
              </w:numPr>
              <w:rPr>
                <w:rFonts w:ascii="宋体" w:hAnsi="宋体" w:cs="宋体"/>
                <w:color w:val="000000"/>
                <w:kern w:val="0"/>
                <w:sz w:val="22"/>
                <w:szCs w:val="22"/>
              </w:rPr>
            </w:pPr>
            <w:r>
              <w:rPr>
                <w:rFonts w:hint="eastAsia" w:ascii="宋体" w:hAnsi="宋体" w:cs="宋体"/>
                <w:color w:val="000000"/>
                <w:kern w:val="0"/>
                <w:sz w:val="22"/>
                <w:szCs w:val="22"/>
              </w:rPr>
              <w:t>根据市区组织部、人社局规定，为3个全额拨款事业单位在编人员发放工资薪酬，按规定缴纳社保、公积金、职业年金。</w:t>
            </w:r>
          </w:p>
          <w:p>
            <w:pPr>
              <w:widowControl/>
              <w:numPr>
                <w:ilvl w:val="0"/>
                <w:numId w:val="4"/>
              </w:numPr>
              <w:rPr>
                <w:rFonts w:ascii="宋体" w:hAnsi="宋体" w:cs="宋体"/>
                <w:color w:val="000000"/>
                <w:kern w:val="0"/>
                <w:sz w:val="22"/>
                <w:szCs w:val="22"/>
              </w:rPr>
            </w:pPr>
            <w:r>
              <w:rPr>
                <w:rFonts w:hint="eastAsia" w:ascii="宋体" w:hAnsi="宋体" w:cs="宋体"/>
                <w:color w:val="000000"/>
                <w:kern w:val="0"/>
                <w:sz w:val="22"/>
                <w:szCs w:val="22"/>
              </w:rPr>
              <w:t>根据乡党委规定，为机关社干、工勤人员、聘用人员发放工资薪酬，按规定缴纳社保、公积金。</w:t>
            </w:r>
          </w:p>
          <w:p>
            <w:pPr>
              <w:widowControl/>
              <w:numPr>
                <w:ilvl w:val="0"/>
                <w:numId w:val="4"/>
              </w:numPr>
              <w:rPr>
                <w:rFonts w:ascii="宋体" w:hAnsi="宋体" w:cs="宋体"/>
                <w:color w:val="000000"/>
                <w:kern w:val="0"/>
                <w:sz w:val="24"/>
              </w:rPr>
            </w:pPr>
            <w:r>
              <w:rPr>
                <w:rFonts w:hint="eastAsia" w:ascii="宋体" w:hAnsi="宋体" w:cs="宋体"/>
                <w:color w:val="000000"/>
                <w:kern w:val="0"/>
                <w:sz w:val="22"/>
                <w:szCs w:val="22"/>
              </w:rPr>
              <w:t>根据乡党委规定，为退休社干发放退休金。</w:t>
            </w:r>
          </w:p>
        </w:tc>
      </w:tr>
      <w:tr>
        <w:tblPrEx>
          <w:tblCellMar>
            <w:top w:w="0" w:type="dxa"/>
            <w:left w:w="108" w:type="dxa"/>
            <w:bottom w:w="0" w:type="dxa"/>
            <w:right w:w="108" w:type="dxa"/>
          </w:tblCellMar>
        </w:tblPrEx>
        <w:trPr>
          <w:trHeight w:val="90"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10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cs="宋体"/>
                <w:color w:val="000000"/>
                <w:kern w:val="0"/>
                <w:szCs w:val="20"/>
              </w:rPr>
              <w:t>按月发放事业编人员工资薪酬及缴纳四险二金</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 xml:space="preserve">7 </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7</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12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2"/>
                <w:szCs w:val="22"/>
              </w:rPr>
            </w:pPr>
            <w:r>
              <w:rPr>
                <w:rFonts w:ascii="宋体" w:hAnsi="宋体" w:cs="宋体"/>
                <w:szCs w:val="21"/>
              </w:rPr>
              <w:t>发放机关社干、工勤人员、聘用人员工资薪酬，按规定缴纳社保、公积金</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7</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7</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2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hint="eastAsia" w:ascii="宋体" w:hAnsi="宋体" w:cs="宋体"/>
                <w:sz w:val="18"/>
                <w:szCs w:val="18"/>
              </w:rPr>
              <w:t>为退休社干发放退休金</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4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按时发放工资、缴纳社保公积金</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0"/>
                <w:szCs w:val="20"/>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2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足额发放工资、缴纳社保公积金</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3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每月支出一次，年底前全部支出</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Cs w:val="21"/>
              </w:rPr>
              <w:t>年底前全部支出</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4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1500</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1500</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32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给予机关员工合理合法报酬及社保公积金待遇，提升员工工作积极性，促进机关工作顺利开展</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促进机关工作顺利开展</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较为圆满完成目标</w:t>
            </w:r>
          </w:p>
        </w:tc>
        <w:tc>
          <w:tcPr>
            <w:tcW w:w="2806"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0"/>
                <w:szCs w:val="20"/>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8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就是否足额按时发放向员工征求意见</w:t>
            </w:r>
          </w:p>
        </w:tc>
        <w:tc>
          <w:tcPr>
            <w:tcW w:w="851"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20</w:t>
            </w:r>
          </w:p>
        </w:tc>
        <w:tc>
          <w:tcPr>
            <w:tcW w:w="1382" w:type="dxa"/>
            <w:tcBorders>
              <w:top w:val="nil"/>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好评率定性测量</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好评率达90%</w:t>
            </w:r>
          </w:p>
        </w:tc>
        <w:tc>
          <w:tcPr>
            <w:tcW w:w="2806"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96</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type w:val="continuous"/>
          <w:pgSz w:w="16838" w:h="11906" w:orient="landscape"/>
          <w:pgMar w:top="1440" w:right="1803" w:bottom="1440" w:left="1803" w:header="851" w:footer="992" w:gutter="0"/>
          <w:cols w:space="720" w:num="1"/>
          <w:docGrid w:type="lines" w:linePitch="312" w:charSpace="0"/>
        </w:sectPr>
      </w:pPr>
    </w:p>
    <w:p/>
    <w:tbl>
      <w:tblPr>
        <w:tblStyle w:val="14"/>
        <w:tblW w:w="15205" w:type="dxa"/>
        <w:jc w:val="center"/>
        <w:tblLayout w:type="autofit"/>
        <w:tblCellMar>
          <w:top w:w="0" w:type="dxa"/>
          <w:left w:w="108" w:type="dxa"/>
          <w:bottom w:w="0" w:type="dxa"/>
          <w:right w:w="108" w:type="dxa"/>
        </w:tblCellMar>
      </w:tblPr>
      <w:tblGrid>
        <w:gridCol w:w="323"/>
        <w:gridCol w:w="570"/>
        <w:gridCol w:w="355"/>
        <w:gridCol w:w="1005"/>
        <w:gridCol w:w="15"/>
        <w:gridCol w:w="1597"/>
        <w:gridCol w:w="514"/>
        <w:gridCol w:w="851"/>
        <w:gridCol w:w="761"/>
        <w:gridCol w:w="621"/>
        <w:gridCol w:w="230"/>
        <w:gridCol w:w="968"/>
        <w:gridCol w:w="414"/>
        <w:gridCol w:w="1198"/>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8"/>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项目支出事后绩效自评表（表3）</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8"/>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7" w:hRule="atLeast"/>
          <w:jc w:val="center"/>
        </w:trPr>
        <w:tc>
          <w:tcPr>
            <w:tcW w:w="89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1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食药所、城管分队办公场所租金</w:t>
            </w:r>
          </w:p>
        </w:tc>
      </w:tr>
      <w:tr>
        <w:tblPrEx>
          <w:tblCellMar>
            <w:top w:w="0" w:type="dxa"/>
            <w:left w:w="108" w:type="dxa"/>
            <w:bottom w:w="0" w:type="dxa"/>
            <w:right w:w="108" w:type="dxa"/>
          </w:tblCellMar>
        </w:tblPrEx>
        <w:trPr>
          <w:trHeight w:val="438" w:hRule="atLeast"/>
          <w:jc w:val="center"/>
        </w:trPr>
        <w:tc>
          <w:tcPr>
            <w:tcW w:w="3865"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7"/>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南苑乡人民政府</w:t>
            </w:r>
          </w:p>
        </w:tc>
      </w:tr>
      <w:tr>
        <w:tblPrEx>
          <w:tblCellMar>
            <w:top w:w="0" w:type="dxa"/>
            <w:left w:w="108" w:type="dxa"/>
            <w:bottom w:w="0" w:type="dxa"/>
            <w:right w:w="108" w:type="dxa"/>
          </w:tblCellMar>
        </w:tblPrEx>
        <w:trPr>
          <w:trHeight w:val="496" w:hRule="atLeast"/>
          <w:jc w:val="center"/>
        </w:trPr>
        <w:tc>
          <w:tcPr>
            <w:tcW w:w="3865" w:type="dxa"/>
            <w:gridSpan w:val="6"/>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rPr>
          <w:trHeight w:val="415" w:hRule="atLeast"/>
          <w:jc w:val="center"/>
        </w:trPr>
        <w:tc>
          <w:tcPr>
            <w:tcW w:w="3865" w:type="dxa"/>
            <w:gridSpan w:val="6"/>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4"/>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300</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299.3</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99.77</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9.98</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438" w:hRule="atLeast"/>
          <w:jc w:val="center"/>
        </w:trPr>
        <w:tc>
          <w:tcPr>
            <w:tcW w:w="3865" w:type="dxa"/>
            <w:gridSpan w:val="6"/>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4"/>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300</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299.3</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99.77</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9.98</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400" w:hRule="atLeast"/>
          <w:jc w:val="center"/>
        </w:trPr>
        <w:tc>
          <w:tcPr>
            <w:tcW w:w="3865" w:type="dxa"/>
            <w:gridSpan w:val="6"/>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90" w:hRule="atLeast"/>
          <w:jc w:val="center"/>
        </w:trPr>
        <w:tc>
          <w:tcPr>
            <w:tcW w:w="893"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11"/>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保障食药所、城管分队办公场地，支付全年租金。</w:t>
            </w:r>
          </w:p>
        </w:tc>
        <w:tc>
          <w:tcPr>
            <w:tcW w:w="6981" w:type="dxa"/>
            <w:gridSpan w:val="5"/>
            <w:tcBorders>
              <w:top w:val="single" w:color="auto" w:sz="4" w:space="0"/>
              <w:left w:val="nil"/>
              <w:bottom w:val="single" w:color="auto" w:sz="4" w:space="0"/>
              <w:right w:val="single" w:color="000000" w:sz="4" w:space="0"/>
            </w:tcBorders>
            <w:vAlign w:val="center"/>
          </w:tcPr>
          <w:p>
            <w:pPr>
              <w:widowControl/>
              <w:ind w:firstLine="480" w:firstLineChars="200"/>
              <w:rPr>
                <w:rFonts w:ascii="宋体" w:hAnsi="宋体" w:cs="宋体"/>
                <w:color w:val="000000"/>
                <w:kern w:val="0"/>
                <w:sz w:val="24"/>
              </w:rPr>
            </w:pPr>
            <w:r>
              <w:rPr>
                <w:rFonts w:hint="eastAsia" w:ascii="宋体" w:hAnsi="宋体" w:cs="宋体"/>
                <w:color w:val="000000"/>
                <w:kern w:val="0"/>
                <w:sz w:val="24"/>
              </w:rPr>
              <w:t>年度总体目标完成情况综述：以食药所、城管分队正常运转为前提，按照合同约定，向产权方支付场地租金，具体为：租赁期限为2020.1.1-2020.12.31，办公楼面积4000㎡、单价2.05/天/㎡，全年总计2993000元。</w:t>
            </w:r>
          </w:p>
        </w:tc>
      </w:tr>
      <w:tr>
        <w:tblPrEx>
          <w:tblCellMar>
            <w:top w:w="0" w:type="dxa"/>
            <w:left w:w="108" w:type="dxa"/>
            <w:bottom w:w="0" w:type="dxa"/>
            <w:right w:w="108" w:type="dxa"/>
          </w:tblCellMar>
        </w:tblPrEx>
        <w:trPr>
          <w:trHeight w:val="492" w:hRule="atLeast"/>
          <w:jc w:val="center"/>
        </w:trPr>
        <w:tc>
          <w:tcPr>
            <w:tcW w:w="89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rPr>
          <w:trHeight w:val="990" w:hRule="atLeast"/>
          <w:jc w:val="center"/>
        </w:trPr>
        <w:tc>
          <w:tcPr>
            <w:tcW w:w="323"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办公楼使用面积</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 xml:space="preserve">20 </w:t>
            </w:r>
          </w:p>
        </w:tc>
        <w:tc>
          <w:tcPr>
            <w:tcW w:w="138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4000㎡</w:t>
            </w:r>
          </w:p>
        </w:tc>
        <w:tc>
          <w:tcPr>
            <w:tcW w:w="119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4000㎡</w:t>
            </w:r>
          </w:p>
        </w:tc>
        <w:tc>
          <w:tcPr>
            <w:tcW w:w="4418"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280" w:hRule="atLeast"/>
          <w:jc w:val="center"/>
        </w:trPr>
        <w:tc>
          <w:tcPr>
            <w:tcW w:w="3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sz w:val="24"/>
              </w:rPr>
              <w:t>提供满足</w:t>
            </w:r>
            <w:r>
              <w:rPr>
                <w:rFonts w:hint="eastAsia" w:ascii="宋体" w:hAnsi="宋体" w:cs="宋体"/>
                <w:color w:val="000000"/>
                <w:kern w:val="0"/>
                <w:sz w:val="24"/>
              </w:rPr>
              <w:t>食药所、城管分队</w:t>
            </w:r>
            <w:r>
              <w:rPr>
                <w:rFonts w:hint="eastAsia" w:ascii="宋体" w:hAnsi="宋体"/>
                <w:sz w:val="24"/>
              </w:rPr>
              <w:t>日常办公的场地条件及基本设施</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119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4418"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80" w:hRule="atLeast"/>
          <w:jc w:val="center"/>
        </w:trPr>
        <w:tc>
          <w:tcPr>
            <w:tcW w:w="3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continue"/>
            <w:tcBorders>
              <w:top w:val="single" w:color="auto" w:sz="4" w:space="0"/>
              <w:left w:val="single" w:color="auto" w:sz="4" w:space="0"/>
              <w:right w:val="single" w:color="auto" w:sz="4" w:space="0"/>
            </w:tcBorders>
            <w:vAlign w:val="center"/>
          </w:tcPr>
          <w:p>
            <w:pPr>
              <w:widowControl/>
              <w:jc w:val="left"/>
              <w:rPr>
                <w:rFonts w:ascii="宋体" w:hAnsi="宋体" w:cs="宋体"/>
                <w:kern w:val="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2"/>
                <w:szCs w:val="22"/>
              </w:rPr>
              <w:t>进度指标（10分）</w:t>
            </w:r>
          </w:p>
        </w:tc>
        <w:tc>
          <w:tcPr>
            <w:tcW w:w="2126"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sz w:val="24"/>
              </w:rPr>
              <w:t>按合同约定支付全年租金</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119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4418" w:type="dxa"/>
            <w:gridSpan w:val="4"/>
            <w:vMerge w:val="continue"/>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76" w:hRule="atLeast"/>
          <w:jc w:val="center"/>
        </w:trPr>
        <w:tc>
          <w:tcPr>
            <w:tcW w:w="3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2"/>
                <w:szCs w:val="22"/>
              </w:rPr>
              <w:t>成本指标（10分）</w:t>
            </w:r>
          </w:p>
        </w:tc>
        <w:tc>
          <w:tcPr>
            <w:tcW w:w="2126" w:type="dxa"/>
            <w:gridSpan w:val="3"/>
            <w:tcBorders>
              <w:top w:val="single" w:color="auto" w:sz="4" w:space="0"/>
              <w:left w:val="nil"/>
              <w:bottom w:val="single" w:color="auto" w:sz="4" w:space="0"/>
              <w:right w:val="single" w:color="auto" w:sz="4" w:space="0"/>
            </w:tcBorders>
            <w:noWrap/>
            <w:vAlign w:val="center"/>
          </w:tcPr>
          <w:p>
            <w:pPr>
              <w:widowControl/>
              <w:ind w:firstLine="480" w:firstLineChars="200"/>
              <w:rPr>
                <w:rFonts w:ascii="宋体" w:hAnsi="宋体"/>
                <w:sz w:val="24"/>
              </w:rPr>
            </w:pPr>
            <w:r>
              <w:rPr>
                <w:rFonts w:hint="eastAsia" w:ascii="宋体" w:hAnsi="宋体"/>
                <w:sz w:val="24"/>
              </w:rPr>
              <w:t>300万</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300万</w:t>
            </w:r>
          </w:p>
        </w:tc>
        <w:tc>
          <w:tcPr>
            <w:tcW w:w="119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299.3</w:t>
            </w:r>
          </w:p>
        </w:tc>
        <w:tc>
          <w:tcPr>
            <w:tcW w:w="4418" w:type="dxa"/>
            <w:gridSpan w:val="4"/>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9.98</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772" w:hRule="atLeast"/>
          <w:jc w:val="center"/>
        </w:trPr>
        <w:tc>
          <w:tcPr>
            <w:tcW w:w="3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为</w:t>
            </w:r>
            <w:r>
              <w:rPr>
                <w:rFonts w:hint="eastAsia" w:ascii="宋体" w:hAnsi="宋体" w:cs="宋体"/>
                <w:color w:val="000000"/>
                <w:kern w:val="0"/>
                <w:sz w:val="24"/>
              </w:rPr>
              <w:t>食药所、城管分队</w:t>
            </w:r>
            <w:r>
              <w:rPr>
                <w:rFonts w:hint="eastAsia" w:ascii="宋体" w:hAnsi="宋体"/>
                <w:sz w:val="24"/>
              </w:rPr>
              <w:t>正常运转提供保障，促进节约型政府机关建设。</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为乡机关正常运转提供保障，促进节约型政府机关建设。</w:t>
            </w:r>
          </w:p>
        </w:tc>
        <w:tc>
          <w:tcPr>
            <w:tcW w:w="119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4418"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Cs w:val="21"/>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rPr>
          <w:trHeight w:val="1792" w:hRule="atLeast"/>
          <w:jc w:val="center"/>
        </w:trPr>
        <w:tc>
          <w:tcPr>
            <w:tcW w:w="3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25"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就机关选址是否具备稳定性、延续性、开展工作便利性向机关内部进行满意度调查</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gridSpan w:val="2"/>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cs="宋体"/>
                <w:sz w:val="24"/>
              </w:rPr>
              <w:t>依据好评率判断</w:t>
            </w:r>
          </w:p>
        </w:tc>
        <w:tc>
          <w:tcPr>
            <w:tcW w:w="119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好评率达90%</w:t>
            </w:r>
          </w:p>
        </w:tc>
        <w:tc>
          <w:tcPr>
            <w:tcW w:w="4418"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同效益指标得分计算方式。1.若为定性指标，则根据“四档”原则分别按照指标分值的100-90%(含90%)、90-75%(含75%)、75-60%（含60%）、60-0%来记分。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Cs w:val="21"/>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258" w:hRule="atLeast"/>
          <w:jc w:val="center"/>
        </w:trPr>
        <w:tc>
          <w:tcPr>
            <w:tcW w:w="12228" w:type="dxa"/>
            <w:gridSpan w:val="16"/>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94.88</w:t>
            </w:r>
          </w:p>
        </w:tc>
      </w:tr>
      <w:tr>
        <w:trPr>
          <w:trHeight w:val="312" w:hRule="atLeast"/>
          <w:jc w:val="center"/>
        </w:trPr>
        <w:tc>
          <w:tcPr>
            <w:tcW w:w="15205" w:type="dxa"/>
            <w:gridSpan w:val="18"/>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rPr>
          <w:trHeight w:val="728" w:hRule="atLeast"/>
          <w:jc w:val="center"/>
        </w:trPr>
        <w:tc>
          <w:tcPr>
            <w:tcW w:w="15205" w:type="dxa"/>
            <w:gridSpan w:val="18"/>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95" w:hRule="atLeast"/>
          <w:jc w:val="center"/>
        </w:trPr>
        <w:tc>
          <w:tcPr>
            <w:tcW w:w="15205" w:type="dxa"/>
            <w:gridSpan w:val="18"/>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rPr>
          <w:trHeight w:val="99" w:hRule="atLeast"/>
          <w:jc w:val="center"/>
        </w:trPr>
        <w:tc>
          <w:tcPr>
            <w:tcW w:w="15205" w:type="dxa"/>
            <w:gridSpan w:val="18"/>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pacing w:line="480" w:lineRule="exact"/>
        <w:rPr>
          <w:rFonts w:ascii="仿宋_GB2312" w:eastAsia="仿宋_GB2312"/>
          <w:sz w:val="32"/>
          <w:szCs w:val="32"/>
        </w:rPr>
      </w:pPr>
    </w:p>
    <w:p>
      <w:pPr>
        <w:sectPr>
          <w:type w:val="continuous"/>
          <w:pgSz w:w="16838" w:h="11906" w:orient="landscape"/>
          <w:pgMar w:top="1440" w:right="1803" w:bottom="1440" w:left="1803" w:header="851" w:footer="992" w:gutter="0"/>
          <w:cols w:space="720" w:num="1"/>
          <w:docGrid w:type="lines" w:linePitch="312" w:charSpace="0"/>
        </w:sectPr>
      </w:pPr>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（表4）</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9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事业发展</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ind w:firstLine="440" w:firstLineChars="200"/>
              <w:textAlignment w:val="center"/>
              <w:rPr>
                <w:rFonts w:ascii="宋体" w:hAnsi="宋体" w:cs="宋体"/>
                <w:color w:val="000000"/>
                <w:sz w:val="22"/>
                <w:szCs w:val="22"/>
              </w:rPr>
            </w:pPr>
            <w:r>
              <w:rPr>
                <w:rFonts w:hint="eastAsia" w:ascii="宋体" w:hAnsi="宋体" w:cs="宋体"/>
                <w:color w:val="000000"/>
                <w:kern w:val="0"/>
                <w:sz w:val="22"/>
                <w:szCs w:val="22"/>
                <w:lang w:bidi="ar"/>
              </w:rPr>
              <w:t>1113.91</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2"/>
                <w:szCs w:val="22"/>
                <w:lang w:bidi="ar"/>
              </w:rPr>
              <w:t>1113.91</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ind w:firstLine="440" w:firstLineChars="200"/>
              <w:jc w:val="left"/>
              <w:rPr>
                <w:rFonts w:ascii="宋体" w:hAnsi="宋体"/>
                <w:sz w:val="24"/>
              </w:rPr>
            </w:pPr>
            <w:r>
              <w:rPr>
                <w:rFonts w:hint="eastAsia" w:ascii="宋体" w:hAnsi="宋体" w:cs="宋体"/>
                <w:color w:val="000000"/>
                <w:kern w:val="0"/>
                <w:sz w:val="22"/>
                <w:szCs w:val="22"/>
                <w:lang w:bidi="ar"/>
              </w:rPr>
              <w:t>1113.91</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2"/>
                <w:szCs w:val="22"/>
                <w:lang w:bidi="ar"/>
              </w:rPr>
              <w:t>1113.91</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w:t>
            </w:r>
            <w:r>
              <w:rPr>
                <w:rFonts w:hint="eastAsia" w:ascii="宋体" w:hAnsi="宋体" w:cs="宋体"/>
                <w:color w:val="000000"/>
                <w:kern w:val="0"/>
                <w:sz w:val="24"/>
              </w:rPr>
              <w:t>促进地区各项事业发展，推进地区政治生态、经济发展、生态文明以及民生福祉取得新进展新成效</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充分发挥安全员、各类协管员、巡查队、退休党员、村干部等人员作用，并通过购买保安服务，有效解决地区综治、环境问题；2、大力开展走访慰问，开展计生老龄关爱活动，多渠道开展文化宣传教育，提升地区居民文明素养；3、支持各村、社区基层党建，分情况为基层党委配置或修缮基层公共设施；4、深化政府效能改革，推进政府购买专业服务，建设节约型机关。</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116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2"/>
                <w:szCs w:val="21"/>
              </w:rPr>
              <w:t>按月或按季度安全员劳务派遣服务费，发放各类协管员、巡查队、退休党员、村干部等人员补贴，支付保安服务费</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2"/>
                <w:szCs w:val="22"/>
              </w:rPr>
            </w:pPr>
            <w:r>
              <w:rPr>
                <w:rFonts w:ascii="宋体" w:hAnsi="宋体" w:cs="宋体"/>
                <w:sz w:val="22"/>
                <w:szCs w:val="22"/>
              </w:rPr>
              <w:t>开展</w:t>
            </w:r>
            <w:r>
              <w:rPr>
                <w:rFonts w:hint="eastAsia" w:ascii="宋体" w:hAnsi="宋体" w:cs="宋体"/>
                <w:sz w:val="22"/>
                <w:szCs w:val="22"/>
              </w:rPr>
              <w:t>暖心慰问、</w:t>
            </w:r>
            <w:r>
              <w:rPr>
                <w:rFonts w:ascii="宋体" w:hAnsi="宋体" w:cs="宋体"/>
                <w:sz w:val="22"/>
                <w:szCs w:val="22"/>
              </w:rPr>
              <w:t>老龄关爱</w:t>
            </w:r>
            <w:r>
              <w:rPr>
                <w:rFonts w:hint="eastAsia" w:ascii="宋体" w:hAnsi="宋体" w:cs="宋体"/>
                <w:sz w:val="22"/>
                <w:szCs w:val="22"/>
              </w:rPr>
              <w:t>、计生奖励发放工作</w:t>
            </w:r>
            <w:r>
              <w:rPr>
                <w:rFonts w:ascii="宋体" w:hAnsi="宋体" w:cs="宋体"/>
                <w:sz w:val="22"/>
                <w:szCs w:val="22"/>
              </w:rPr>
              <w:t>，开展</w:t>
            </w:r>
            <w:r>
              <w:rPr>
                <w:rFonts w:hint="eastAsia" w:ascii="宋体" w:hAnsi="宋体" w:cs="宋体"/>
                <w:sz w:val="22"/>
                <w:szCs w:val="22"/>
              </w:rPr>
              <w:t>中顶庙、五月的鲜花等活动，多渠道开展</w:t>
            </w:r>
            <w:r>
              <w:rPr>
                <w:rFonts w:ascii="宋体" w:hAnsi="宋体" w:cs="宋体"/>
                <w:sz w:val="22"/>
                <w:szCs w:val="22"/>
              </w:rPr>
              <w:t>宣传教育</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不少于10次</w:t>
            </w:r>
          </w:p>
        </w:tc>
        <w:tc>
          <w:tcPr>
            <w:tcW w:w="1198" w:type="dxa"/>
            <w:tcBorders>
              <w:top w:val="single" w:color="auto" w:sz="4" w:space="0"/>
              <w:left w:val="nil"/>
              <w:bottom w:val="single" w:color="auto" w:sz="4" w:space="0"/>
              <w:right w:val="single" w:color="auto" w:sz="4" w:space="0"/>
            </w:tcBorders>
            <w:noWrap/>
            <w:vAlign w:val="center"/>
          </w:tcPr>
          <w:p>
            <w:pPr>
              <w:rPr>
                <w:rFonts w:ascii="宋体" w:hAnsi="宋体"/>
                <w:sz w:val="24"/>
              </w:rPr>
            </w:pPr>
            <w:r>
              <w:rPr>
                <w:rFonts w:hint="eastAsia" w:ascii="宋体" w:hAnsi="宋体"/>
                <w:sz w:val="24"/>
              </w:rPr>
              <w:t>26次</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hint="eastAsia" w:ascii="宋体" w:hAnsi="宋体" w:cs="宋体"/>
                <w:sz w:val="22"/>
                <w:szCs w:val="22"/>
              </w:rPr>
              <w:t>拨付各单位党建经费，为有需求的单位安装电动车集中充电装置、修缮社区共有设施</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12个月</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hint="eastAsia" w:ascii="宋体" w:hAnsi="宋体" w:cs="宋体"/>
                <w:sz w:val="22"/>
                <w:szCs w:val="22"/>
              </w:rPr>
              <w:t>维持政府正常运转，购买审计、绩效评价、法律服务、咨询等专业服务</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购买服务不少于10次</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15次</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7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活动覆盖率</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7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基层单位覆盖率</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2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2020年4月底前支出</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2020年4月底前支出</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1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1500</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1500</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82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推进地区政治生态、经济发展、生态文明以及民生福祉取得新进展新成效</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促进机关工作顺利开展</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较为圆满完成目标</w:t>
            </w:r>
          </w:p>
        </w:tc>
        <w:tc>
          <w:tcPr>
            <w:tcW w:w="2806"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Cs w:val="21"/>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sz w:val="22"/>
                <w:szCs w:val="22"/>
              </w:rPr>
              <w:t>就地区基层单位、群众受益满意度进行访谈</w:t>
            </w:r>
          </w:p>
        </w:tc>
        <w:tc>
          <w:tcPr>
            <w:tcW w:w="851"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ascii="宋体" w:hAnsi="宋体"/>
                <w:sz w:val="22"/>
                <w:szCs w:val="22"/>
              </w:rPr>
              <w:t>20</w:t>
            </w:r>
          </w:p>
        </w:tc>
        <w:tc>
          <w:tcPr>
            <w:tcW w:w="1382" w:type="dxa"/>
            <w:tcBorders>
              <w:top w:val="nil"/>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sz w:val="22"/>
                <w:szCs w:val="22"/>
              </w:rPr>
              <w:t>好评率定性测量</w:t>
            </w:r>
          </w:p>
        </w:tc>
        <w:tc>
          <w:tcPr>
            <w:tcW w:w="1198" w:type="dxa"/>
            <w:tcBorders>
              <w:top w:val="nil"/>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好评率达90%</w:t>
            </w:r>
          </w:p>
        </w:tc>
        <w:tc>
          <w:tcPr>
            <w:tcW w:w="2806"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96</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
    <w:p/>
    <w:p/>
    <w:p/>
    <w:p/>
    <w:p/>
    <w:p>
      <w:pPr>
        <w:sectPr>
          <w:type w:val="continuous"/>
          <w:pgSz w:w="16838" w:h="11906" w:orient="landscape"/>
          <w:pgMar w:top="1440" w:right="1803" w:bottom="1440"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（表5）</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2015、2016年大红门地区农村集体产业疏解转型第三年租金补贴</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2715.66</w:t>
            </w:r>
          </w:p>
        </w:tc>
        <w:tc>
          <w:tcPr>
            <w:tcW w:w="1198"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2715.66</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2715.66</w:t>
            </w:r>
          </w:p>
        </w:tc>
        <w:tc>
          <w:tcPr>
            <w:tcW w:w="1198"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2715.66</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w:t>
            </w:r>
            <w:r>
              <w:rPr>
                <w:rFonts w:hint="eastAsia"/>
                <w:szCs w:val="21"/>
              </w:rPr>
              <w:t>为深入开展疏解整治促提升工作，</w:t>
            </w:r>
            <w:r>
              <w:rPr>
                <w:rFonts w:hint="eastAsia" w:ascii="宋体" w:hAnsi="宋体" w:cs="宋体"/>
                <w:color w:val="000000"/>
                <w:kern w:val="0"/>
                <w:szCs w:val="21"/>
              </w:rPr>
              <w:t>下拨集体产业疏解转型第三年租金补贴至相关集体经济组织，缓解大红门地区农村集体经济过渡期经济压力，巩固疏整促成果。</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2"/>
                <w:szCs w:val="22"/>
              </w:rPr>
              <w:t>年度总体目标完成情况综述：</w:t>
            </w:r>
            <w:r>
              <w:rPr>
                <w:rFonts w:hint="eastAsia" w:ascii="宋体" w:hAnsi="宋体" w:cs="宋体"/>
                <w:color w:val="000000"/>
                <w:kern w:val="0"/>
                <w:sz w:val="24"/>
              </w:rPr>
              <w:t>按照前期申报的租金补贴方案，将专项资金足额拨付到南苑村、东罗园村、时村村，用于集体经济组织资金周转。</w:t>
            </w:r>
          </w:p>
          <w:p>
            <w:pPr>
              <w:widowControl/>
              <w:rPr>
                <w:rFonts w:ascii="宋体" w:hAnsi="宋体" w:cs="宋体"/>
                <w:color w:val="000000"/>
                <w:kern w:val="0"/>
                <w:sz w:val="24"/>
              </w:rPr>
            </w:pP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bidi="ar"/>
              </w:rPr>
              <w:t>南苑村关停补贴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5</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667.82万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667.82万</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东罗园村关停补贴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5</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404.05万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404.05万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时村村关停补贴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1643.79万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1643.79万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严格执行三重一大程序了，足额发放资金</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拨付比例100%</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拨付比例100%</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Cs w:val="21"/>
              </w:rPr>
            </w:pPr>
            <w:r>
              <w:rPr>
                <w:rFonts w:hint="eastAsia" w:ascii="宋体" w:hAnsi="宋体" w:cs="宋体"/>
                <w:color w:val="000000"/>
                <w:kern w:val="0"/>
                <w:szCs w:val="21"/>
              </w:rPr>
              <w:t>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sz w:val="22"/>
                <w:szCs w:val="22"/>
              </w:rPr>
              <w:t>发放时间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cs="宋体"/>
                <w:color w:val="000000"/>
                <w:kern w:val="0"/>
                <w:sz w:val="24"/>
              </w:rPr>
              <w:t>当年12月前完成发放</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当年12月前完成发放</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2715.66万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2715.66万</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1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巩固非首都功能疏解成绩</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缓解集体经济组织疏解压力</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30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经济效益</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缓解乡村集体经济组织经济压力</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一定程度上弥补集体经济组织租金收入损失</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对三个行政村进行满意度调查</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1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96</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type w:val="continuous"/>
          <w:pgSz w:w="16838" w:h="11906" w:orient="landscape"/>
          <w:pgMar w:top="1440" w:right="1803" w:bottom="1213" w:left="1803" w:header="851" w:footer="992" w:gutter="0"/>
          <w:cols w:space="720" w:num="1"/>
          <w:docGrid w:type="lines" w:linePitch="312" w:charSpace="0"/>
        </w:sectPr>
      </w:pPr>
    </w:p>
    <w:p>
      <w:pPr>
        <w:sectPr>
          <w:type w:val="continuous"/>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（表6）</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2016年10月至2017年10月期间完成疏解转型的大红门地区农村集体产业奖励资金</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4886.02</w:t>
            </w:r>
          </w:p>
        </w:tc>
        <w:tc>
          <w:tcPr>
            <w:tcW w:w="1198"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4886.02</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4886.02</w:t>
            </w:r>
          </w:p>
        </w:tc>
        <w:tc>
          <w:tcPr>
            <w:tcW w:w="1198"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4886.02</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为缓解大红门地区乡村集体经济组织疏解过渡期经济压力，确保集体产业平稳过渡，依据《大红门地区农村集体产业疏解转型奖励办法（暂行）》（疏解办文〔2016〕9 号），申报2018年、2019年大红门地区农村集体产业疏解专项资金。</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2"/>
                <w:szCs w:val="22"/>
              </w:rPr>
              <w:t>年度总体目标完成情况综述：将2018年奖励资金2610.62万元，2019年租金补贴2275.4万元，分别拨付到大红门村、东罗园村、果园村、时村、中苑盛世五家集体经济组织。</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bidi="ar"/>
              </w:rPr>
              <w:t>大红门村补贴</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1896万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1896万</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77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东罗园村补贴</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2</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152.4万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152.4万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2</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果园村补贴</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2044.42万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2044.42万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时村村补贴</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4</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446万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446万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4</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中苑盛世公司补贴</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4</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347.2万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347.2万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4</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严格执行三重一大程序了，足额发放资金</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拨付比例100%</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拨付比例100%</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sz w:val="22"/>
                <w:szCs w:val="22"/>
              </w:rPr>
              <w:t>发放时间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cs="宋体"/>
                <w:color w:val="000000"/>
                <w:kern w:val="0"/>
                <w:sz w:val="24"/>
              </w:rPr>
              <w:t>12月前完成发放</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12月前完成发放</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10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4886.02万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4886.02万</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06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巩固非首都功能疏解成绩</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缓解集体经济组织疏解压力</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5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经济效益</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奖励乡村集体经济组织疏解工作成绩</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一定程度上弥补集体经济组织租金收入损失</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8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对三个行政村进行满意度调查</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满意度95%</w:t>
            </w:r>
          </w:p>
        </w:tc>
        <w:tc>
          <w:tcPr>
            <w:tcW w:w="2959"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35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97</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（表7）</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区域性市场及仓储物流设施疏解专项资金</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1120.934</w:t>
            </w:r>
          </w:p>
        </w:tc>
        <w:tc>
          <w:tcPr>
            <w:tcW w:w="1198" w:type="dxa"/>
            <w:tcBorders>
              <w:top w:val="nil"/>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kern w:val="0"/>
                <w:sz w:val="22"/>
                <w:szCs w:val="22"/>
                <w:lang w:bidi="ar"/>
              </w:rPr>
              <w:t>1120.934</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22"/>
                <w:szCs w:val="22"/>
                <w:lang w:bidi="ar"/>
              </w:rPr>
              <w:t>1120.934</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22"/>
                <w:szCs w:val="22"/>
                <w:lang w:bidi="ar"/>
              </w:rPr>
              <w:t>1120.934</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w:t>
            </w:r>
            <w:r>
              <w:rPr>
                <w:rFonts w:hint="eastAsia"/>
                <w:szCs w:val="21"/>
              </w:rPr>
              <w:t>为深入开展疏解整治促提升工作，区域性市场及仓储物流设施疏解专项资金</w:t>
            </w:r>
            <w:r>
              <w:rPr>
                <w:rFonts w:hint="eastAsia" w:ascii="宋体" w:hAnsi="宋体" w:cs="宋体"/>
                <w:color w:val="000000"/>
                <w:kern w:val="0"/>
                <w:szCs w:val="21"/>
              </w:rPr>
              <w:t>至相关集体经济组织，缓解大红门地区农村集体经济过渡期经济压力，巩固疏整促成果。</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2"/>
                <w:szCs w:val="22"/>
              </w:rPr>
              <w:t>年度总体目标完成情况综述：根据前期疏解测算结果，将专项资金足额拨付到果园村、右安门村、时村村，用于集体经济组织资金周转</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bidi="ar"/>
              </w:rPr>
              <w:t>果园村疏解专项资金</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1054.4万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1054.4万</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7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右安门村疏解专项资金</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5</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53.34万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53.34万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时村村疏解专项资金</w:t>
            </w:r>
          </w:p>
        </w:tc>
        <w:tc>
          <w:tcPr>
            <w:tcW w:w="85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2"/>
                <w:szCs w:val="22"/>
              </w:rPr>
            </w:pPr>
            <w:r>
              <w:rPr>
                <w:rFonts w:hint="eastAsia" w:ascii="宋体" w:hAnsi="宋体" w:cs="宋体"/>
                <w:color w:val="000000"/>
                <w:kern w:val="0"/>
                <w:sz w:val="24"/>
                <w:lang w:bidi="ar"/>
              </w:rPr>
              <w:t>5</w:t>
            </w:r>
          </w:p>
        </w:tc>
        <w:tc>
          <w:tcPr>
            <w:tcW w:w="1382"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13.194万</w:t>
            </w:r>
          </w:p>
        </w:tc>
        <w:tc>
          <w:tcPr>
            <w:tcW w:w="1198"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13.194万</w:t>
            </w:r>
          </w:p>
        </w:tc>
        <w:tc>
          <w:tcPr>
            <w:tcW w:w="2959"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严格执行三重一大程序了，足额发放资金</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拨付比例100%</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拨付比例100%</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sz w:val="22"/>
                <w:szCs w:val="22"/>
              </w:rPr>
              <w:t>发放时间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2"/>
                <w:szCs w:val="22"/>
              </w:rPr>
            </w:pPr>
            <w:r>
              <w:rPr>
                <w:rFonts w:hint="eastAsia" w:ascii="宋体" w:hAnsi="宋体" w:cs="宋体"/>
                <w:color w:val="000000"/>
                <w:kern w:val="0"/>
                <w:sz w:val="24"/>
              </w:rPr>
              <w:t>12月前完成发放</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12月前完成发放</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24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2"/>
                <w:szCs w:val="22"/>
              </w:rPr>
            </w:pPr>
            <w:r>
              <w:rPr>
                <w:rFonts w:hint="eastAsia" w:ascii="宋体" w:hAnsi="宋体" w:cs="宋体"/>
                <w:kern w:val="0"/>
                <w:sz w:val="22"/>
                <w:szCs w:val="22"/>
                <w:lang w:bidi="ar"/>
              </w:rPr>
              <w:t>1120.934万</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22"/>
                <w:szCs w:val="22"/>
                <w:lang w:bidi="ar"/>
              </w:rPr>
              <w:t>1120.934万</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1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巩固非首都功能疏解成绩</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缓解集体经济组织疏解压力</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30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经济效益</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奖励乡村集体经济组织疏解工作成绩</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一定程度上弥补集体经济组织租金收入损失</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对三个行政村进行满意度调查</w:t>
            </w:r>
          </w:p>
        </w:tc>
        <w:tc>
          <w:tcPr>
            <w:tcW w:w="851" w:type="dxa"/>
            <w:tcBorders>
              <w:top w:val="nil"/>
              <w:left w:val="nil"/>
              <w:bottom w:val="single" w:color="auto" w:sz="4" w:space="0"/>
              <w:right w:val="single" w:color="auto" w:sz="4" w:space="0"/>
            </w:tcBorders>
            <w:noWrap/>
            <w:vAlign w:val="center"/>
          </w:tcPr>
          <w:p>
            <w:pPr>
              <w:widowControl/>
              <w:jc w:val="center"/>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1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95</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
    <w:p>
      <w:pPr>
        <w:sectPr>
          <w:type w:val="continuous"/>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bCs/>
                <w:color w:val="000000"/>
                <w:kern w:val="0"/>
                <w:sz w:val="32"/>
                <w:szCs w:val="32"/>
              </w:rPr>
            </w:pPr>
            <w:r>
              <w:rPr>
                <w:rFonts w:hint="eastAsia" w:ascii="方正小标宋简体" w:hAnsi="黑体" w:eastAsia="方正小标宋简体" w:cs="宋体"/>
                <w:bCs/>
                <w:color w:val="000000"/>
                <w:kern w:val="0"/>
                <w:sz w:val="32"/>
                <w:szCs w:val="32"/>
              </w:rPr>
              <w:t xml:space="preserve">    </w:t>
            </w:r>
          </w:p>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（表8）</w:t>
            </w:r>
          </w:p>
        </w:tc>
      </w:tr>
      <w:tr>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城乡基层党组织服务群众经费</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sz w:val="22"/>
                <w:szCs w:val="22"/>
              </w:rPr>
            </w:pPr>
            <w:r>
              <w:rPr>
                <w:rFonts w:hint="eastAsia" w:ascii="宋体" w:hAnsi="宋体" w:cs="宋体"/>
                <w:color w:val="000000"/>
                <w:kern w:val="0"/>
                <w:sz w:val="24"/>
              </w:rPr>
              <w:t>　260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253.72</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97.6%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9.76</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253.72　</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97.6%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9.76</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通过使用城乡基层党组织服务群众经费，突出基层党组织的政治属性，强化党组织的政治功能，提升组织力。使用中坚持厉行节约、反对浪费的原则。</w:t>
            </w:r>
          </w:p>
        </w:tc>
        <w:tc>
          <w:tcPr>
            <w:tcW w:w="698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年度总体目标完成情况综述：</w:t>
            </w:r>
            <w:r>
              <w:rPr>
                <w:rFonts w:hint="eastAsia" w:ascii="宋体" w:hAnsi="宋体" w:cs="宋体"/>
                <w:color w:val="000000"/>
                <w:kern w:val="0"/>
                <w:sz w:val="24"/>
              </w:rPr>
              <w:t>通过开展</w:t>
            </w:r>
            <w:r>
              <w:rPr>
                <w:rFonts w:ascii="宋体" w:hAnsi="宋体" w:cs="宋体"/>
                <w:color w:val="000000"/>
                <w:kern w:val="0"/>
                <w:sz w:val="24"/>
              </w:rPr>
              <w:t>便民服务类</w:t>
            </w:r>
            <w:r>
              <w:rPr>
                <w:rFonts w:hint="eastAsia" w:ascii="宋体" w:hAnsi="宋体" w:cs="宋体"/>
                <w:color w:val="000000"/>
                <w:kern w:val="0"/>
                <w:sz w:val="24"/>
              </w:rPr>
              <w:t>、</w:t>
            </w:r>
            <w:r>
              <w:rPr>
                <w:rFonts w:ascii="宋体" w:hAnsi="宋体" w:cs="宋体"/>
                <w:color w:val="000000"/>
                <w:kern w:val="0"/>
                <w:sz w:val="24"/>
              </w:rPr>
              <w:t>志愿公益类</w:t>
            </w:r>
            <w:r>
              <w:rPr>
                <w:rFonts w:hint="eastAsia" w:ascii="宋体" w:hAnsi="宋体" w:cs="宋体"/>
                <w:color w:val="000000"/>
                <w:kern w:val="0"/>
                <w:sz w:val="24"/>
              </w:rPr>
              <w:t>、</w:t>
            </w:r>
            <w:r>
              <w:rPr>
                <w:rFonts w:ascii="宋体" w:hAnsi="宋体" w:cs="宋体"/>
                <w:color w:val="000000"/>
                <w:kern w:val="0"/>
                <w:sz w:val="24"/>
              </w:rPr>
              <w:t>群众活动类</w:t>
            </w:r>
            <w:r>
              <w:rPr>
                <w:rFonts w:hint="eastAsia" w:ascii="宋体" w:hAnsi="宋体" w:cs="宋体"/>
                <w:color w:val="000000"/>
                <w:kern w:val="0"/>
                <w:sz w:val="24"/>
              </w:rPr>
              <w:t>、</w:t>
            </w:r>
            <w:r>
              <w:rPr>
                <w:rFonts w:ascii="宋体" w:hAnsi="宋体" w:cs="宋体"/>
                <w:color w:val="000000"/>
                <w:kern w:val="0"/>
                <w:sz w:val="24"/>
              </w:rPr>
              <w:t>关爱帮扶类</w:t>
            </w:r>
            <w:r>
              <w:rPr>
                <w:rFonts w:hint="eastAsia" w:ascii="宋体" w:hAnsi="宋体" w:cs="宋体"/>
                <w:color w:val="000000"/>
                <w:kern w:val="0"/>
                <w:sz w:val="24"/>
              </w:rPr>
              <w:t>、</w:t>
            </w:r>
            <w:r>
              <w:rPr>
                <w:rFonts w:ascii="宋体" w:hAnsi="宋体" w:cs="宋体"/>
                <w:color w:val="000000"/>
                <w:kern w:val="0"/>
                <w:sz w:val="24"/>
              </w:rPr>
              <w:t>服务保障类</w:t>
            </w:r>
            <w:r>
              <w:rPr>
                <w:rFonts w:hint="eastAsia" w:ascii="宋体" w:hAnsi="宋体" w:cs="宋体"/>
                <w:color w:val="000000"/>
                <w:kern w:val="0"/>
                <w:sz w:val="24"/>
              </w:rPr>
              <w:t>、</w:t>
            </w:r>
            <w:r>
              <w:rPr>
                <w:rFonts w:ascii="宋体" w:hAnsi="宋体" w:cs="宋体"/>
                <w:color w:val="000000"/>
                <w:kern w:val="0"/>
                <w:sz w:val="24"/>
              </w:rPr>
              <w:t>居民群众迫切需要提供的其他服务事项</w:t>
            </w:r>
            <w:r>
              <w:rPr>
                <w:rFonts w:hint="eastAsia" w:ascii="宋体" w:hAnsi="宋体" w:cs="宋体"/>
                <w:color w:val="000000"/>
                <w:kern w:val="0"/>
                <w:sz w:val="24"/>
              </w:rPr>
              <w:t>等活动，</w:t>
            </w:r>
            <w:r>
              <w:rPr>
                <w:rFonts w:ascii="宋体" w:hAnsi="宋体" w:cs="宋体"/>
                <w:color w:val="000000"/>
                <w:kern w:val="0"/>
                <w:sz w:val="24"/>
              </w:rPr>
              <w:t>提升基层党组织服务水平。</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项目数量</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开展活动不少于30场　</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34场</w:t>
            </w:r>
          </w:p>
        </w:tc>
        <w:tc>
          <w:tcPr>
            <w:tcW w:w="2959"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基层单位覆盖</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20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覆盖全乡15个基层单位</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全部覆盖</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20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　完成时间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2"/>
                <w:szCs w:val="22"/>
              </w:rPr>
            </w:pPr>
            <w:r>
              <w:rPr>
                <w:rFonts w:hint="eastAsia" w:ascii="宋体" w:hAnsi="宋体" w:cs="宋体"/>
                <w:color w:val="000000"/>
                <w:kern w:val="0"/>
                <w:sz w:val="24"/>
              </w:rPr>
              <w:t>11月底完成</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11月底完成</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24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预算控制数</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sz w:val="22"/>
                <w:szCs w:val="22"/>
              </w:rPr>
            </w:pPr>
            <w:r>
              <w:rPr>
                <w:rFonts w:hint="eastAsia" w:ascii="宋体" w:hAnsi="宋体" w:cs="宋体"/>
                <w:color w:val="000000"/>
                <w:kern w:val="0"/>
                <w:sz w:val="24"/>
              </w:rPr>
              <w:t>260</w:t>
            </w:r>
          </w:p>
        </w:tc>
        <w:tc>
          <w:tcPr>
            <w:tcW w:w="119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253.72</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9.76</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1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提高党组织服务能，密切党组织与群众联系。</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一定程度解决群众身边问题，</w:t>
            </w:r>
            <w:r>
              <w:rPr>
                <w:rFonts w:hint="eastAsia" w:ascii="宋体" w:hAnsi="宋体" w:cs="宋体"/>
                <w:color w:val="000000"/>
                <w:kern w:val="0"/>
                <w:sz w:val="24"/>
              </w:rPr>
              <w:t>提升基层治理能力</w:t>
            </w:r>
            <w:r>
              <w:rPr>
                <w:rFonts w:hint="eastAsia" w:ascii="宋体" w:hAnsi="宋体"/>
                <w:sz w:val="24"/>
              </w:rPr>
              <w:t>。</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7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解决群众身边环境问题。</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达到一定预期目标</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rPr>
          <w:trHeight w:val="90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群众满意度</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10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rPr>
          <w:trHeight w:val="922"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党员满意度</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10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1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97.52</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type w:val="continuous"/>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（表9）</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2019年木樨园长途客运站疏解补助资金</w:t>
            </w:r>
          </w:p>
        </w:tc>
      </w:tr>
      <w:tr>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sz w:val="22"/>
                <w:szCs w:val="22"/>
              </w:rPr>
            </w:pPr>
            <w:r>
              <w:rPr>
                <w:rFonts w:ascii="宋体" w:hAnsi="宋体" w:cs="宋体"/>
                <w:color w:val="000000"/>
                <w:kern w:val="0"/>
                <w:sz w:val="24"/>
              </w:rPr>
              <w:t>2165.75</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2165.75</w:t>
            </w:r>
            <w:r>
              <w:rPr>
                <w:rFonts w:hint="eastAsia" w:ascii="宋体" w:hAnsi="宋体" w:cs="宋体"/>
                <w:color w:val="000000"/>
                <w:kern w:val="0"/>
                <w:sz w:val="24"/>
              </w:rPr>
              <w:t>　</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100%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w:t>2165.75</w:t>
            </w:r>
            <w:r>
              <w:rPr>
                <w:rFonts w:hint="eastAsia" w:ascii="宋体" w:hAnsi="宋体" w:cs="宋体"/>
                <w:color w:val="000000"/>
                <w:kern w:val="0"/>
                <w:sz w:val="24"/>
              </w:rPr>
              <w:t>　</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2165.75</w:t>
            </w:r>
            <w:r>
              <w:rPr>
                <w:rFonts w:hint="eastAsia" w:ascii="宋体" w:hAnsi="宋体" w:cs="宋体"/>
                <w:color w:val="000000"/>
                <w:kern w:val="0"/>
                <w:sz w:val="24"/>
              </w:rPr>
              <w:t>　</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100%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通过申请拨付2165.75万元补助资金，保障疏解过渡期企业安置职工和企业关停后的正常开支，维护辖区稳定。</w:t>
            </w:r>
          </w:p>
        </w:tc>
        <w:tc>
          <w:tcPr>
            <w:tcW w:w="698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年度总体目标完成情况综述：根据前期申报方案，全额拨付补助资金至对应企业，基本保障企业安置职工和企业关停后的正常开支。</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原木樨园长途客运站职工安置</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补贴职工人数708人</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补贴职工人数708人</w:t>
            </w:r>
          </w:p>
        </w:tc>
        <w:tc>
          <w:tcPr>
            <w:tcW w:w="2959"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严格履行三重一大程序，及时足额拨至相关单位。</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及时足额拨付，专款专用</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实现预定目标</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　完成时间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2"/>
                <w:szCs w:val="22"/>
              </w:rPr>
            </w:pPr>
            <w:r>
              <w:rPr>
                <w:rFonts w:hint="eastAsia" w:ascii="宋体" w:hAnsi="宋体" w:cs="宋体"/>
                <w:color w:val="000000"/>
                <w:kern w:val="0"/>
                <w:sz w:val="24"/>
              </w:rPr>
              <w:t>6月底前拨至相关单位</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sz w:val="22"/>
                <w:szCs w:val="22"/>
              </w:rPr>
              <w:t>2月拨付</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24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预算控制数</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sz w:val="22"/>
                <w:szCs w:val="22"/>
              </w:rPr>
            </w:pPr>
            <w:r>
              <w:rPr>
                <w:rFonts w:ascii="宋体" w:hAnsi="宋体" w:cs="宋体"/>
                <w:color w:val="000000"/>
                <w:kern w:val="0"/>
                <w:sz w:val="24"/>
              </w:rPr>
              <w:t>2165.75</w:t>
            </w:r>
            <w:r>
              <w:rPr>
                <w:rFonts w:hint="eastAsia" w:ascii="宋体" w:hAnsi="宋体" w:cs="宋体"/>
                <w:color w:val="000000"/>
                <w:kern w:val="0"/>
                <w:sz w:val="24"/>
              </w:rPr>
              <w:t>万</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2165.75</w:t>
            </w:r>
            <w:r>
              <w:rPr>
                <w:rFonts w:hint="eastAsia" w:ascii="宋体" w:hAnsi="宋体" w:cs="宋体"/>
                <w:color w:val="000000"/>
                <w:kern w:val="0"/>
                <w:sz w:val="24"/>
              </w:rPr>
              <w:t>万</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1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保障疏解企业职工过渡期基本生活，维护辖区稳定</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较好实现目标</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7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巩固疏解成效，改善交通拥堵状况。</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达到一定预期目标</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对相应企业组织座谈，进行满意度调查</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1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97</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
      <w:pPr>
        <w:sectPr>
          <w:pgSz w:w="16838" w:h="11906" w:orient="landscape"/>
          <w:pgMar w:top="1440" w:right="1803" w:bottom="1213" w:left="1803" w:header="851" w:footer="992" w:gutter="0"/>
          <w:cols w:space="720" w:num="1"/>
          <w:docGrid w:type="lines" w:linePitch="312" w:charSpace="0"/>
        </w:sectPr>
      </w:pPr>
    </w:p>
    <w:tbl>
      <w:tblPr>
        <w:tblStyle w:val="14"/>
        <w:tblW w:w="15415" w:type="dxa"/>
        <w:jc w:val="center"/>
        <w:tblLayout w:type="autofit"/>
        <w:tblCellMar>
          <w:top w:w="0" w:type="dxa"/>
          <w:left w:w="108" w:type="dxa"/>
          <w:bottom w:w="0" w:type="dxa"/>
          <w:right w:w="108" w:type="dxa"/>
        </w:tblCellMar>
      </w:tblPr>
      <w:tblGrid>
        <w:gridCol w:w="893"/>
        <w:gridCol w:w="1375"/>
        <w:gridCol w:w="1597"/>
        <w:gridCol w:w="2126"/>
        <w:gridCol w:w="851"/>
        <w:gridCol w:w="1382"/>
        <w:gridCol w:w="1296"/>
        <w:gridCol w:w="1351"/>
        <w:gridCol w:w="1455"/>
        <w:gridCol w:w="1276"/>
        <w:gridCol w:w="1813"/>
      </w:tblGrid>
      <w:tr>
        <w:tblPrEx>
          <w:tblCellMar>
            <w:top w:w="0" w:type="dxa"/>
            <w:left w:w="108" w:type="dxa"/>
            <w:bottom w:w="0" w:type="dxa"/>
            <w:right w:w="108" w:type="dxa"/>
          </w:tblCellMar>
        </w:tblPrEx>
        <w:trPr>
          <w:trHeight w:val="294" w:hRule="atLeast"/>
          <w:jc w:val="center"/>
        </w:trPr>
        <w:tc>
          <w:tcPr>
            <w:tcW w:w="15415" w:type="dxa"/>
            <w:gridSpan w:val="11"/>
            <w:tcBorders>
              <w:top w:val="nil"/>
              <w:left w:val="nil"/>
              <w:bottom w:val="nil"/>
              <w:right w:val="nil"/>
            </w:tcBorders>
            <w:vAlign w:val="center"/>
          </w:tcPr>
          <w:p>
            <w:pPr>
              <w:widowControl/>
              <w:ind w:firstLine="4800" w:firstLineChars="1500"/>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项目支出事后绩效自评表</w:t>
            </w:r>
            <w:r>
              <w:rPr>
                <w:rFonts w:hint="eastAsia" w:ascii="方正小标宋简体" w:hAnsi="黑体" w:eastAsia="方正小标宋简体" w:cs="宋体"/>
                <w:color w:val="000000"/>
                <w:kern w:val="0"/>
                <w:sz w:val="32"/>
                <w:szCs w:val="32"/>
              </w:rPr>
              <w:t>（表10）</w:t>
            </w:r>
          </w:p>
        </w:tc>
      </w:tr>
      <w:tr>
        <w:tblPrEx>
          <w:tblCellMar>
            <w:top w:w="0" w:type="dxa"/>
            <w:left w:w="108" w:type="dxa"/>
            <w:bottom w:w="0" w:type="dxa"/>
            <w:right w:w="108" w:type="dxa"/>
          </w:tblCellMar>
        </w:tblPrEx>
        <w:trPr>
          <w:trHeight w:val="229" w:hRule="atLeast"/>
          <w:jc w:val="center"/>
        </w:trPr>
        <w:tc>
          <w:tcPr>
            <w:tcW w:w="1541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9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1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55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南苑-大红门地区疏解整治促提升工作现场指挥部办公室工作经费</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719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p>
        </w:tc>
      </w:tr>
      <w:tr>
        <w:tblPrEx>
          <w:tblCellMar>
            <w:top w:w="0" w:type="dxa"/>
            <w:left w:w="108" w:type="dxa"/>
            <w:bottom w:w="0" w:type="dxa"/>
            <w:right w:w="108" w:type="dxa"/>
          </w:tblCellMar>
        </w:tblPrEx>
        <w:trPr>
          <w:trHeight w:val="369"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2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81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271</w:t>
            </w:r>
            <w:r>
              <w:rPr>
                <w:rFonts w:hint="eastAsia" w:ascii="宋体" w:hAnsi="宋体"/>
                <w:sz w:val="24"/>
              </w:rPr>
              <w:t>.</w:t>
            </w:r>
            <w:r>
              <w:rPr>
                <w:rFonts w:ascii="宋体" w:hAnsi="宋体"/>
                <w:sz w:val="24"/>
              </w:rPr>
              <w:t>7</w:t>
            </w:r>
            <w:r>
              <w:rPr>
                <w:rFonts w:hint="eastAsia" w:ascii="宋体" w:hAnsi="宋体"/>
                <w:sz w:val="24"/>
              </w:rPr>
              <w:t>3</w:t>
            </w:r>
          </w:p>
        </w:tc>
        <w:tc>
          <w:tcPr>
            <w:tcW w:w="1296"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23</w:t>
            </w:r>
            <w:r>
              <w:rPr>
                <w:rFonts w:hint="eastAsia" w:ascii="宋体" w:hAnsi="宋体"/>
                <w:sz w:val="24"/>
              </w:rPr>
              <w:t>7.21</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87.3</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8.73</w:t>
            </w:r>
          </w:p>
        </w:tc>
        <w:tc>
          <w:tcPr>
            <w:tcW w:w="1813"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3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271</w:t>
            </w:r>
            <w:r>
              <w:rPr>
                <w:rFonts w:hint="eastAsia" w:ascii="宋体" w:hAnsi="宋体"/>
                <w:sz w:val="24"/>
              </w:rPr>
              <w:t>.</w:t>
            </w:r>
            <w:r>
              <w:rPr>
                <w:rFonts w:ascii="宋体" w:hAnsi="宋体"/>
                <w:sz w:val="24"/>
              </w:rPr>
              <w:t>7</w:t>
            </w:r>
            <w:r>
              <w:rPr>
                <w:rFonts w:hint="eastAsia" w:ascii="宋体" w:hAnsi="宋体"/>
                <w:sz w:val="24"/>
              </w:rPr>
              <w:t>3</w:t>
            </w:r>
          </w:p>
        </w:tc>
        <w:tc>
          <w:tcPr>
            <w:tcW w:w="1296"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23</w:t>
            </w:r>
            <w:r>
              <w:rPr>
                <w:rFonts w:hint="eastAsia" w:ascii="宋体" w:hAnsi="宋体"/>
                <w:sz w:val="24"/>
              </w:rPr>
              <w:t>7.21</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87.3</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8.73</w:t>
            </w:r>
          </w:p>
        </w:tc>
        <w:tc>
          <w:tcPr>
            <w:tcW w:w="18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7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9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8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2308"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ind w:firstLine="440" w:firstLineChars="200"/>
              <w:jc w:val="left"/>
              <w:rPr>
                <w:rFonts w:ascii="宋体" w:hAnsi="宋体" w:cs="宋体"/>
                <w:color w:val="000000"/>
                <w:kern w:val="0"/>
                <w:sz w:val="24"/>
              </w:rPr>
            </w:pPr>
            <w:r>
              <w:rPr>
                <w:rFonts w:hint="eastAsia" w:ascii="宋体" w:hAnsi="宋体" w:cs="宋体"/>
                <w:color w:val="000000"/>
                <w:kern w:val="0"/>
                <w:sz w:val="22"/>
                <w:szCs w:val="22"/>
              </w:rPr>
              <w:t>通过负责与产权单位和市场主体沟通联络，政策宣传和解释；承担综合协调、信息汇总和报送等工作，负责对疏整促涉及的相关部门和单位的统筹和指挥调度，负责协调相关部门，围绕区域内疏整促专项工作中存在的各类问题开展会商、研究</w:t>
            </w:r>
            <w:r>
              <w:rPr>
                <w:rFonts w:ascii="宋体" w:hAnsi="宋体" w:cs="宋体"/>
                <w:color w:val="000000"/>
                <w:kern w:val="0"/>
                <w:sz w:val="22"/>
                <w:szCs w:val="22"/>
              </w:rPr>
              <w:t>,</w:t>
            </w:r>
            <w:r>
              <w:rPr>
                <w:rFonts w:hint="eastAsia" w:ascii="宋体" w:hAnsi="宋体" w:cs="宋体"/>
                <w:color w:val="000000"/>
                <w:kern w:val="0"/>
                <w:sz w:val="22"/>
                <w:szCs w:val="22"/>
              </w:rPr>
              <w:t>做好综合协调和服务保障，加强舆情应对和处置工作，一旦发现倾向性苗头，及时向政法委和总指挥报告。完成上级交办的其他任务。</w:t>
            </w:r>
          </w:p>
        </w:tc>
        <w:tc>
          <w:tcPr>
            <w:tcW w:w="719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 现场指挥部办公室的办公经费、人员餐费和办公租金费用</w:t>
            </w:r>
          </w:p>
          <w:p>
            <w:pPr>
              <w:widowControl/>
              <w:rPr>
                <w:rFonts w:ascii="宋体" w:hAnsi="宋体" w:cs="宋体"/>
                <w:color w:val="000000"/>
                <w:kern w:val="0"/>
                <w:sz w:val="24"/>
              </w:rPr>
            </w:pPr>
            <w:r>
              <w:rPr>
                <w:rFonts w:hint="eastAsia" w:ascii="宋体" w:hAnsi="宋体" w:cs="宋体"/>
                <w:color w:val="000000"/>
                <w:kern w:val="0"/>
                <w:sz w:val="24"/>
              </w:rPr>
              <w:t>2. 现场指挥部办公室的监控通信费。</w:t>
            </w:r>
          </w:p>
          <w:p>
            <w:pPr>
              <w:widowControl/>
              <w:rPr>
                <w:rFonts w:ascii="宋体" w:hAnsi="宋体" w:cs="宋体"/>
                <w:color w:val="000000"/>
                <w:kern w:val="0"/>
                <w:sz w:val="24"/>
              </w:rPr>
            </w:pPr>
            <w:r>
              <w:rPr>
                <w:rFonts w:hint="eastAsia" w:ascii="宋体" w:hAnsi="宋体" w:cs="宋体"/>
                <w:color w:val="000000"/>
                <w:kern w:val="0"/>
                <w:sz w:val="24"/>
              </w:rPr>
              <w:t>3. 现场指挥部办公室应急设备。</w:t>
            </w:r>
          </w:p>
          <w:p>
            <w:pPr>
              <w:widowControl/>
              <w:rPr>
                <w:rFonts w:ascii="宋体" w:hAnsi="宋体" w:cs="宋体"/>
                <w:color w:val="000000"/>
                <w:kern w:val="0"/>
                <w:sz w:val="24"/>
              </w:rPr>
            </w:pPr>
            <w:r>
              <w:rPr>
                <w:rFonts w:hint="eastAsia" w:ascii="宋体" w:hAnsi="宋体" w:cs="宋体"/>
                <w:color w:val="000000"/>
                <w:kern w:val="0"/>
                <w:sz w:val="24"/>
              </w:rPr>
              <w:t>4. 现场指挥部办公室宣传经费和交流经费</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办公经费、人员餐费和办公租金费用</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 xml:space="preserve">10 </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244.17</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213.275</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8.73</w:t>
            </w:r>
          </w:p>
        </w:tc>
        <w:tc>
          <w:tcPr>
            <w:tcW w:w="18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压缩开支</w:t>
            </w:r>
          </w:p>
        </w:tc>
      </w:tr>
      <w:tr>
        <w:tblPrEx>
          <w:tblCellMar>
            <w:top w:w="0" w:type="dxa"/>
            <w:left w:w="108" w:type="dxa"/>
            <w:bottom w:w="0" w:type="dxa"/>
            <w:right w:w="108" w:type="dxa"/>
          </w:tblCellMar>
        </w:tblPrEx>
        <w:trPr>
          <w:trHeight w:val="62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监控通信费</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2.304</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2.304</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w:t>
            </w:r>
          </w:p>
        </w:tc>
        <w:tc>
          <w:tcPr>
            <w:tcW w:w="18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4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应急设备</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19.255</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19.255</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w:t>
            </w:r>
          </w:p>
        </w:tc>
        <w:tc>
          <w:tcPr>
            <w:tcW w:w="18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5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宣传经费和交流经费</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2.37715</w:t>
            </w:r>
          </w:p>
        </w:tc>
        <w:tc>
          <w:tcPr>
            <w:tcW w:w="2806"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0.79</w:t>
            </w:r>
          </w:p>
        </w:tc>
        <w:tc>
          <w:tcPr>
            <w:tcW w:w="18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压缩开支</w:t>
            </w:r>
          </w:p>
        </w:tc>
      </w:tr>
      <w:tr>
        <w:tblPrEx>
          <w:tblCellMar>
            <w:top w:w="0" w:type="dxa"/>
            <w:left w:w="108" w:type="dxa"/>
            <w:bottom w:w="0" w:type="dxa"/>
            <w:right w:w="108" w:type="dxa"/>
          </w:tblCellMar>
        </w:tblPrEx>
        <w:trPr>
          <w:trHeight w:val="56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满足日常办公条件</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29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Cs w:val="21"/>
              </w:rPr>
            </w:pPr>
            <w:r>
              <w:rPr>
                <w:rFonts w:hint="eastAsia" w:ascii="宋体" w:hAnsi="宋体" w:cs="宋体"/>
                <w:color w:val="000000"/>
                <w:kern w:val="0"/>
                <w:szCs w:val="21"/>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8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各项设备及活动是否保证</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≥98%</w:t>
            </w:r>
          </w:p>
        </w:tc>
        <w:tc>
          <w:tcPr>
            <w:tcW w:w="129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98%</w:t>
            </w:r>
          </w:p>
        </w:tc>
        <w:tc>
          <w:tcPr>
            <w:tcW w:w="28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p>
        </w:tc>
        <w:tc>
          <w:tcPr>
            <w:tcW w:w="18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2020年4月底前</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2020年4月底前</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2020年4月底前</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1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271</w:t>
            </w:r>
            <w:r>
              <w:rPr>
                <w:rFonts w:hint="eastAsia" w:ascii="宋体" w:hAnsi="宋体"/>
                <w:sz w:val="24"/>
              </w:rPr>
              <w:t>.</w:t>
            </w:r>
            <w:r>
              <w:rPr>
                <w:rFonts w:ascii="宋体" w:hAnsi="宋体"/>
                <w:sz w:val="24"/>
              </w:rPr>
              <w:t>7290</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23</w:t>
            </w:r>
            <w:r>
              <w:rPr>
                <w:rFonts w:hint="eastAsia" w:ascii="宋体" w:hAnsi="宋体"/>
                <w:sz w:val="24"/>
              </w:rPr>
              <w:t>7.21105</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8.73</w:t>
            </w:r>
          </w:p>
        </w:tc>
        <w:tc>
          <w:tcPr>
            <w:tcW w:w="1813"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r>
              <w:rPr>
                <w:rFonts w:hint="eastAsia" w:ascii="宋体" w:hAnsi="宋体" w:cs="宋体"/>
                <w:color w:val="000000"/>
                <w:kern w:val="0"/>
                <w:sz w:val="24"/>
              </w:rPr>
              <w:t>压缩开支</w:t>
            </w:r>
          </w:p>
        </w:tc>
      </w:tr>
      <w:tr>
        <w:tblPrEx>
          <w:tblCellMar>
            <w:top w:w="0" w:type="dxa"/>
            <w:left w:w="108" w:type="dxa"/>
            <w:bottom w:w="0" w:type="dxa"/>
            <w:right w:w="108" w:type="dxa"/>
          </w:tblCellMar>
        </w:tblPrEx>
        <w:trPr>
          <w:trHeight w:val="258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保证疏解整治工作运转，做好综合协调和服务保障</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较好完成此项工作</w:t>
            </w:r>
          </w:p>
        </w:tc>
        <w:tc>
          <w:tcPr>
            <w:tcW w:w="129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2806"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81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保障现场指挥部办公室正常运转</w:t>
            </w:r>
          </w:p>
        </w:tc>
        <w:tc>
          <w:tcPr>
            <w:tcW w:w="851"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p>
        </w:tc>
        <w:tc>
          <w:tcPr>
            <w:tcW w:w="1382" w:type="dxa"/>
            <w:tcBorders>
              <w:top w:val="nil"/>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指挥部人员好评</w:t>
            </w:r>
          </w:p>
        </w:tc>
        <w:tc>
          <w:tcPr>
            <w:tcW w:w="1296"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2806"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同效益指标得分计算方式。</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19.6</w:t>
            </w:r>
          </w:p>
        </w:tc>
        <w:tc>
          <w:tcPr>
            <w:tcW w:w="181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326"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308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93.58</w:t>
            </w:r>
          </w:p>
        </w:tc>
      </w:tr>
    </w:tbl>
    <w:p>
      <w:pPr>
        <w:sectPr>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（表11）</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拆违控违补助资金</w:t>
            </w:r>
          </w:p>
        </w:tc>
      </w:tr>
      <w:tr>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sz w:val="22"/>
                <w:szCs w:val="22"/>
              </w:rPr>
            </w:pPr>
            <w:r>
              <w:rPr>
                <w:rFonts w:hint="eastAsia" w:ascii="宋体" w:hAnsi="宋体" w:cs="宋体"/>
                <w:color w:val="000000"/>
                <w:kern w:val="0"/>
                <w:sz w:val="24"/>
              </w:rPr>
              <w:t>　3750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2841.41</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75.77%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7.58</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3750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2841.41　</w:t>
            </w:r>
          </w:p>
        </w:tc>
        <w:tc>
          <w:tcPr>
            <w:tcW w:w="1351"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75.77%　</w:t>
            </w:r>
          </w:p>
        </w:tc>
        <w:tc>
          <w:tcPr>
            <w:tcW w:w="1123" w:type="dxa"/>
            <w:tcBorders>
              <w:top w:val="nil"/>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　-</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90"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r>
              <w:rPr>
                <w:rFonts w:hint="eastAsia"/>
              </w:rPr>
              <w:t xml:space="preserve"> 助力北京市疏解整治促提升，拆除违法建设，提升首都百姓获得感</w:t>
            </w:r>
          </w:p>
        </w:tc>
        <w:tc>
          <w:tcPr>
            <w:tcW w:w="698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年度总体目标完成情况综述：2019年首先完成区拆违办下发的35万拆除违法建设台账任务，后接到附件5万平方米任务数，12月31日前按时完成，全乡疏解效果明显，得到百姓的认可。</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1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销账数量</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40万平方米　</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40.15万平方米</w:t>
            </w:r>
          </w:p>
        </w:tc>
        <w:tc>
          <w:tcPr>
            <w:tcW w:w="2959"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拆后情况</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拆后无建筑、渣土残留　</w:t>
            </w:r>
          </w:p>
        </w:tc>
        <w:tc>
          <w:tcPr>
            <w:tcW w:w="119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拆后无建筑、渣土残留</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　截止日期</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15</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2"/>
                <w:szCs w:val="22"/>
              </w:rPr>
            </w:pPr>
            <w:r>
              <w:rPr>
                <w:rFonts w:hint="eastAsia" w:ascii="宋体" w:hAnsi="宋体" w:cs="宋体"/>
                <w:color w:val="000000"/>
                <w:kern w:val="0"/>
                <w:sz w:val="24"/>
              </w:rPr>
              <w:t>12月31日</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2"/>
                <w:szCs w:val="22"/>
              </w:rPr>
            </w:pPr>
            <w:r>
              <w:rPr>
                <w:rFonts w:hint="eastAsia" w:ascii="宋体" w:hAnsi="宋体" w:cs="宋体"/>
                <w:color w:val="000000"/>
                <w:kern w:val="0"/>
                <w:sz w:val="24"/>
              </w:rPr>
              <w:t>11月30日</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rPr>
          <w:trHeight w:val="124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　预算控制数</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sz w:val="22"/>
                <w:szCs w:val="22"/>
              </w:rPr>
            </w:pPr>
            <w:r>
              <w:rPr>
                <w:rFonts w:hint="eastAsia" w:ascii="宋体" w:hAnsi="宋体" w:cs="宋体"/>
                <w:color w:val="000000"/>
                <w:kern w:val="0"/>
                <w:sz w:val="24"/>
              </w:rPr>
              <w:t>3750万</w:t>
            </w:r>
          </w:p>
        </w:tc>
        <w:tc>
          <w:tcPr>
            <w:tcW w:w="119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2841.41万</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7.58</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15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 w:val="24"/>
              </w:rPr>
            </w:pPr>
            <w:r>
              <w:rPr>
                <w:rFonts w:hint="eastAsia" w:ascii="宋体" w:hAnsi="宋体" w:cs="宋体"/>
                <w:color w:val="000000"/>
                <w:kern w:val="0"/>
                <w:sz w:val="24"/>
              </w:rPr>
              <w:t>疏解整治促提升效果明显</w:t>
            </w:r>
          </w:p>
        </w:tc>
        <w:tc>
          <w:tcPr>
            <w:tcW w:w="1198"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较好实现目标</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7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拆除违法建设，为落实规划实现战略留白</w:t>
            </w:r>
          </w:p>
        </w:tc>
        <w:tc>
          <w:tcPr>
            <w:tcW w:w="119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达到一定预期目标</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对相应企业组织座谈，进行满意度调查</w:t>
            </w:r>
          </w:p>
        </w:tc>
        <w:tc>
          <w:tcPr>
            <w:tcW w:w="851" w:type="dxa"/>
            <w:tcBorders>
              <w:top w:val="nil"/>
              <w:left w:val="nil"/>
              <w:bottom w:val="single" w:color="auto" w:sz="4" w:space="0"/>
              <w:right w:val="single" w:color="auto" w:sz="4" w:space="0"/>
            </w:tcBorders>
            <w:noWrap/>
            <w:vAlign w:val="center"/>
          </w:tcPr>
          <w:p>
            <w:pPr>
              <w:widowControl/>
              <w:jc w:val="left"/>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满意度定量评估</w:t>
            </w:r>
          </w:p>
        </w:tc>
        <w:tc>
          <w:tcPr>
            <w:tcW w:w="119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2959"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13" w:hRule="atLeast"/>
          <w:jc w:val="center"/>
        </w:trPr>
        <w:tc>
          <w:tcPr>
            <w:tcW w:w="12381"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91.18</w:t>
            </w:r>
          </w:p>
        </w:tc>
      </w:tr>
      <w:tr>
        <w:trPr>
          <w:trHeight w:val="387" w:hRule="atLeast"/>
          <w:jc w:val="center"/>
        </w:trPr>
        <w:tc>
          <w:tcPr>
            <w:tcW w:w="15205"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
      <w:pPr>
        <w:sectPr>
          <w:pgSz w:w="16838" w:h="11906" w:orient="landscape"/>
          <w:pgMar w:top="1440" w:right="1803" w:bottom="1213" w:left="1803"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382"/>
        <w:gridCol w:w="1198"/>
        <w:gridCol w:w="1351"/>
        <w:gridCol w:w="1608"/>
        <w:gridCol w:w="1123"/>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bCs/>
                <w:color w:val="000000"/>
                <w:kern w:val="0"/>
                <w:sz w:val="32"/>
                <w:szCs w:val="32"/>
              </w:rPr>
            </w:pPr>
            <w:r>
              <w:rPr>
                <w:rFonts w:hint="eastAsia" w:ascii="方正小标宋简体" w:hAnsi="黑体" w:eastAsia="方正小标宋简体" w:cs="宋体"/>
                <w:bCs/>
                <w:color w:val="000000"/>
                <w:kern w:val="0"/>
                <w:sz w:val="32"/>
                <w:szCs w:val="32"/>
              </w:rPr>
              <w:t xml:space="preserve">                    </w:t>
            </w:r>
          </w:p>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（表12）</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2019年留白增绿土地复垦</w:t>
            </w:r>
          </w:p>
        </w:tc>
      </w:tr>
      <w:tr>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南苑乡农服中心</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41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vAlign w:val="center"/>
          </w:tcPr>
          <w:p>
            <w:pPr>
              <w:widowControl/>
              <w:ind w:firstLine="480" w:firstLineChars="200"/>
              <w:textAlignment w:val="center"/>
              <w:rPr>
                <w:rFonts w:ascii="宋体" w:hAnsi="宋体" w:cs="宋体"/>
                <w:color w:val="000000"/>
                <w:sz w:val="22"/>
                <w:szCs w:val="22"/>
              </w:rPr>
            </w:pPr>
            <w:r>
              <w:rPr>
                <w:rFonts w:hint="eastAsia" w:ascii="宋体" w:hAnsi="宋体" w:cs="宋体"/>
                <w:color w:val="000000"/>
                <w:kern w:val="0"/>
                <w:sz w:val="24"/>
              </w:rPr>
              <w:t>2312.3</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cs="宋体"/>
                <w:color w:val="000000"/>
                <w:kern w:val="0"/>
                <w:sz w:val="24"/>
              </w:rPr>
              <w:t>2137.44</w:t>
            </w:r>
          </w:p>
        </w:tc>
        <w:tc>
          <w:tcPr>
            <w:tcW w:w="1351"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1608"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92.4</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9.24</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执行率*该指标分值，最高不得超过分值上限。</w:t>
            </w:r>
          </w:p>
        </w:tc>
      </w:tr>
      <w:tr>
        <w:tblPrEx>
          <w:tblCellMar>
            <w:top w:w="0" w:type="dxa"/>
            <w:left w:w="108" w:type="dxa"/>
            <w:bottom w:w="0" w:type="dxa"/>
            <w:right w:w="108" w:type="dxa"/>
          </w:tblCellMar>
        </w:tblPrEx>
        <w:trPr>
          <w:trHeight w:val="34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vAlign w:val="center"/>
          </w:tcPr>
          <w:p>
            <w:pPr>
              <w:widowControl/>
              <w:ind w:firstLine="480" w:firstLineChars="200"/>
              <w:jc w:val="left"/>
              <w:rPr>
                <w:rFonts w:ascii="宋体" w:hAnsi="宋体"/>
                <w:sz w:val="24"/>
              </w:rPr>
            </w:pPr>
            <w:r>
              <w:rPr>
                <w:rFonts w:hint="eastAsia" w:ascii="宋体" w:hAnsi="宋体" w:cs="宋体"/>
                <w:color w:val="000000"/>
                <w:kern w:val="0"/>
                <w:sz w:val="24"/>
              </w:rPr>
              <w:t>2312.3</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cs="宋体"/>
                <w:color w:val="000000"/>
                <w:kern w:val="0"/>
                <w:sz w:val="24"/>
              </w:rPr>
              <w:t>2137.44</w:t>
            </w:r>
          </w:p>
        </w:tc>
        <w:tc>
          <w:tcPr>
            <w:tcW w:w="1351"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1608"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92.4</w:t>
            </w:r>
            <w:r>
              <w:rPr>
                <w:rFonts w:ascii="宋体" w:hAnsi="宋体"/>
                <w:sz w:val="24"/>
              </w:rPr>
              <w:t>%</w:t>
            </w:r>
          </w:p>
        </w:tc>
        <w:tc>
          <w:tcPr>
            <w:tcW w:w="112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9.24</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9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60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合理利用土地，改善生态环境，推动绿化建设工作不断深入发展，为下一步的绿化工作打下坚实基础，结合南苑乡实际情况，经过丰台区园林绿化局立项通过，落实留白增绿土地复垦工程项目（含南中轴路及槐房地块项目）</w:t>
            </w:r>
          </w:p>
        </w:tc>
        <w:tc>
          <w:tcPr>
            <w:tcW w:w="698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w:t>
            </w:r>
            <w:r>
              <w:rPr>
                <w:rFonts w:hint="eastAsia" w:ascii="宋体" w:hAnsi="宋体" w:cs="宋体"/>
                <w:color w:val="000000"/>
                <w:kern w:val="0"/>
                <w:sz w:val="20"/>
                <w:szCs w:val="20"/>
              </w:rPr>
              <w:t>项目完成情况：南苑乡共完成462.46亩平原造林土地复垦工程，改良了地块土质，使其符合种植条件，目前这些地块均以完成绿化种植，提升了生态环境品质，提升百姓人居环境。2.工作量完成情况：各项目拆除构建物、渣土外运、回填土方等，全部完成计划目标。3.工作质量完成情况：2019年南苑乡留白增绿土地复垦工程达到了土地复垦的标准，为绿化工作奠定基础，有利于提升周边的环境面貌，改善人居环境。4.工作进度完成情况：2019年南苑乡留白增绿土地复垦所有地块均已竣工并验收合格。</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9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82"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cs="宋体"/>
                <w:color w:val="000000"/>
                <w:kern w:val="0"/>
                <w:sz w:val="24"/>
              </w:rPr>
              <w:t>留白增绿土地复垦面积</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cs="宋体"/>
                <w:color w:val="000000"/>
                <w:kern w:val="0"/>
                <w:sz w:val="22"/>
                <w:szCs w:val="22"/>
              </w:rPr>
              <w:t>462.46亩　</w:t>
            </w:r>
          </w:p>
        </w:tc>
        <w:tc>
          <w:tcPr>
            <w:tcW w:w="1198"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cs="宋体"/>
                <w:color w:val="000000"/>
                <w:kern w:val="0"/>
                <w:sz w:val="22"/>
                <w:szCs w:val="22"/>
              </w:rPr>
              <w:t>462.46亩</w:t>
            </w:r>
          </w:p>
        </w:tc>
        <w:tc>
          <w:tcPr>
            <w:tcW w:w="2959"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123"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渣土清理</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color w:val="000000"/>
                <w:kern w:val="0"/>
                <w:sz w:val="24"/>
              </w:rPr>
              <w:t>红线范围内清理率98%以上</w:t>
            </w: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清理100%</w:t>
            </w:r>
          </w:p>
        </w:tc>
        <w:tc>
          <w:tcPr>
            <w:tcW w:w="295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Cs w:val="21"/>
              </w:rPr>
            </w:pPr>
            <w:r>
              <w:rPr>
                <w:rFonts w:hint="eastAsia" w:ascii="宋体" w:hAnsi="宋体" w:cs="宋体"/>
                <w:color w:val="000000"/>
                <w:kern w:val="0"/>
                <w:szCs w:val="21"/>
              </w:rPr>
              <w:t>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8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r>
              <w:rPr>
                <w:rFonts w:hint="eastAsia" w:ascii="宋体" w:hAnsi="宋体" w:cs="宋体"/>
                <w:color w:val="000000"/>
                <w:kern w:val="0"/>
                <w:sz w:val="24"/>
              </w:rPr>
              <w:t>覆土厚度</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color w:val="000000"/>
                <w:kern w:val="0"/>
                <w:sz w:val="24"/>
              </w:rPr>
              <w:t>不得小于图纸要求</w:t>
            </w: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cs="宋体"/>
                <w:color w:val="000000"/>
                <w:kern w:val="0"/>
                <w:sz w:val="24"/>
              </w:rPr>
              <w:t>大于图纸要求</w:t>
            </w:r>
          </w:p>
        </w:tc>
        <w:tc>
          <w:tcPr>
            <w:tcW w:w="29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8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nil"/>
              <w:bottom w:val="single" w:color="auto" w:sz="4" w:space="0"/>
              <w:right w:val="single" w:color="auto" w:sz="4" w:space="0"/>
            </w:tcBorders>
            <w:vAlign w:val="center"/>
          </w:tcPr>
          <w:p>
            <w:pPr>
              <w:widowControl/>
              <w:jc w:val="left"/>
              <w:rPr>
                <w:rFonts w:ascii="宋体" w:hAnsi="宋体"/>
                <w:sz w:val="22"/>
                <w:szCs w:val="22"/>
              </w:rPr>
            </w:pPr>
            <w:r>
              <w:rPr>
                <w:rFonts w:hint="eastAsia" w:ascii="宋体" w:hAnsi="宋体"/>
                <w:sz w:val="22"/>
                <w:szCs w:val="22"/>
              </w:rPr>
              <w:t>竣工时间</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10</w:t>
            </w:r>
          </w:p>
        </w:tc>
        <w:tc>
          <w:tcPr>
            <w:tcW w:w="1382" w:type="dxa"/>
            <w:tcBorders>
              <w:top w:val="single" w:color="auto" w:sz="4" w:space="0"/>
              <w:left w:val="nil"/>
              <w:bottom w:val="single" w:color="auto" w:sz="4" w:space="0"/>
              <w:right w:val="single" w:color="auto" w:sz="4" w:space="0"/>
            </w:tcBorders>
            <w:vAlign w:val="center"/>
          </w:tcPr>
          <w:p>
            <w:pPr>
              <w:jc w:val="center"/>
              <w:rPr>
                <w:rFonts w:ascii="宋体" w:hAnsi="宋体" w:cs="宋体"/>
                <w:sz w:val="22"/>
                <w:szCs w:val="22"/>
              </w:rPr>
            </w:pPr>
            <w:r>
              <w:rPr>
                <w:rFonts w:hint="eastAsia" w:ascii="宋体" w:hAnsi="宋体"/>
                <w:sz w:val="22"/>
                <w:szCs w:val="22"/>
              </w:rPr>
              <w:t>12月前</w:t>
            </w:r>
          </w:p>
        </w:tc>
        <w:tc>
          <w:tcPr>
            <w:tcW w:w="1198"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12月前</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nil"/>
              <w:bottom w:val="single" w:color="auto" w:sz="4" w:space="0"/>
              <w:right w:val="single" w:color="auto" w:sz="4" w:space="0"/>
            </w:tcBorders>
            <w:vAlign w:val="center"/>
          </w:tcPr>
          <w:p>
            <w:pPr>
              <w:widowControl/>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vAlign w:val="center"/>
          </w:tcPr>
          <w:p>
            <w:pPr>
              <w:widowControl/>
              <w:jc w:val="left"/>
              <w:rPr>
                <w:rFonts w:ascii="宋体" w:hAnsi="宋体"/>
                <w:sz w:val="22"/>
                <w:szCs w:val="22"/>
              </w:rPr>
            </w:pPr>
            <w:r>
              <w:rPr>
                <w:rFonts w:hint="eastAsia" w:ascii="宋体" w:hAnsi="宋体" w:cs="宋体"/>
                <w:color w:val="000000"/>
                <w:kern w:val="0"/>
                <w:sz w:val="22"/>
                <w:szCs w:val="22"/>
              </w:rPr>
              <w:t>2312.3万元</w:t>
            </w:r>
          </w:p>
        </w:tc>
        <w:tc>
          <w:tcPr>
            <w:tcW w:w="1198"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2"/>
                <w:szCs w:val="22"/>
              </w:rPr>
            </w:pPr>
            <w:r>
              <w:rPr>
                <w:rFonts w:hint="eastAsia" w:ascii="宋体" w:hAnsi="宋体" w:cs="宋体"/>
                <w:color w:val="000000"/>
                <w:kern w:val="0"/>
                <w:sz w:val="22"/>
                <w:szCs w:val="22"/>
              </w:rPr>
              <w:t>2137.44万元</w:t>
            </w:r>
          </w:p>
        </w:tc>
        <w:tc>
          <w:tcPr>
            <w:tcW w:w="2959"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9.24</w:t>
            </w:r>
          </w:p>
        </w:tc>
        <w:tc>
          <w:tcPr>
            <w:tcW w:w="1701" w:type="dxa"/>
            <w:tcBorders>
              <w:top w:val="single" w:color="auto" w:sz="4" w:space="0"/>
              <w:left w:val="single" w:color="auto" w:sz="4" w:space="0"/>
              <w:bottom w:val="single" w:color="auto" w:sz="4" w:space="0"/>
              <w:right w:val="single" w:color="auto" w:sz="4" w:space="0"/>
            </w:tcBorders>
            <w:vAlign w:val="center"/>
          </w:tcPr>
          <w:p>
            <w:pPr>
              <w:ind w:right="-122" w:rightChars="-58"/>
              <w:jc w:val="center"/>
              <w:rPr>
                <w:rFonts w:ascii="宋体" w:hAnsi="宋体" w:cs="宋体"/>
                <w:color w:val="000000"/>
                <w:kern w:val="0"/>
                <w:sz w:val="24"/>
              </w:rPr>
            </w:pPr>
            <w:r>
              <w:rPr>
                <w:rFonts w:hint="eastAsia" w:ascii="宋体" w:hAnsi="宋体" w:cs="宋体"/>
                <w:color w:val="000000"/>
                <w:kern w:val="0"/>
                <w:sz w:val="24"/>
              </w:rPr>
              <w:t>压缩成本</w:t>
            </w:r>
          </w:p>
        </w:tc>
      </w:tr>
      <w:tr>
        <w:tblPrEx>
          <w:tblCellMar>
            <w:top w:w="0" w:type="dxa"/>
            <w:left w:w="108" w:type="dxa"/>
            <w:bottom w:w="0" w:type="dxa"/>
            <w:right w:w="108" w:type="dxa"/>
          </w:tblCellMar>
        </w:tblPrEx>
        <w:trPr>
          <w:trHeight w:val="176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vAlign w:val="center"/>
          </w:tcPr>
          <w:p>
            <w:pPr>
              <w:widowControl/>
              <w:jc w:val="left"/>
              <w:rPr>
                <w:rFonts w:ascii="宋体" w:hAnsi="宋体"/>
                <w:sz w:val="24"/>
              </w:rPr>
            </w:pPr>
            <w:r>
              <w:rPr>
                <w:rFonts w:hint="eastAsia" w:ascii="宋体" w:hAnsi="宋体"/>
                <w:sz w:val="24"/>
              </w:rPr>
              <w:t>环境效益</w:t>
            </w:r>
          </w:p>
        </w:tc>
        <w:tc>
          <w:tcPr>
            <w:tcW w:w="851" w:type="dxa"/>
            <w:tcBorders>
              <w:top w:val="single" w:color="auto" w:sz="4" w:space="0"/>
              <w:left w:val="nil"/>
              <w:bottom w:val="single" w:color="auto" w:sz="4" w:space="0"/>
              <w:right w:val="single" w:color="auto" w:sz="4" w:space="0"/>
            </w:tcBorders>
            <w:vAlign w:val="center"/>
          </w:tcPr>
          <w:p>
            <w:pPr>
              <w:widowControl/>
              <w:ind w:firstLine="240" w:firstLineChars="100"/>
              <w:jc w:val="left"/>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vAlign w:val="center"/>
          </w:tcPr>
          <w:p>
            <w:pPr>
              <w:widowControl/>
              <w:jc w:val="left"/>
              <w:rPr>
                <w:rFonts w:ascii="宋体" w:hAnsi="宋体"/>
                <w:sz w:val="22"/>
                <w:szCs w:val="22"/>
              </w:rPr>
            </w:pPr>
            <w:r>
              <w:rPr>
                <w:rFonts w:hint="eastAsia" w:ascii="宋体" w:hAnsi="宋体" w:cs="宋体"/>
                <w:color w:val="000000"/>
                <w:kern w:val="0"/>
                <w:sz w:val="22"/>
                <w:szCs w:val="22"/>
              </w:rPr>
              <w:t>改良地块土质，使其符合种植条件，提升生态环境品质。</w:t>
            </w:r>
          </w:p>
        </w:tc>
        <w:tc>
          <w:tcPr>
            <w:tcW w:w="1198"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cs="宋体"/>
                <w:color w:val="000000"/>
                <w:kern w:val="0"/>
                <w:sz w:val="24"/>
              </w:rPr>
              <w:t>　达成预期指标且效果较好</w:t>
            </w:r>
          </w:p>
        </w:tc>
        <w:tc>
          <w:tcPr>
            <w:tcW w:w="2959"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1.若为定性指标，则根据“四档”原则分别按照指标分值的100-90%(含90%)、90-75%(含75%)、75-60%(含60%)、60-0%来记分。2.若为定量指标，完成值达到指标值，记满分；未达到指标值，按B/A或A/B*该指标分值记分。</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02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提升百姓人居环境质量。</w:t>
            </w:r>
          </w:p>
        </w:tc>
        <w:tc>
          <w:tcPr>
            <w:tcW w:w="119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达成预期指标且效果较好</w:t>
            </w:r>
          </w:p>
        </w:tc>
        <w:tc>
          <w:tcPr>
            <w:tcW w:w="2959" w:type="dxa"/>
            <w:gridSpan w:val="2"/>
            <w:vMerge w:val="continue"/>
            <w:tcBorders>
              <w:left w:val="single" w:color="auto" w:sz="4" w:space="0"/>
              <w:right w:val="single" w:color="auto" w:sz="4" w:space="0"/>
            </w:tcBorders>
            <w:vAlign w:val="center"/>
          </w:tcPr>
          <w:p>
            <w:pPr>
              <w:widowControl/>
              <w:jc w:val="center"/>
              <w:rPr>
                <w:rFonts w:ascii="宋体" w:hAnsi="宋体" w:cs="宋体"/>
                <w:color w:val="000000"/>
                <w:kern w:val="0"/>
                <w:sz w:val="24"/>
              </w:rPr>
            </w:pP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满意度指标（10分）</w:t>
            </w:r>
          </w:p>
        </w:tc>
        <w:tc>
          <w:tcPr>
            <w:tcW w:w="2126" w:type="dxa"/>
            <w:tcBorders>
              <w:top w:val="nil"/>
              <w:left w:val="nil"/>
              <w:bottom w:val="single" w:color="auto" w:sz="4" w:space="0"/>
              <w:right w:val="single" w:color="auto" w:sz="4" w:space="0"/>
            </w:tcBorders>
            <w:vAlign w:val="center"/>
          </w:tcPr>
          <w:p>
            <w:pPr>
              <w:widowControl/>
              <w:jc w:val="left"/>
              <w:rPr>
                <w:rFonts w:ascii="宋体" w:hAnsi="宋体"/>
                <w:sz w:val="22"/>
                <w:szCs w:val="22"/>
              </w:rPr>
            </w:pPr>
            <w:r>
              <w:rPr>
                <w:rFonts w:hint="eastAsia" w:ascii="宋体" w:hAnsi="宋体" w:cs="宋体"/>
                <w:color w:val="000000"/>
                <w:kern w:val="0"/>
                <w:sz w:val="22"/>
                <w:szCs w:val="22"/>
              </w:rPr>
              <w:t>对周边群众就平原造林复垦工作带来的环境改善进行满意度调查</w:t>
            </w:r>
          </w:p>
        </w:tc>
        <w:tc>
          <w:tcPr>
            <w:tcW w:w="851" w:type="dxa"/>
            <w:tcBorders>
              <w:top w:val="nil"/>
              <w:left w:val="nil"/>
              <w:bottom w:val="single" w:color="auto" w:sz="4" w:space="0"/>
              <w:right w:val="single" w:color="auto" w:sz="4" w:space="0"/>
            </w:tcBorders>
            <w:vAlign w:val="center"/>
          </w:tcPr>
          <w:p>
            <w:pPr>
              <w:widowControl/>
              <w:ind w:firstLine="240" w:firstLineChars="100"/>
              <w:jc w:val="left"/>
              <w:rPr>
                <w:rFonts w:ascii="宋体" w:hAnsi="宋体"/>
                <w:sz w:val="22"/>
                <w:szCs w:val="22"/>
              </w:rPr>
            </w:pPr>
            <w:r>
              <w:rPr>
                <w:rFonts w:hint="eastAsia" w:ascii="宋体" w:hAnsi="宋体" w:cs="宋体"/>
                <w:color w:val="000000"/>
                <w:kern w:val="0"/>
                <w:sz w:val="24"/>
              </w:rPr>
              <w:t>20</w:t>
            </w:r>
          </w:p>
        </w:tc>
        <w:tc>
          <w:tcPr>
            <w:tcW w:w="1382" w:type="dxa"/>
            <w:tcBorders>
              <w:top w:val="nil"/>
              <w:left w:val="nil"/>
              <w:bottom w:val="single" w:color="auto" w:sz="4" w:space="0"/>
              <w:right w:val="single" w:color="auto" w:sz="4" w:space="0"/>
            </w:tcBorders>
            <w:vAlign w:val="center"/>
          </w:tcPr>
          <w:p>
            <w:pPr>
              <w:jc w:val="center"/>
              <w:rPr>
                <w:rFonts w:ascii="宋体" w:hAnsi="宋体" w:cs="宋体"/>
                <w:sz w:val="22"/>
                <w:szCs w:val="22"/>
              </w:rPr>
            </w:pPr>
            <w:r>
              <w:rPr>
                <w:rFonts w:hint="eastAsia" w:ascii="宋体" w:hAnsi="宋体"/>
                <w:sz w:val="22"/>
                <w:szCs w:val="22"/>
              </w:rPr>
              <w:t>好评率定性测量</w:t>
            </w:r>
          </w:p>
        </w:tc>
        <w:tc>
          <w:tcPr>
            <w:tcW w:w="1198" w:type="dxa"/>
            <w:tcBorders>
              <w:top w:val="nil"/>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好评率达90%</w:t>
            </w:r>
          </w:p>
        </w:tc>
        <w:tc>
          <w:tcPr>
            <w:tcW w:w="2959"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同效益指标得分计算方式。</w:t>
            </w:r>
          </w:p>
        </w:tc>
        <w:tc>
          <w:tcPr>
            <w:tcW w:w="11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381"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8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95.48</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6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type w:val="continuous"/>
          <w:pgSz w:w="16838" w:h="11906" w:orient="landscape"/>
          <w:pgMar w:top="1440" w:right="1803" w:bottom="1213" w:left="1803" w:header="851" w:footer="992" w:gutter="0"/>
          <w:cols w:space="720" w:num="1"/>
          <w:docGrid w:type="lines" w:linePitch="312" w:charSpace="0"/>
        </w:sectPr>
      </w:pPr>
    </w:p>
    <w:tbl>
      <w:tblPr>
        <w:tblStyle w:val="14"/>
        <w:tblW w:w="15223" w:type="dxa"/>
        <w:jc w:val="center"/>
        <w:tblLayout w:type="autofit"/>
        <w:tblCellMar>
          <w:top w:w="0" w:type="dxa"/>
          <w:left w:w="108" w:type="dxa"/>
          <w:bottom w:w="0" w:type="dxa"/>
          <w:right w:w="108" w:type="dxa"/>
        </w:tblCellMar>
      </w:tblPr>
      <w:tblGrid>
        <w:gridCol w:w="893"/>
        <w:gridCol w:w="1375"/>
        <w:gridCol w:w="1597"/>
        <w:gridCol w:w="2126"/>
        <w:gridCol w:w="851"/>
        <w:gridCol w:w="1382"/>
        <w:gridCol w:w="1216"/>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23"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附件3                              项目支出事后绩效自评表</w:t>
            </w:r>
            <w:r>
              <w:rPr>
                <w:rFonts w:hint="eastAsia" w:ascii="方正小标宋简体" w:hAnsi="黑体" w:eastAsia="方正小标宋简体" w:cs="宋体"/>
                <w:color w:val="000000"/>
                <w:kern w:val="0"/>
                <w:sz w:val="32"/>
                <w:szCs w:val="32"/>
              </w:rPr>
              <w:t>（表13）</w:t>
            </w:r>
          </w:p>
        </w:tc>
      </w:tr>
      <w:tr>
        <w:trPr>
          <w:trHeight w:val="229" w:hRule="atLeast"/>
          <w:jc w:val="center"/>
        </w:trPr>
        <w:tc>
          <w:tcPr>
            <w:tcW w:w="152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1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446"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58"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平原地区生态林、平原造林土地流转费</w:t>
            </w:r>
          </w:p>
        </w:tc>
      </w:tr>
      <w:tr>
        <w:trPr>
          <w:trHeight w:val="41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6999"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南苑乡农业服务中心（南苑乡林业工作站）</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2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rPr>
          <w:trHeight w:val="53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w:t>
            </w:r>
          </w:p>
        </w:tc>
        <w:tc>
          <w:tcPr>
            <w:tcW w:w="12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54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w:t>
            </w:r>
          </w:p>
        </w:tc>
        <w:tc>
          <w:tcPr>
            <w:tcW w:w="12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5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252"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做好乡域范围内平原造林、郊野公园、平原生态林的土地流转资金拨付，确保资金拨付到位。</w:t>
            </w:r>
          </w:p>
        </w:tc>
        <w:tc>
          <w:tcPr>
            <w:tcW w:w="6999"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rPr>
                <w:rFonts w:ascii="宋体" w:hAnsi="宋体" w:cs="宋体"/>
                <w:color w:val="000000"/>
                <w:kern w:val="0"/>
                <w:sz w:val="24"/>
              </w:rPr>
            </w:pPr>
            <w:r>
              <w:rPr>
                <w:rFonts w:hint="eastAsia" w:ascii="宋体" w:hAnsi="宋体" w:cs="宋体"/>
                <w:color w:val="000000"/>
                <w:kern w:val="0"/>
                <w:sz w:val="24"/>
              </w:rPr>
              <w:t>根据各单位土地流转面积，进行土地流转资金拨付，资金拨付到位。</w:t>
            </w:r>
          </w:p>
        </w:tc>
      </w:tr>
      <w:tr>
        <w:trPr>
          <w:trHeight w:val="521" w:hRule="atLeast"/>
          <w:jc w:val="center"/>
        </w:trPr>
        <w:tc>
          <w:tcPr>
            <w:tcW w:w="89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775"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土地流转面积</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7377.13</w:t>
            </w:r>
            <w:r>
              <w:rPr>
                <w:rFonts w:hint="eastAsia" w:ascii="宋体" w:hAnsi="宋体" w:cs="宋体"/>
                <w:color w:val="000000"/>
                <w:kern w:val="0"/>
                <w:sz w:val="18"/>
              </w:rPr>
              <w:t>亩</w:t>
            </w:r>
          </w:p>
        </w:tc>
        <w:tc>
          <w:tcPr>
            <w:tcW w:w="12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7377.13</w:t>
            </w:r>
            <w:r>
              <w:rPr>
                <w:rFonts w:hint="eastAsia" w:ascii="宋体" w:hAnsi="宋体" w:cs="宋体"/>
                <w:color w:val="000000"/>
                <w:kern w:val="0"/>
                <w:sz w:val="18"/>
              </w:rPr>
              <w:t>亩</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spacing w:line="140" w:lineRule="atLeast"/>
              <w:jc w:val="left"/>
              <w:rPr>
                <w:rFonts w:ascii="宋体" w:hAnsi="宋体" w:cs="宋体"/>
                <w:color w:val="000000"/>
                <w:kern w:val="0"/>
                <w:sz w:val="24"/>
              </w:rPr>
            </w:pPr>
            <w:r>
              <w:rPr>
                <w:rFonts w:hint="eastAsia" w:ascii="宋体" w:hAnsi="宋体" w:cs="宋体"/>
                <w:color w:val="000000"/>
                <w:kern w:val="0"/>
                <w:sz w:val="18"/>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31"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严格履行三重一大程序，资金拨付手续完备</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rPr>
              <w:t>按照财务支出手续进行资金拨付</w:t>
            </w:r>
          </w:p>
        </w:tc>
        <w:tc>
          <w:tcPr>
            <w:tcW w:w="121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rPr>
              <w:t>资金已按照财务支出手续拨付到位</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11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 （10分）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资金拨付时间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0"/>
              </w:rPr>
            </w:pPr>
            <w:r>
              <w:rPr>
                <w:rFonts w:hint="eastAsia" w:ascii="宋体" w:hAnsi="宋体" w:cs="宋体"/>
                <w:color w:val="000000"/>
                <w:kern w:val="0"/>
                <w:sz w:val="20"/>
              </w:rPr>
              <w:t xml:space="preserve">2019年底前资金拨付到各土地流转单位 </w:t>
            </w:r>
          </w:p>
        </w:tc>
        <w:tc>
          <w:tcPr>
            <w:tcW w:w="1216" w:type="dxa"/>
            <w:tcBorders>
              <w:top w:val="single" w:color="auto" w:sz="4" w:space="0"/>
              <w:left w:val="nil"/>
              <w:bottom w:val="single" w:color="auto" w:sz="4" w:space="0"/>
              <w:right w:val="single" w:color="auto" w:sz="4" w:space="0"/>
            </w:tcBorders>
            <w:noWrap/>
            <w:vAlign w:val="center"/>
          </w:tcPr>
          <w:p>
            <w:pPr>
              <w:spacing w:line="140" w:lineRule="atLeast"/>
              <w:jc w:val="center"/>
              <w:rPr>
                <w:rFonts w:ascii="宋体" w:hAnsi="宋体" w:cs="宋体"/>
                <w:color w:val="000000"/>
                <w:kern w:val="0"/>
                <w:sz w:val="20"/>
              </w:rPr>
            </w:pPr>
            <w:r>
              <w:rPr>
                <w:rFonts w:hint="eastAsia" w:ascii="宋体" w:hAnsi="宋体" w:cs="宋体"/>
                <w:color w:val="000000"/>
                <w:kern w:val="0"/>
                <w:sz w:val="20"/>
              </w:rPr>
              <w:t>2019年2月已将土地流转资金拨付到各土地流转单位</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08"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 （10分）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7万</w:t>
            </w:r>
          </w:p>
        </w:tc>
        <w:tc>
          <w:tcPr>
            <w:tcW w:w="121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cs="宋体"/>
                <w:color w:val="000000"/>
                <w:kern w:val="0"/>
                <w:sz w:val="20"/>
              </w:rPr>
              <w:t>1106</w:t>
            </w:r>
            <w:r>
              <w:rPr>
                <w:rFonts w:hint="eastAsia" w:ascii="宋体" w:hAnsi="宋体" w:cs="宋体"/>
                <w:color w:val="000000"/>
                <w:kern w:val="0"/>
                <w:sz w:val="20"/>
              </w:rPr>
              <w:t>．</w:t>
            </w:r>
            <w:r>
              <w:rPr>
                <w:rFonts w:ascii="宋体" w:hAnsi="宋体" w:cs="宋体"/>
                <w:color w:val="000000"/>
                <w:kern w:val="0"/>
                <w:sz w:val="20"/>
              </w:rPr>
              <w:t>5</w:t>
            </w:r>
            <w:r>
              <w:rPr>
                <w:rFonts w:hint="eastAsia" w:ascii="宋体" w:hAnsi="宋体" w:cs="宋体"/>
                <w:color w:val="000000"/>
                <w:kern w:val="0"/>
                <w:sz w:val="20"/>
              </w:rPr>
              <w:t>7万</w:t>
            </w:r>
          </w:p>
        </w:tc>
        <w:tc>
          <w:tcPr>
            <w:tcW w:w="2806"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1730"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18"/>
              </w:rPr>
              <w:t>保障涉及土地流转的村集体利益不受损，镇、村土地资源高效配置。</w:t>
            </w:r>
          </w:p>
        </w:tc>
        <w:tc>
          <w:tcPr>
            <w:tcW w:w="12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达到预期目标</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775"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18"/>
              </w:rPr>
            </w:pPr>
            <w:r>
              <w:rPr>
                <w:rFonts w:hint="eastAsia" w:ascii="宋体" w:hAnsi="宋体" w:cs="宋体"/>
                <w:color w:val="000000"/>
                <w:kern w:val="0"/>
                <w:sz w:val="18"/>
              </w:rPr>
              <w:t>平原造林、郊野公园、平原生态林提升绿色指数，营造良好生态环境</w:t>
            </w:r>
          </w:p>
        </w:tc>
        <w:tc>
          <w:tcPr>
            <w:tcW w:w="121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2806" w:type="dxa"/>
            <w:gridSpan w:val="2"/>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rPr>
          <w:trHeight w:val="1137" w:hRule="atLeast"/>
          <w:jc w:val="center"/>
        </w:trPr>
        <w:tc>
          <w:tcPr>
            <w:tcW w:w="89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各土地流转单位对土地流转资金按时拨付予以好评</w:t>
            </w:r>
          </w:p>
        </w:tc>
        <w:tc>
          <w:tcPr>
            <w:tcW w:w="851"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382"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各土地流转单位对土地流转资金按时拨付予以好评</w:t>
            </w:r>
          </w:p>
        </w:tc>
        <w:tc>
          <w:tcPr>
            <w:tcW w:w="1216" w:type="dxa"/>
            <w:tcBorders>
              <w:top w:val="nil"/>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好评率达99%</w:t>
            </w:r>
          </w:p>
        </w:tc>
        <w:tc>
          <w:tcPr>
            <w:tcW w:w="2806"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rPr>
              <w:t>同效益指标得分计算方式。</w:t>
            </w:r>
          </w:p>
        </w:tc>
        <w:tc>
          <w:tcPr>
            <w:tcW w:w="1276" w:type="dxa"/>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246"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99.8</w:t>
            </w:r>
          </w:p>
        </w:tc>
      </w:tr>
    </w:tbl>
    <w:p>
      <w:pPr>
        <w:sectPr>
          <w:pgSz w:w="16838" w:h="11906" w:orient="landscape"/>
          <w:pgMar w:top="1440" w:right="1803" w:bottom="1213" w:left="1803" w:header="851" w:footer="992" w:gutter="0"/>
          <w:cols w:space="720" w:num="1"/>
          <w:docGrid w:type="lines" w:linePitch="312" w:charSpace="0"/>
        </w:sectPr>
      </w:pPr>
    </w:p>
    <w:tbl>
      <w:tblPr>
        <w:tblStyle w:val="14"/>
        <w:tblW w:w="15323" w:type="dxa"/>
        <w:jc w:val="center"/>
        <w:tblLayout w:type="autofit"/>
        <w:tblCellMar>
          <w:top w:w="0" w:type="dxa"/>
          <w:left w:w="108" w:type="dxa"/>
          <w:bottom w:w="0" w:type="dxa"/>
          <w:right w:w="108" w:type="dxa"/>
        </w:tblCellMar>
      </w:tblPr>
      <w:tblGrid>
        <w:gridCol w:w="893"/>
        <w:gridCol w:w="1375"/>
        <w:gridCol w:w="1597"/>
        <w:gridCol w:w="2126"/>
        <w:gridCol w:w="851"/>
        <w:gridCol w:w="1382"/>
        <w:gridCol w:w="1316"/>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323"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（表14）</w:t>
            </w:r>
          </w:p>
        </w:tc>
      </w:tr>
      <w:tr>
        <w:tblPrEx>
          <w:tblCellMar>
            <w:top w:w="0" w:type="dxa"/>
            <w:left w:w="108" w:type="dxa"/>
            <w:bottom w:w="0" w:type="dxa"/>
            <w:right w:w="108" w:type="dxa"/>
          </w:tblCellMar>
        </w:tblPrEx>
        <w:trPr>
          <w:trHeight w:val="229" w:hRule="atLeast"/>
          <w:jc w:val="center"/>
        </w:trPr>
        <w:tc>
          <w:tcPr>
            <w:tcW w:w="153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1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446"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458"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平原地区生态林、平原造林养护费</w:t>
            </w:r>
          </w:p>
        </w:tc>
      </w:tr>
      <w:tr>
        <w:tblPrEx>
          <w:tblCellMar>
            <w:top w:w="0" w:type="dxa"/>
            <w:left w:w="108" w:type="dxa"/>
            <w:bottom w:w="0" w:type="dxa"/>
            <w:right w:w="108" w:type="dxa"/>
          </w:tblCellMar>
        </w:tblPrEx>
        <w:trPr>
          <w:trHeight w:val="41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7099"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南苑乡农业服务中心（南苑乡林业工作站）</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37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1842</w:t>
            </w:r>
            <w:r>
              <w:rPr>
                <w:rFonts w:hint="eastAsia" w:ascii="宋体" w:hAnsi="宋体" w:cs="宋体"/>
                <w:color w:val="000000"/>
                <w:kern w:val="0"/>
                <w:sz w:val="20"/>
              </w:rPr>
              <w:t>．</w:t>
            </w:r>
            <w:r>
              <w:rPr>
                <w:rFonts w:ascii="宋体" w:hAnsi="宋体" w:cs="宋体"/>
                <w:color w:val="000000"/>
                <w:kern w:val="0"/>
                <w:sz w:val="20"/>
              </w:rPr>
              <w:t>95</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2"/>
              </w:rPr>
              <w:t>1807.2</w:t>
            </w:r>
            <w:r>
              <w:rPr>
                <w:rFonts w:hint="eastAsia" w:ascii="宋体" w:hAnsi="宋体" w:cs="宋体"/>
                <w:color w:val="000000"/>
                <w:kern w:val="0"/>
                <w:sz w:val="22"/>
              </w:rPr>
              <w:t>9</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9.8</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37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1842</w:t>
            </w:r>
            <w:r>
              <w:rPr>
                <w:rFonts w:hint="eastAsia" w:ascii="宋体" w:hAnsi="宋体" w:cs="宋体"/>
                <w:color w:val="000000"/>
                <w:kern w:val="0"/>
                <w:sz w:val="20"/>
              </w:rPr>
              <w:t>．</w:t>
            </w:r>
            <w:r>
              <w:rPr>
                <w:rFonts w:ascii="宋体" w:hAnsi="宋体" w:cs="宋体"/>
                <w:color w:val="000000"/>
                <w:kern w:val="0"/>
                <w:sz w:val="20"/>
              </w:rPr>
              <w:t>95</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2"/>
              </w:rPr>
              <w:t>1807.2</w:t>
            </w:r>
            <w:r>
              <w:rPr>
                <w:rFonts w:hint="eastAsia" w:ascii="宋体" w:hAnsi="宋体" w:cs="宋体"/>
                <w:color w:val="000000"/>
                <w:kern w:val="0"/>
                <w:sz w:val="22"/>
              </w:rPr>
              <w:t>9</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98%</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9.8</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5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252"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做好乡域范围内平原造林、郊野公园、平原生态林的日常养护工作。</w:t>
            </w:r>
          </w:p>
        </w:tc>
        <w:tc>
          <w:tcPr>
            <w:tcW w:w="7099"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rPr>
                <w:rFonts w:ascii="宋体" w:hAnsi="宋体" w:cs="宋体"/>
                <w:color w:val="000000"/>
                <w:kern w:val="0"/>
                <w:sz w:val="24"/>
              </w:rPr>
            </w:pPr>
            <w:r>
              <w:rPr>
                <w:rFonts w:hint="eastAsia" w:ascii="宋体" w:hAnsi="宋体" w:cs="宋体"/>
                <w:color w:val="000000"/>
                <w:kern w:val="0"/>
                <w:sz w:val="24"/>
              </w:rPr>
              <w:t>指导各养护单位做好平原造林、郊野公园、平原生态林的日常养护工作，通过养护工作日常检查，对养护合格地块拨付养护资金，对养护不合格地块扣减养护资金。</w:t>
            </w:r>
          </w:p>
        </w:tc>
      </w:tr>
      <w:tr>
        <w:tblPrEx>
          <w:tblCellMar>
            <w:top w:w="0" w:type="dxa"/>
            <w:left w:w="108" w:type="dxa"/>
            <w:bottom w:w="0" w:type="dxa"/>
            <w:right w:w="108" w:type="dxa"/>
          </w:tblCellMar>
        </w:tblPrEx>
        <w:trPr>
          <w:trHeight w:val="521" w:hRule="atLeast"/>
          <w:jc w:val="center"/>
        </w:trPr>
        <w:tc>
          <w:tcPr>
            <w:tcW w:w="89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82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养护总面积</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6907.62</w:t>
            </w:r>
            <w:r>
              <w:rPr>
                <w:rFonts w:hint="eastAsia" w:ascii="宋体" w:hAnsi="宋体" w:cs="宋体"/>
                <w:color w:val="000000"/>
                <w:kern w:val="0"/>
                <w:sz w:val="18"/>
              </w:rPr>
              <w:t>亩</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6907.62</w:t>
            </w:r>
            <w:r>
              <w:rPr>
                <w:rFonts w:hint="eastAsia" w:ascii="宋体" w:hAnsi="宋体" w:cs="宋体"/>
                <w:color w:val="000000"/>
                <w:kern w:val="0"/>
                <w:sz w:val="18"/>
              </w:rPr>
              <w:t>亩</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spacing w:line="140" w:lineRule="atLeast"/>
              <w:jc w:val="left"/>
              <w:rPr>
                <w:rFonts w:ascii="宋体" w:hAnsi="宋体" w:cs="宋体"/>
                <w:color w:val="000000"/>
                <w:kern w:val="0"/>
                <w:sz w:val="24"/>
              </w:rPr>
            </w:pPr>
            <w:r>
              <w:rPr>
                <w:rFonts w:hint="eastAsia" w:ascii="宋体" w:hAnsi="宋体" w:cs="宋体"/>
                <w:color w:val="000000"/>
                <w:kern w:val="0"/>
                <w:sz w:val="18"/>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31"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养护合格面积</w:t>
            </w: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6907.62</w:t>
            </w:r>
            <w:r>
              <w:rPr>
                <w:rFonts w:hint="eastAsia" w:ascii="宋体" w:hAnsi="宋体" w:cs="宋体"/>
                <w:color w:val="000000"/>
                <w:kern w:val="0"/>
                <w:sz w:val="18"/>
              </w:rPr>
              <w:t>亩</w:t>
            </w:r>
          </w:p>
        </w:tc>
        <w:tc>
          <w:tcPr>
            <w:tcW w:w="131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18"/>
              </w:rPr>
              <w:t>6812.82</w:t>
            </w:r>
            <w:r>
              <w:rPr>
                <w:rFonts w:hint="eastAsia" w:ascii="宋体" w:hAnsi="宋体" w:cs="宋体"/>
                <w:color w:val="000000"/>
                <w:kern w:val="0"/>
                <w:sz w:val="18"/>
              </w:rPr>
              <w:t>亩</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2"/>
              </w:rPr>
            </w:pPr>
            <w:r>
              <w:rPr>
                <w:rFonts w:hint="eastAsia" w:ascii="宋体" w:hAnsi="宋体" w:cs="宋体"/>
                <w:color w:val="000000"/>
                <w:kern w:val="0"/>
                <w:sz w:val="20"/>
                <w:szCs w:val="22"/>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sz w:val="20"/>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11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 （10分）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养护检查</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4次</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4次</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08"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 （10分）</w:t>
            </w:r>
          </w:p>
        </w:tc>
        <w:tc>
          <w:tcPr>
            <w:tcW w:w="21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0"/>
              </w:rPr>
              <w:t>1842</w:t>
            </w:r>
            <w:r>
              <w:rPr>
                <w:rFonts w:hint="eastAsia" w:ascii="宋体" w:hAnsi="宋体" w:cs="宋体"/>
                <w:color w:val="000000"/>
                <w:kern w:val="0"/>
                <w:sz w:val="20"/>
              </w:rPr>
              <w:t>．</w:t>
            </w:r>
            <w:r>
              <w:rPr>
                <w:rFonts w:ascii="宋体" w:hAnsi="宋体" w:cs="宋体"/>
                <w:color w:val="000000"/>
                <w:kern w:val="0"/>
                <w:sz w:val="20"/>
              </w:rPr>
              <w:t>95</w:t>
            </w:r>
            <w:r>
              <w:rPr>
                <w:rFonts w:hint="eastAsia" w:ascii="宋体" w:hAnsi="宋体" w:cs="宋体"/>
                <w:color w:val="000000"/>
                <w:kern w:val="0"/>
                <w:sz w:val="20"/>
              </w:rPr>
              <w:t>万</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2"/>
              </w:rPr>
              <w:t>1807.29</w:t>
            </w:r>
            <w:r>
              <w:rPr>
                <w:rFonts w:hint="eastAsia" w:ascii="宋体" w:hAnsi="宋体" w:cs="宋体"/>
                <w:color w:val="000000"/>
                <w:kern w:val="0"/>
                <w:sz w:val="22"/>
              </w:rPr>
              <w:t>万</w:t>
            </w:r>
          </w:p>
        </w:tc>
        <w:tc>
          <w:tcPr>
            <w:tcW w:w="2806"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9.8</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010"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28"/>
                <w:szCs w:val="28"/>
              </w:rPr>
            </w:pPr>
            <w:r>
              <w:rPr>
                <w:rFonts w:hint="eastAsia" w:ascii="宋体" w:hAnsi="宋体" w:cs="宋体"/>
                <w:color w:val="000000"/>
                <w:kern w:val="0"/>
                <w:sz w:val="22"/>
                <w:szCs w:val="36"/>
              </w:rPr>
              <w:t>平原造林、平原生态林可提升绿色指数，营造良好生态环境</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达到预期目标</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2"/>
              </w:rPr>
            </w:pPr>
            <w:r>
              <w:rPr>
                <w:rFonts w:hint="eastAsia" w:ascii="宋体" w:hAnsi="宋体" w:cs="宋体"/>
                <w:color w:val="000000"/>
                <w:kern w:val="0"/>
                <w:sz w:val="20"/>
                <w:szCs w:val="22"/>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sz w:val="20"/>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960"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Cs w:val="32"/>
              </w:rPr>
            </w:pPr>
            <w:r>
              <w:rPr>
                <w:rFonts w:hint="eastAsia" w:ascii="宋体" w:hAnsi="宋体" w:cs="宋体"/>
                <w:color w:val="000000"/>
                <w:kern w:val="0"/>
                <w:szCs w:val="32"/>
              </w:rPr>
              <w:t>为地区群众提供舒适的休闲环境</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2806" w:type="dxa"/>
            <w:gridSpan w:val="2"/>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0"/>
                <w:szCs w:val="22"/>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37" w:hRule="atLeast"/>
          <w:jc w:val="center"/>
        </w:trPr>
        <w:tc>
          <w:tcPr>
            <w:tcW w:w="89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各养护单位对养护资金按时拨付予以好评</w:t>
            </w:r>
          </w:p>
        </w:tc>
        <w:tc>
          <w:tcPr>
            <w:tcW w:w="851"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382"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各养护单位对养护资金按时拨付予以好评</w:t>
            </w:r>
          </w:p>
        </w:tc>
        <w:tc>
          <w:tcPr>
            <w:tcW w:w="1316" w:type="dxa"/>
            <w:tcBorders>
              <w:top w:val="nil"/>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好评率达98%</w:t>
            </w:r>
          </w:p>
        </w:tc>
        <w:tc>
          <w:tcPr>
            <w:tcW w:w="2806"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rPr>
              <w:t>同效益指标得分计算方式。</w:t>
            </w:r>
          </w:p>
        </w:tc>
        <w:tc>
          <w:tcPr>
            <w:tcW w:w="1276" w:type="dxa"/>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19.6</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33" w:hRule="atLeast"/>
          <w:jc w:val="center"/>
        </w:trPr>
        <w:tc>
          <w:tcPr>
            <w:tcW w:w="12346"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ascii="宋体" w:hAnsi="宋体" w:cs="宋体"/>
                <w:b/>
                <w:color w:val="000000"/>
                <w:kern w:val="0"/>
                <w:sz w:val="24"/>
              </w:rPr>
              <w:t>99.1</w:t>
            </w:r>
          </w:p>
        </w:tc>
      </w:tr>
      <w:tr>
        <w:tblPrEx>
          <w:tblCellMar>
            <w:top w:w="0" w:type="dxa"/>
            <w:left w:w="108" w:type="dxa"/>
            <w:bottom w:w="0" w:type="dxa"/>
            <w:right w:w="108" w:type="dxa"/>
          </w:tblCellMar>
        </w:tblPrEx>
        <w:trPr>
          <w:trHeight w:val="387" w:hRule="atLeast"/>
          <w:jc w:val="center"/>
        </w:trPr>
        <w:tc>
          <w:tcPr>
            <w:tcW w:w="15323"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323"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95" w:hRule="atLeast"/>
          <w:jc w:val="center"/>
        </w:trPr>
        <w:tc>
          <w:tcPr>
            <w:tcW w:w="15323"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323"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pgSz w:w="16838" w:h="11906" w:orient="landscape"/>
          <w:pgMar w:top="1440" w:right="1803" w:bottom="1213" w:left="1803" w:header="851" w:footer="992" w:gutter="0"/>
          <w:cols w:space="720" w:num="1"/>
          <w:docGrid w:type="lines" w:linePitch="312" w:charSpace="0"/>
        </w:sectPr>
      </w:pPr>
    </w:p>
    <w:tbl>
      <w:tblPr>
        <w:tblStyle w:val="14"/>
        <w:tblW w:w="15323" w:type="dxa"/>
        <w:jc w:val="center"/>
        <w:tblLayout w:type="autofit"/>
        <w:tblCellMar>
          <w:top w:w="0" w:type="dxa"/>
          <w:left w:w="108" w:type="dxa"/>
          <w:bottom w:w="0" w:type="dxa"/>
          <w:right w:w="108" w:type="dxa"/>
        </w:tblCellMar>
      </w:tblPr>
      <w:tblGrid>
        <w:gridCol w:w="893"/>
        <w:gridCol w:w="1375"/>
        <w:gridCol w:w="1597"/>
        <w:gridCol w:w="2126"/>
        <w:gridCol w:w="851"/>
        <w:gridCol w:w="1382"/>
        <w:gridCol w:w="1316"/>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323"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w:t>
            </w:r>
            <w:r>
              <w:rPr>
                <w:rFonts w:hint="eastAsia" w:ascii="方正小标宋简体" w:hAnsi="黑体" w:eastAsia="方正小标宋简体" w:cs="宋体"/>
                <w:color w:val="000000"/>
                <w:kern w:val="0"/>
                <w:sz w:val="32"/>
                <w:szCs w:val="32"/>
              </w:rPr>
              <w:t>（表15）</w:t>
            </w:r>
          </w:p>
        </w:tc>
      </w:tr>
      <w:tr>
        <w:tblPrEx>
          <w:tblCellMar>
            <w:top w:w="0" w:type="dxa"/>
            <w:left w:w="108" w:type="dxa"/>
            <w:bottom w:w="0" w:type="dxa"/>
            <w:right w:w="108" w:type="dxa"/>
          </w:tblCellMar>
        </w:tblPrEx>
        <w:trPr>
          <w:trHeight w:val="229" w:hRule="atLeast"/>
          <w:jc w:val="center"/>
        </w:trPr>
        <w:tc>
          <w:tcPr>
            <w:tcW w:w="153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1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446"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458"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背街小巷村庄道路保洁</w:t>
            </w:r>
          </w:p>
        </w:tc>
      </w:tr>
      <w:tr>
        <w:tblPrEx>
          <w:tblCellMar>
            <w:top w:w="0" w:type="dxa"/>
            <w:left w:w="108" w:type="dxa"/>
            <w:bottom w:w="0" w:type="dxa"/>
            <w:right w:w="108" w:type="dxa"/>
          </w:tblCellMar>
        </w:tblPrEx>
        <w:trPr>
          <w:trHeight w:val="410" w:hRule="atLeast"/>
          <w:jc w:val="center"/>
        </w:trPr>
        <w:tc>
          <w:tcPr>
            <w:tcW w:w="386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7099" w:type="dxa"/>
            <w:gridSpan w:val="5"/>
            <w:tcBorders>
              <w:top w:val="single" w:color="auto" w:sz="4" w:space="0"/>
              <w:left w:val="nil"/>
              <w:bottom w:val="single" w:color="auto" w:sz="4" w:space="0"/>
              <w:right w:val="single" w:color="000000" w:sz="4" w:space="0"/>
            </w:tcBorders>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南苑乡人民政府</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370"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418.77</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418.27　</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c>
          <w:tcPr>
            <w:tcW w:w="1701"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37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418.77</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418.27　</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358"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252" w:hRule="atLeast"/>
          <w:jc w:val="center"/>
        </w:trPr>
        <w:tc>
          <w:tcPr>
            <w:tcW w:w="89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进一步提高南苑乡背街小巷环境卫生保洁作业服务质量，为辖区居民提高优质的环境卫生服务，力争在丰台区城乡环境建设全年考核中排名前七。</w:t>
            </w:r>
          </w:p>
        </w:tc>
        <w:tc>
          <w:tcPr>
            <w:tcW w:w="7099"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rPr>
                <w:rFonts w:ascii="宋体" w:hAnsi="宋体" w:cs="宋体"/>
                <w:color w:val="000000"/>
                <w:kern w:val="0"/>
                <w:sz w:val="24"/>
              </w:rPr>
            </w:pPr>
            <w:r>
              <w:rPr>
                <w:rFonts w:hint="eastAsia" w:ascii="宋体" w:hAnsi="宋体" w:cs="宋体"/>
                <w:color w:val="000000"/>
                <w:kern w:val="0"/>
                <w:sz w:val="24"/>
              </w:rPr>
              <w:t>通过购买服务，完成我乡228条背街小巷保洁工作。通过市区乡三级市容环境卫生检查整改保障经费效果落实。乡环境巡查队分四大片区定期检查，全年共计接收市区督办件共315件。检查62次，下发督办93期、督促整改问题1404处；现场处理各类环境问题500余处。</w:t>
            </w:r>
          </w:p>
        </w:tc>
      </w:tr>
      <w:tr>
        <w:tblPrEx>
          <w:tblCellMar>
            <w:top w:w="0" w:type="dxa"/>
            <w:left w:w="108" w:type="dxa"/>
            <w:bottom w:w="0" w:type="dxa"/>
            <w:right w:w="108" w:type="dxa"/>
          </w:tblCellMar>
        </w:tblPrEx>
        <w:trPr>
          <w:trHeight w:val="521" w:hRule="atLeast"/>
          <w:jc w:val="center"/>
        </w:trPr>
        <w:tc>
          <w:tcPr>
            <w:tcW w:w="89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82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背街小巷在账数量</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38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　228条</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228条</w:t>
            </w:r>
          </w:p>
        </w:tc>
        <w:tc>
          <w:tcPr>
            <w:tcW w:w="2806" w:type="dxa"/>
            <w:gridSpan w:val="2"/>
            <w:tcBorders>
              <w:top w:val="single" w:color="auto" w:sz="4" w:space="0"/>
              <w:left w:val="single" w:color="auto" w:sz="4" w:space="0"/>
              <w:bottom w:val="single" w:color="auto" w:sz="4" w:space="0"/>
              <w:right w:val="single" w:color="auto" w:sz="4" w:space="0"/>
            </w:tcBorders>
            <w:vAlign w:val="center"/>
          </w:tcPr>
          <w:p>
            <w:pPr>
              <w:widowControl/>
              <w:spacing w:line="140" w:lineRule="atLeast"/>
              <w:jc w:val="left"/>
              <w:rPr>
                <w:rFonts w:ascii="宋体" w:hAnsi="宋体" w:cs="宋体"/>
                <w:color w:val="000000"/>
                <w:kern w:val="0"/>
                <w:sz w:val="24"/>
              </w:rPr>
            </w:pPr>
            <w:r>
              <w:rPr>
                <w:rFonts w:hint="eastAsia" w:ascii="宋体" w:hAnsi="宋体" w:cs="宋体"/>
                <w:color w:val="000000"/>
                <w:kern w:val="0"/>
                <w:sz w:val="18"/>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170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31"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背街小巷环境整洁度</w:t>
            </w:r>
          </w:p>
          <w:p>
            <w:pPr>
              <w:widowControl/>
              <w:ind w:firstLine="240" w:firstLineChars="100"/>
              <w:jc w:val="left"/>
              <w:rPr>
                <w:rFonts w:ascii="宋体" w:hAnsi="宋体" w:cs="宋体"/>
                <w:color w:val="000000"/>
                <w:kern w:val="0"/>
                <w:sz w:val="24"/>
              </w:rPr>
            </w:pP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38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依据市区相关规定执行　</w:t>
            </w:r>
          </w:p>
        </w:tc>
        <w:tc>
          <w:tcPr>
            <w:tcW w:w="131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达成预期指标</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2"/>
              </w:rPr>
            </w:pPr>
            <w:r>
              <w:rPr>
                <w:rFonts w:hint="eastAsia" w:ascii="宋体" w:hAnsi="宋体" w:cs="宋体"/>
                <w:color w:val="000000"/>
                <w:kern w:val="0"/>
                <w:sz w:val="20"/>
                <w:szCs w:val="22"/>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sz w:val="20"/>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1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xml:space="preserve">进度指标 </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保障时间</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12个月</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12个月</w:t>
            </w:r>
          </w:p>
        </w:tc>
        <w:tc>
          <w:tcPr>
            <w:tcW w:w="2806"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46" w:hRule="atLeast"/>
          <w:jc w:val="center"/>
        </w:trPr>
        <w:tc>
          <w:tcPr>
            <w:tcW w:w="89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xml:space="preserve">成本指标 </w:t>
            </w:r>
          </w:p>
        </w:tc>
        <w:tc>
          <w:tcPr>
            <w:tcW w:w="212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项目预算控制数</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20</w:t>
            </w:r>
          </w:p>
        </w:tc>
        <w:tc>
          <w:tcPr>
            <w:tcW w:w="13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418.77万</w:t>
            </w:r>
          </w:p>
        </w:tc>
        <w:tc>
          <w:tcPr>
            <w:tcW w:w="131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418.27万　</w:t>
            </w:r>
          </w:p>
        </w:tc>
        <w:tc>
          <w:tcPr>
            <w:tcW w:w="2806" w:type="dxa"/>
            <w:gridSpan w:val="2"/>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701" w:type="dxa"/>
            <w:tcBorders>
              <w:top w:val="single" w:color="auto" w:sz="4" w:space="0"/>
              <w:left w:val="single" w:color="auto" w:sz="4" w:space="0"/>
              <w:bottom w:val="single" w:color="auto" w:sz="4" w:space="0"/>
              <w:right w:val="single" w:color="auto" w:sz="4" w:space="0"/>
            </w:tcBorders>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074"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环境效益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2"/>
                <w:szCs w:val="22"/>
              </w:rPr>
              <w:t>保持背街小巷清洁，在丰台区城乡环境建设管理考核中市容环境考核进入前七</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街乡镇第一</w:t>
            </w:r>
          </w:p>
        </w:tc>
        <w:tc>
          <w:tcPr>
            <w:tcW w:w="2806"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2"/>
              </w:rPr>
            </w:pPr>
            <w:r>
              <w:rPr>
                <w:rFonts w:hint="eastAsia" w:ascii="宋体" w:hAnsi="宋体" w:cs="宋体"/>
                <w:color w:val="000000"/>
                <w:kern w:val="0"/>
                <w:sz w:val="20"/>
                <w:szCs w:val="22"/>
              </w:rPr>
              <w:t>1.若为定性指标，则根据“四档”原则分别按照指标分值的100-90%(含90%)、90-75%(含75%)、75-60%（含60%）、60-0%来记分。</w:t>
            </w:r>
          </w:p>
          <w:p>
            <w:pPr>
              <w:widowControl/>
              <w:jc w:val="left"/>
              <w:rPr>
                <w:rFonts w:ascii="宋体" w:hAnsi="宋体" w:cs="宋体"/>
                <w:color w:val="000000"/>
                <w:kern w:val="0"/>
              </w:rPr>
            </w:pPr>
            <w:r>
              <w:rPr>
                <w:rFonts w:hint="eastAsia" w:ascii="宋体" w:hAnsi="宋体" w:cs="宋体"/>
                <w:color w:val="000000"/>
                <w:kern w:val="0"/>
                <w:sz w:val="20"/>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rPr>
          <w:trHeight w:val="886" w:hRule="atLeast"/>
          <w:jc w:val="center"/>
        </w:trPr>
        <w:tc>
          <w:tcPr>
            <w:tcW w:w="893" w:type="dxa"/>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社会效益</w:t>
            </w: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382"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20"/>
                <w:szCs w:val="28"/>
              </w:rPr>
            </w:pPr>
            <w:r>
              <w:rPr>
                <w:rFonts w:hint="eastAsia" w:ascii="宋体" w:hAnsi="宋体" w:cs="宋体"/>
                <w:color w:val="000000"/>
                <w:kern w:val="0"/>
                <w:sz w:val="20"/>
                <w:szCs w:val="28"/>
              </w:rPr>
              <w:t>提升群众生活舒适感、满意度</w:t>
            </w:r>
          </w:p>
        </w:tc>
        <w:tc>
          <w:tcPr>
            <w:tcW w:w="1316"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较好达到预期目标</w:t>
            </w:r>
          </w:p>
        </w:tc>
        <w:tc>
          <w:tcPr>
            <w:tcW w:w="2806" w:type="dxa"/>
            <w:gridSpan w:val="2"/>
            <w:vMerge w:val="continue"/>
            <w:tcBorders>
              <w:left w:val="single" w:color="auto" w:sz="4" w:space="0"/>
              <w:bottom w:val="nil"/>
              <w:right w:val="single" w:color="auto" w:sz="4" w:space="0"/>
            </w:tcBorders>
            <w:vAlign w:val="center"/>
          </w:tcPr>
          <w:p>
            <w:pPr>
              <w:widowControl/>
              <w:jc w:val="left"/>
              <w:rPr>
                <w:rFonts w:ascii="宋体" w:hAnsi="宋体" w:cs="宋体"/>
                <w:color w:val="000000"/>
                <w:kern w:val="0"/>
                <w:sz w:val="20"/>
                <w:szCs w:val="22"/>
              </w:rPr>
            </w:pPr>
          </w:p>
        </w:tc>
        <w:tc>
          <w:tcPr>
            <w:tcW w:w="127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1153" w:hRule="atLeast"/>
          <w:jc w:val="center"/>
        </w:trPr>
        <w:tc>
          <w:tcPr>
            <w:tcW w:w="89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26"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2"/>
                <w:szCs w:val="22"/>
              </w:rPr>
              <w:t>网格案件及12345热线案件数量合理且处理及时到位。</w:t>
            </w:r>
          </w:p>
        </w:tc>
        <w:tc>
          <w:tcPr>
            <w:tcW w:w="851"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382" w:type="dxa"/>
            <w:tcBorders>
              <w:top w:val="nil"/>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满意度90%以上</w:t>
            </w:r>
          </w:p>
        </w:tc>
        <w:tc>
          <w:tcPr>
            <w:tcW w:w="1316" w:type="dxa"/>
            <w:tcBorders>
              <w:top w:val="nil"/>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好评率达90%</w:t>
            </w:r>
          </w:p>
        </w:tc>
        <w:tc>
          <w:tcPr>
            <w:tcW w:w="2806" w:type="dxa"/>
            <w:gridSpan w:val="2"/>
            <w:tcBorders>
              <w:top w:val="single" w:color="auto" w:sz="4" w:space="0"/>
              <w:left w:val="single" w:color="auto" w:sz="4" w:space="0"/>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rPr>
              <w:t>同效益指标得分计算方式。</w:t>
            </w:r>
          </w:p>
        </w:tc>
        <w:tc>
          <w:tcPr>
            <w:tcW w:w="1276" w:type="dxa"/>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318" w:hRule="atLeast"/>
          <w:jc w:val="center"/>
        </w:trPr>
        <w:tc>
          <w:tcPr>
            <w:tcW w:w="12346" w:type="dxa"/>
            <w:gridSpan w:val="9"/>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95.99</w:t>
            </w:r>
          </w:p>
        </w:tc>
      </w:tr>
      <w:tr>
        <w:tblPrEx>
          <w:tblCellMar>
            <w:top w:w="0" w:type="dxa"/>
            <w:left w:w="108" w:type="dxa"/>
            <w:bottom w:w="0" w:type="dxa"/>
            <w:right w:w="108" w:type="dxa"/>
          </w:tblCellMar>
        </w:tblPrEx>
        <w:trPr>
          <w:trHeight w:val="387" w:hRule="atLeast"/>
          <w:jc w:val="center"/>
        </w:trPr>
        <w:tc>
          <w:tcPr>
            <w:tcW w:w="15323" w:type="dxa"/>
            <w:gridSpan w:val="11"/>
            <w:tcBorders>
              <w:top w:val="single" w:color="auto" w:sz="4" w:space="0"/>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323"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95" w:hRule="atLeast"/>
          <w:jc w:val="center"/>
        </w:trPr>
        <w:tc>
          <w:tcPr>
            <w:tcW w:w="15323"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323" w:type="dxa"/>
            <w:gridSpan w:val="11"/>
            <w:tcBorders>
              <w:top w:val="nil"/>
              <w:left w:val="nil"/>
              <w:bottom w:val="nil"/>
              <w:right w:val="nil"/>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ectPr>
          <w:pgSz w:w="16838" w:h="11906" w:orient="landscape"/>
          <w:pgMar w:top="1440" w:right="1803" w:bottom="1213" w:left="1803" w:header="851" w:footer="992" w:gutter="0"/>
          <w:cols w:space="720" w:num="1"/>
          <w:docGrid w:type="lines" w:linePitch="312" w:charSpace="0"/>
        </w:sectPr>
      </w:pPr>
    </w:p>
    <w:tbl>
      <w:tblPr>
        <w:tblStyle w:val="14"/>
        <w:tblpPr w:leftFromText="180" w:rightFromText="180" w:horzAnchor="margin" w:tblpX="1" w:tblpY="-1800"/>
        <w:tblW w:w="10120" w:type="dxa"/>
        <w:tblInd w:w="0" w:type="dxa"/>
        <w:tblLayout w:type="fixed"/>
        <w:tblCellMar>
          <w:top w:w="0" w:type="dxa"/>
          <w:left w:w="108" w:type="dxa"/>
          <w:bottom w:w="0" w:type="dxa"/>
          <w:right w:w="108" w:type="dxa"/>
        </w:tblCellMar>
      </w:tblPr>
      <w:tblGrid>
        <w:gridCol w:w="646"/>
        <w:gridCol w:w="947"/>
        <w:gridCol w:w="1300"/>
        <w:gridCol w:w="1346"/>
        <w:gridCol w:w="1649"/>
        <w:gridCol w:w="1486"/>
        <w:gridCol w:w="975"/>
        <w:gridCol w:w="885"/>
        <w:gridCol w:w="886"/>
      </w:tblGrid>
      <w:tr>
        <w:tblPrEx>
          <w:tblCellMar>
            <w:top w:w="0" w:type="dxa"/>
            <w:left w:w="108" w:type="dxa"/>
            <w:bottom w:w="0" w:type="dxa"/>
            <w:right w:w="108" w:type="dxa"/>
          </w:tblCellMar>
        </w:tblPrEx>
        <w:trPr>
          <w:trHeight w:val="90" w:hRule="atLeast"/>
        </w:trPr>
        <w:tc>
          <w:tcPr>
            <w:tcW w:w="10120" w:type="dxa"/>
            <w:gridSpan w:val="9"/>
            <w:tcBorders>
              <w:top w:val="nil"/>
              <w:left w:val="nil"/>
              <w:bottom w:val="nil"/>
              <w:right w:val="nil"/>
            </w:tcBorders>
            <w:vAlign w:val="center"/>
          </w:tcPr>
          <w:p>
            <w:pPr>
              <w:widowControl/>
              <w:rPr>
                <w:rFonts w:ascii="仿宋_GB2312" w:eastAsia="仿宋_GB2312"/>
                <w:sz w:val="32"/>
                <w:szCs w:val="32"/>
              </w:rPr>
            </w:pPr>
          </w:p>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项目支出事后绩效自评表（表16）</w:t>
            </w:r>
          </w:p>
        </w:tc>
      </w:tr>
      <w:tr>
        <w:tblPrEx>
          <w:tblCellMar>
            <w:top w:w="0" w:type="dxa"/>
            <w:left w:w="108" w:type="dxa"/>
            <w:bottom w:w="0" w:type="dxa"/>
            <w:right w:w="108" w:type="dxa"/>
          </w:tblCellMar>
        </w:tblPrEx>
        <w:trPr>
          <w:trHeight w:val="90" w:hRule="atLeast"/>
        </w:trPr>
        <w:tc>
          <w:tcPr>
            <w:tcW w:w="10120" w:type="dxa"/>
            <w:gridSpan w:val="9"/>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c>
          <w:tcPr>
            <w:tcW w:w="28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227" w:type="dxa"/>
            <w:gridSpan w:val="6"/>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南苑湿地公园先行启动区建设土地复垦一次性综合补助</w:t>
            </w:r>
          </w:p>
        </w:tc>
      </w:tr>
      <w:tr>
        <w:tblPrEx>
          <w:tblCellMar>
            <w:top w:w="0" w:type="dxa"/>
            <w:left w:w="108" w:type="dxa"/>
            <w:bottom w:w="0" w:type="dxa"/>
            <w:right w:w="108" w:type="dxa"/>
          </w:tblCellMar>
        </w:tblPrEx>
        <w:tc>
          <w:tcPr>
            <w:tcW w:w="28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95" w:type="dxa"/>
            <w:gridSpan w:val="2"/>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486" w:type="dxa"/>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74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南苑乡农业服务中心（北林业工作站）</w:t>
            </w:r>
          </w:p>
        </w:tc>
      </w:tr>
      <w:tr>
        <w:tblPrEx>
          <w:tblCellMar>
            <w:top w:w="0" w:type="dxa"/>
            <w:left w:w="108" w:type="dxa"/>
            <w:bottom w:w="0" w:type="dxa"/>
            <w:right w:w="108" w:type="dxa"/>
          </w:tblCellMar>
        </w:tblPrEx>
        <w:tc>
          <w:tcPr>
            <w:tcW w:w="2893" w:type="dxa"/>
            <w:gridSpan w:val="3"/>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346"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center"/>
              <w:rPr>
                <w:rFonts w:ascii="宋体" w:hAnsi="宋体" w:cs="宋体"/>
                <w:color w:val="000000"/>
                <w:kern w:val="0"/>
                <w:sz w:val="24"/>
              </w:rPr>
            </w:pPr>
          </w:p>
        </w:tc>
        <w:tc>
          <w:tcPr>
            <w:tcW w:w="1649" w:type="dxa"/>
            <w:tcBorders>
              <w:top w:val="nil"/>
              <w:left w:val="single" w:color="auto" w:sz="4" w:space="0"/>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年初预算数（A）</w:t>
            </w:r>
          </w:p>
        </w:tc>
        <w:tc>
          <w:tcPr>
            <w:tcW w:w="1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全年执行数（B）</w:t>
            </w:r>
          </w:p>
        </w:tc>
        <w:tc>
          <w:tcPr>
            <w:tcW w:w="9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分值</w:t>
            </w:r>
            <w:r>
              <w:rPr>
                <w:rFonts w:hint="eastAsia" w:ascii="宋体" w:hAnsi="宋体" w:cs="宋体"/>
                <w:color w:val="000000"/>
                <w:kern w:val="0"/>
                <w:sz w:val="20"/>
                <w:szCs w:val="20"/>
              </w:rPr>
              <w:t>(10分)</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执行率（B/A)</w:t>
            </w:r>
          </w:p>
        </w:tc>
        <w:tc>
          <w:tcPr>
            <w:tcW w:w="8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得分</w:t>
            </w:r>
          </w:p>
        </w:tc>
      </w:tr>
      <w:tr>
        <w:tblPrEx>
          <w:tblCellMar>
            <w:top w:w="0" w:type="dxa"/>
            <w:left w:w="108" w:type="dxa"/>
            <w:bottom w:w="0" w:type="dxa"/>
            <w:right w:w="108" w:type="dxa"/>
          </w:tblCellMar>
        </w:tblPrEx>
        <w:tc>
          <w:tcPr>
            <w:tcW w:w="2893"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346" w:type="dxa"/>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6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146</w:t>
            </w:r>
          </w:p>
        </w:tc>
        <w:tc>
          <w:tcPr>
            <w:tcW w:w="1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135.4014</w:t>
            </w:r>
          </w:p>
        </w:tc>
        <w:tc>
          <w:tcPr>
            <w:tcW w:w="975" w:type="dxa"/>
            <w:tcBorders>
              <w:top w:val="nil"/>
              <w:left w:val="nil"/>
              <w:bottom w:val="single" w:color="auto" w:sz="4" w:space="0"/>
              <w:right w:val="single" w:color="auto" w:sz="4" w:space="0"/>
            </w:tcBorders>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92.7%　</w:t>
            </w:r>
          </w:p>
        </w:tc>
        <w:tc>
          <w:tcPr>
            <w:tcW w:w="8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9.27</w:t>
            </w:r>
          </w:p>
        </w:tc>
      </w:tr>
      <w:tr>
        <w:tblPrEx>
          <w:tblCellMar>
            <w:top w:w="0" w:type="dxa"/>
            <w:left w:w="108" w:type="dxa"/>
            <w:bottom w:w="0" w:type="dxa"/>
            <w:right w:w="108" w:type="dxa"/>
          </w:tblCellMar>
        </w:tblPrEx>
        <w:tc>
          <w:tcPr>
            <w:tcW w:w="2893"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346"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6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146</w:t>
            </w:r>
          </w:p>
        </w:tc>
        <w:tc>
          <w:tcPr>
            <w:tcW w:w="1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135.4014</w:t>
            </w:r>
          </w:p>
        </w:tc>
        <w:tc>
          <w:tcPr>
            <w:tcW w:w="97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92.7%</w:t>
            </w:r>
          </w:p>
        </w:tc>
        <w:tc>
          <w:tcPr>
            <w:tcW w:w="886"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9.27</w:t>
            </w:r>
          </w:p>
        </w:tc>
      </w:tr>
      <w:tr>
        <w:tblPrEx>
          <w:tblCellMar>
            <w:top w:w="0" w:type="dxa"/>
            <w:left w:w="108" w:type="dxa"/>
            <w:bottom w:w="0" w:type="dxa"/>
            <w:right w:w="108" w:type="dxa"/>
          </w:tblCellMar>
        </w:tblPrEx>
        <w:tc>
          <w:tcPr>
            <w:tcW w:w="2893"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346"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6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7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c>
          <w:tcPr>
            <w:tcW w:w="646" w:type="dxa"/>
            <w:tcBorders>
              <w:top w:val="nil"/>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242"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年初设定目标：通过南苑湿地公园先行启动区建设土地复垦工程，改良地块土质，使其符合种植条件，提升生态环境品质，提升百姓人居环境</w:t>
            </w:r>
          </w:p>
        </w:tc>
        <w:tc>
          <w:tcPr>
            <w:tcW w:w="4232"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年度总体目标完成情况综述：南苑湿地公园先行启动区建设土地复垦地</w:t>
            </w:r>
            <w:r>
              <w:rPr>
                <w:rFonts w:hint="eastAsia" w:ascii="宋体" w:hAnsi="宋体" w:cs="宋体"/>
                <w:color w:val="000000"/>
                <w:kern w:val="0"/>
                <w:sz w:val="22"/>
                <w:szCs w:val="22"/>
              </w:rPr>
              <w:t>块均已完成绿化种植，为湿地公园建设打下扎实基础。</w:t>
            </w:r>
          </w:p>
        </w:tc>
      </w:tr>
      <w:tr>
        <w:tblPrEx>
          <w:tblCellMar>
            <w:top w:w="0" w:type="dxa"/>
            <w:left w:w="108" w:type="dxa"/>
            <w:bottom w:w="0" w:type="dxa"/>
            <w:right w:w="108" w:type="dxa"/>
          </w:tblCellMar>
        </w:tblPrEx>
        <w:tc>
          <w:tcPr>
            <w:tcW w:w="646" w:type="dxa"/>
            <w:vMerge w:val="restart"/>
            <w:tcBorders>
              <w:top w:val="single" w:color="auto" w:sz="4" w:space="0"/>
              <w:left w:val="single" w:color="auto" w:sz="4" w:space="0"/>
              <w:right w:val="single" w:color="auto" w:sz="4" w:space="0"/>
            </w:tcBorders>
            <w:textDirection w:val="tbRlV"/>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绩效指标</w:t>
            </w:r>
          </w:p>
        </w:tc>
        <w:tc>
          <w:tcPr>
            <w:tcW w:w="9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一级指标</w:t>
            </w:r>
          </w:p>
        </w:tc>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二级指标</w:t>
            </w:r>
          </w:p>
        </w:tc>
        <w:tc>
          <w:tcPr>
            <w:tcW w:w="13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三级指标</w:t>
            </w:r>
          </w:p>
        </w:tc>
        <w:tc>
          <w:tcPr>
            <w:tcW w:w="164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年度指标值(A)</w:t>
            </w:r>
          </w:p>
        </w:tc>
        <w:tc>
          <w:tcPr>
            <w:tcW w:w="148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全年实际值(B)</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分值</w:t>
            </w:r>
          </w:p>
        </w:tc>
        <w:tc>
          <w:tcPr>
            <w:tcW w:w="8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得分</w:t>
            </w:r>
          </w:p>
        </w:tc>
        <w:tc>
          <w:tcPr>
            <w:tcW w:w="88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未完成原因分析</w:t>
            </w: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3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面积完成率</w:t>
            </w:r>
          </w:p>
        </w:tc>
        <w:tc>
          <w:tcPr>
            <w:tcW w:w="164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29.29亩　</w:t>
            </w:r>
          </w:p>
        </w:tc>
        <w:tc>
          <w:tcPr>
            <w:tcW w:w="148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29.29亩</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3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渣土清理</w:t>
            </w:r>
          </w:p>
        </w:tc>
        <w:tc>
          <w:tcPr>
            <w:tcW w:w="16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0"/>
                <w:szCs w:val="20"/>
              </w:rPr>
              <w:t>红线范围内渣土全部清理干净</w:t>
            </w:r>
            <w:r>
              <w:rPr>
                <w:rFonts w:hint="eastAsia" w:ascii="宋体" w:hAnsi="宋体" w:cs="宋体"/>
                <w:color w:val="000000"/>
                <w:kern w:val="0"/>
                <w:sz w:val="24"/>
              </w:rPr>
              <w:t>　</w:t>
            </w:r>
          </w:p>
        </w:tc>
        <w:tc>
          <w:tcPr>
            <w:tcW w:w="14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清理100%</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3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覆土厚度</w:t>
            </w:r>
          </w:p>
        </w:tc>
        <w:tc>
          <w:tcPr>
            <w:tcW w:w="16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不得小于图纸要求</w:t>
            </w:r>
          </w:p>
        </w:tc>
        <w:tc>
          <w:tcPr>
            <w:tcW w:w="14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大于图纸要求</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34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竣工时间</w:t>
            </w:r>
          </w:p>
        </w:tc>
        <w:tc>
          <w:tcPr>
            <w:tcW w:w="1649" w:type="dxa"/>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12月前</w:t>
            </w:r>
          </w:p>
        </w:tc>
        <w:tc>
          <w:tcPr>
            <w:tcW w:w="148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12月前</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成本指标（10分）</w:t>
            </w:r>
          </w:p>
        </w:tc>
        <w:tc>
          <w:tcPr>
            <w:tcW w:w="134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项目预算控制数</w:t>
            </w:r>
          </w:p>
        </w:tc>
        <w:tc>
          <w:tcPr>
            <w:tcW w:w="164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146万</w:t>
            </w:r>
          </w:p>
        </w:tc>
        <w:tc>
          <w:tcPr>
            <w:tcW w:w="148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135.4014万元</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9.27</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压缩成本</w:t>
            </w: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r>
              <w:rPr>
                <w:rFonts w:hint="eastAsia" w:ascii="宋体" w:hAnsi="宋体" w:cs="宋体"/>
                <w:kern w:val="0"/>
                <w:sz w:val="24"/>
              </w:rPr>
              <w:t>（20分）</w:t>
            </w:r>
          </w:p>
        </w:tc>
        <w:tc>
          <w:tcPr>
            <w:tcW w:w="134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环境效益</w:t>
            </w:r>
          </w:p>
        </w:tc>
        <w:tc>
          <w:tcPr>
            <w:tcW w:w="164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改善了地块所在位置的环境面貌</w:t>
            </w:r>
          </w:p>
        </w:tc>
        <w:tc>
          <w:tcPr>
            <w:tcW w:w="1486" w:type="dxa"/>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达成预期指标且效果较好</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88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90" w:hRule="atLeast"/>
        </w:trPr>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4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社会效益</w:t>
            </w:r>
          </w:p>
        </w:tc>
        <w:tc>
          <w:tcPr>
            <w:tcW w:w="164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加强对疏解腾退空间的利用，改善人居环境</w:t>
            </w:r>
          </w:p>
        </w:tc>
        <w:tc>
          <w:tcPr>
            <w:tcW w:w="1486" w:type="dxa"/>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达成预期指标且效果较好　</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88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c>
          <w:tcPr>
            <w:tcW w:w="6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947"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00" w:type="dxa"/>
            <w:tcBorders>
              <w:top w:val="nil"/>
              <w:left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满意度指标（20分）</w:t>
            </w:r>
          </w:p>
        </w:tc>
        <w:tc>
          <w:tcPr>
            <w:tcW w:w="134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Cs w:val="20"/>
              </w:rPr>
              <w:t>对周边群众就环境改善情况进行满意度调查</w:t>
            </w:r>
          </w:p>
        </w:tc>
        <w:tc>
          <w:tcPr>
            <w:tcW w:w="164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达成预期指标且效果较好效果　</w:t>
            </w:r>
          </w:p>
        </w:tc>
        <w:tc>
          <w:tcPr>
            <w:tcW w:w="1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效果实现90%</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c>
          <w:tcPr>
            <w:tcW w:w="88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18</w:t>
            </w:r>
          </w:p>
        </w:tc>
        <w:tc>
          <w:tcPr>
            <w:tcW w:w="88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c>
          <w:tcPr>
            <w:tcW w:w="8349"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总分：95.54</w:t>
            </w:r>
          </w:p>
        </w:tc>
        <w:tc>
          <w:tcPr>
            <w:tcW w:w="177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sectPr>
          <w:pgSz w:w="11906" w:h="16838"/>
          <w:pgMar w:top="1463" w:right="1213" w:bottom="1123" w:left="1213" w:header="851" w:footer="992" w:gutter="0"/>
          <w:cols w:space="720" w:num="1"/>
          <w:docGrid w:type="lines" w:linePitch="312" w:charSpace="0"/>
        </w:sectPr>
      </w:pPr>
    </w:p>
    <w:tbl>
      <w:tblPr>
        <w:tblStyle w:val="14"/>
        <w:tblpPr w:leftFromText="180" w:rightFromText="180" w:horzAnchor="margin" w:tblpY="-1800"/>
        <w:tblW w:w="10987" w:type="dxa"/>
        <w:tblInd w:w="0" w:type="dxa"/>
        <w:tblLayout w:type="fixed"/>
        <w:tblCellMar>
          <w:top w:w="0" w:type="dxa"/>
          <w:left w:w="108" w:type="dxa"/>
          <w:bottom w:w="0" w:type="dxa"/>
          <w:right w:w="108" w:type="dxa"/>
        </w:tblCellMar>
      </w:tblPr>
      <w:tblGrid>
        <w:gridCol w:w="846"/>
        <w:gridCol w:w="1247"/>
        <w:gridCol w:w="1276"/>
        <w:gridCol w:w="1701"/>
        <w:gridCol w:w="84"/>
        <w:gridCol w:w="1140"/>
        <w:gridCol w:w="1095"/>
        <w:gridCol w:w="150"/>
        <w:gridCol w:w="960"/>
        <w:gridCol w:w="1005"/>
        <w:gridCol w:w="540"/>
        <w:gridCol w:w="943"/>
      </w:tblGrid>
      <w:tr>
        <w:tblPrEx>
          <w:tblCellMar>
            <w:top w:w="0" w:type="dxa"/>
            <w:left w:w="108" w:type="dxa"/>
            <w:bottom w:w="0" w:type="dxa"/>
            <w:right w:w="108" w:type="dxa"/>
          </w:tblCellMar>
        </w:tblPrEx>
        <w:trPr>
          <w:trHeight w:val="484" w:hRule="atLeast"/>
        </w:trPr>
        <w:tc>
          <w:tcPr>
            <w:tcW w:w="10987" w:type="dxa"/>
            <w:gridSpan w:val="12"/>
            <w:tcBorders>
              <w:top w:val="nil"/>
              <w:left w:val="nil"/>
              <w:bottom w:val="nil"/>
              <w:right w:val="nil"/>
            </w:tcBorders>
            <w:vAlign w:val="center"/>
          </w:tcPr>
          <w:p>
            <w:pPr>
              <w:widowControl/>
              <w:jc w:val="center"/>
              <w:rPr>
                <w:rFonts w:ascii="仿宋_GB2312" w:eastAsia="仿宋_GB2312"/>
                <w:sz w:val="32"/>
                <w:szCs w:val="32"/>
              </w:rPr>
            </w:pPr>
          </w:p>
          <w:p>
            <w:pPr>
              <w:widowControl/>
              <w:ind w:left="-199" w:leftChars="-95" w:firstLine="960" w:firstLineChars="300"/>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（表17）</w:t>
            </w:r>
          </w:p>
        </w:tc>
      </w:tr>
      <w:tr>
        <w:tblPrEx>
          <w:tblCellMar>
            <w:top w:w="0" w:type="dxa"/>
            <w:left w:w="108" w:type="dxa"/>
            <w:bottom w:w="0" w:type="dxa"/>
            <w:right w:w="108" w:type="dxa"/>
          </w:tblCellMar>
        </w:tblPrEx>
        <w:trPr>
          <w:gridAfter w:val="1"/>
          <w:wAfter w:w="943" w:type="dxa"/>
          <w:trHeight w:val="311" w:hRule="atLeast"/>
        </w:trPr>
        <w:tc>
          <w:tcPr>
            <w:tcW w:w="10044"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gridAfter w:val="1"/>
          <w:wAfter w:w="943" w:type="dxa"/>
          <w:trHeight w:val="370" w:hRule="atLeast"/>
        </w:trPr>
        <w:tc>
          <w:tcPr>
            <w:tcW w:w="336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6675" w:type="dxa"/>
            <w:gridSpan w:val="8"/>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2019年村级公益事业补助</w:t>
            </w:r>
          </w:p>
        </w:tc>
      </w:tr>
      <w:tr>
        <w:tblPrEx>
          <w:tblCellMar>
            <w:top w:w="0" w:type="dxa"/>
            <w:left w:w="108" w:type="dxa"/>
            <w:bottom w:w="0" w:type="dxa"/>
            <w:right w:w="108" w:type="dxa"/>
          </w:tblCellMar>
        </w:tblPrEx>
        <w:trPr>
          <w:gridAfter w:val="1"/>
          <w:wAfter w:w="943" w:type="dxa"/>
          <w:trHeight w:val="370" w:hRule="atLeast"/>
        </w:trPr>
        <w:tc>
          <w:tcPr>
            <w:tcW w:w="336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25" w:type="dxa"/>
            <w:gridSpan w:val="3"/>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南苑乡人民政府177000</w:t>
            </w:r>
          </w:p>
        </w:tc>
        <w:tc>
          <w:tcPr>
            <w:tcW w:w="1245" w:type="dxa"/>
            <w:gridSpan w:val="2"/>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505"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经济发展办公室</w:t>
            </w:r>
          </w:p>
        </w:tc>
      </w:tr>
      <w:tr>
        <w:tblPrEx>
          <w:tblCellMar>
            <w:top w:w="0" w:type="dxa"/>
            <w:left w:w="108" w:type="dxa"/>
            <w:bottom w:w="0" w:type="dxa"/>
            <w:right w:w="108" w:type="dxa"/>
          </w:tblCellMar>
        </w:tblPrEx>
        <w:trPr>
          <w:gridAfter w:val="1"/>
          <w:wAfter w:w="943" w:type="dxa"/>
          <w:trHeight w:val="674" w:hRule="atLeast"/>
        </w:trPr>
        <w:tc>
          <w:tcPr>
            <w:tcW w:w="3369"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785" w:type="dxa"/>
            <w:gridSpan w:val="2"/>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18415</wp:posOffset>
                      </wp:positionV>
                      <wp:extent cx="1125855" cy="425450"/>
                      <wp:effectExtent l="1905" t="4445" r="15240" b="8255"/>
                      <wp:wrapNone/>
                      <wp:docPr id="1" name="直接箭头连接符 1"/>
                      <wp:cNvGraphicFramePr/>
                      <a:graphic xmlns:a="http://schemas.openxmlformats.org/drawingml/2006/main">
                        <a:graphicData uri="http://schemas.microsoft.com/office/word/2010/wordprocessingShape">
                          <wps:wsp>
                            <wps:cNvCnPr/>
                            <wps:spPr>
                              <a:xfrm>
                                <a:off x="0" y="0"/>
                                <a:ext cx="1125855" cy="4254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05pt;margin-top:1.45pt;height:33.5pt;width:88.65pt;z-index:251659264;mso-width-relative:page;mso-height-relative:page;" filled="f" stroked="t" coordsize="21600,21600" o:gfxdata="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h9OkPVAAAABwEAAA8AAAAAAAAAAQAgAAAAIgAAAGRycy9kb3du&#10;cmV2LnhtbFBLAQIUABQAAAAIAIdO4kAGWMQNAgIAAPEDAAAOAAAAAAAAAAEAIAAAACQBAABkcnMv&#10;ZTJvRG9jLnhtbFBLBQYAAAAABgAGAFkBAACYBQAAAAA=&#10;">
                      <v:fill on="f" focussize="0,0"/>
                      <v:stroke color="#000000" joinstyle="round"/>
                      <v:imagedata o:title=""/>
                      <o:lock v:ext="edit" aspectratio="f"/>
                    </v:shape>
                  </w:pict>
                </mc:Fallback>
              </mc:AlternateContent>
            </w:r>
          </w:p>
        </w:tc>
        <w:tc>
          <w:tcPr>
            <w:tcW w:w="114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4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r>
              <w:rPr>
                <w:rFonts w:hint="eastAsia" w:ascii="宋体" w:hAnsi="宋体" w:cs="宋体"/>
                <w:color w:val="000000"/>
                <w:kern w:val="0"/>
                <w:sz w:val="22"/>
                <w:szCs w:val="22"/>
              </w:rPr>
              <w:t>(10分)</w:t>
            </w:r>
          </w:p>
        </w:tc>
        <w:tc>
          <w:tcPr>
            <w:tcW w:w="100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943" w:type="dxa"/>
          <w:trHeight w:val="370" w:hRule="atLeast"/>
        </w:trPr>
        <w:tc>
          <w:tcPr>
            <w:tcW w:w="336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785" w:type="dxa"/>
            <w:gridSpan w:val="2"/>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120</w:t>
            </w:r>
          </w:p>
        </w:tc>
        <w:tc>
          <w:tcPr>
            <w:tcW w:w="124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120　</w:t>
            </w:r>
          </w:p>
        </w:tc>
        <w:tc>
          <w:tcPr>
            <w:tcW w:w="9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5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943" w:type="dxa"/>
          <w:trHeight w:val="370" w:hRule="atLeast"/>
        </w:trPr>
        <w:tc>
          <w:tcPr>
            <w:tcW w:w="336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785" w:type="dxa"/>
            <w:gridSpan w:val="2"/>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120</w:t>
            </w:r>
          </w:p>
        </w:tc>
        <w:tc>
          <w:tcPr>
            <w:tcW w:w="124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120</w:t>
            </w:r>
          </w:p>
        </w:tc>
        <w:tc>
          <w:tcPr>
            <w:tcW w:w="9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943" w:type="dxa"/>
          <w:trHeight w:val="370" w:hRule="atLeast"/>
        </w:trPr>
        <w:tc>
          <w:tcPr>
            <w:tcW w:w="336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785" w:type="dxa"/>
            <w:gridSpan w:val="2"/>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4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943" w:type="dxa"/>
          <w:trHeight w:val="1172" w:hRule="atLeast"/>
        </w:trPr>
        <w:tc>
          <w:tcPr>
            <w:tcW w:w="846" w:type="dxa"/>
            <w:tcBorders>
              <w:top w:val="nil"/>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448"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进一步巩固和发展农村税费改革成果，改善农民生产生活条件，确保村级公益事业正常运转。完善村级公益事业专项补助资金标准。</w:t>
            </w:r>
          </w:p>
        </w:tc>
        <w:tc>
          <w:tcPr>
            <w:tcW w:w="3750"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年度总体目标完成情况综述：将补助资金足额拨付到12个村级组织（10万元/村），用于村内改善农村人居环境、加强农村社会管理、发展农村社会事业等。</w:t>
            </w:r>
          </w:p>
        </w:tc>
      </w:tr>
      <w:tr>
        <w:tblPrEx>
          <w:tblCellMar>
            <w:top w:w="0" w:type="dxa"/>
            <w:left w:w="108" w:type="dxa"/>
            <w:bottom w:w="0" w:type="dxa"/>
            <w:right w:w="108" w:type="dxa"/>
          </w:tblCellMar>
        </w:tblPrEx>
        <w:trPr>
          <w:gridAfter w:val="1"/>
          <w:wAfter w:w="94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spacing w:line="240" w:lineRule="exact"/>
              <w:jc w:val="center"/>
              <w:rPr>
                <w:rFonts w:ascii="宋体" w:hAnsi="宋体" w:cs="宋体"/>
                <w:color w:val="000000"/>
                <w:kern w:val="0"/>
                <w:sz w:val="24"/>
              </w:rPr>
            </w:pPr>
            <w:r>
              <w:rPr>
                <w:rFonts w:hint="eastAsia" w:ascii="宋体" w:hAnsi="宋体" w:cs="宋体"/>
                <w:color w:val="000000"/>
                <w:kern w:val="0"/>
                <w:sz w:val="24"/>
              </w:rPr>
              <w:t>绩效指标</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94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76" w:type="dxa"/>
            <w:tcBorders>
              <w:top w:val="single" w:color="auto" w:sz="4" w:space="0"/>
              <w:left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701" w:type="dxa"/>
            <w:tcBorders>
              <w:top w:val="single" w:color="auto" w:sz="4" w:space="0"/>
              <w:left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12个村级组织各支付10万元，共计120万元</w:t>
            </w:r>
          </w:p>
        </w:tc>
        <w:tc>
          <w:tcPr>
            <w:tcW w:w="1224" w:type="dxa"/>
            <w:gridSpan w:val="2"/>
            <w:tcBorders>
              <w:top w:val="single" w:color="auto" w:sz="4" w:space="0"/>
              <w:left w:val="nil"/>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12个村级组织</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0"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54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依规足额拨付</w:t>
            </w:r>
          </w:p>
        </w:tc>
        <w:tc>
          <w:tcPr>
            <w:tcW w:w="12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完成发放100%</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当年12月前完成发放</w:t>
            </w:r>
          </w:p>
        </w:tc>
        <w:tc>
          <w:tcPr>
            <w:tcW w:w="122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当年12月前发放完毕</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120万元</w:t>
            </w:r>
          </w:p>
        </w:tc>
        <w:tc>
          <w:tcPr>
            <w:tcW w:w="1224"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120万元</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1667"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7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改善农村人居环境、加强农村社会管理，发展农村社会事业等</w:t>
            </w:r>
          </w:p>
        </w:tc>
        <w:tc>
          <w:tcPr>
            <w:tcW w:w="1224"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村内公益事业明显改善　</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19　</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276" w:type="dxa"/>
            <w:vMerge w:val="restart"/>
            <w:tcBorders>
              <w:top w:val="single" w:color="auto" w:sz="4" w:space="0"/>
              <w:left w:val="nil"/>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服务对象满意度指标</w:t>
            </w: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对各行政村进行满意度调查</w:t>
            </w:r>
          </w:p>
        </w:tc>
        <w:tc>
          <w:tcPr>
            <w:tcW w:w="1224"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625"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4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76" w:type="dxa"/>
            <w:vMerge w:val="continue"/>
            <w:tcBorders>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对各行政村村民（随机抽取）进行满意度调查</w:t>
            </w:r>
          </w:p>
        </w:tc>
        <w:tc>
          <w:tcPr>
            <w:tcW w:w="1224"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满意度90%</w:t>
            </w:r>
          </w:p>
        </w:tc>
        <w:tc>
          <w:tcPr>
            <w:tcW w:w="10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p>
        </w:tc>
      </w:tr>
      <w:tr>
        <w:tblPrEx>
          <w:tblCellMar>
            <w:top w:w="0" w:type="dxa"/>
            <w:left w:w="108" w:type="dxa"/>
            <w:bottom w:w="0" w:type="dxa"/>
            <w:right w:w="108" w:type="dxa"/>
          </w:tblCellMar>
        </w:tblPrEx>
        <w:trPr>
          <w:gridAfter w:val="1"/>
          <w:wAfter w:w="943" w:type="dxa"/>
          <w:trHeight w:val="353" w:hRule="atLeast"/>
        </w:trPr>
        <w:tc>
          <w:tcPr>
            <w:tcW w:w="8499" w:type="dxa"/>
            <w:gridSpan w:val="9"/>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总分：97</w:t>
            </w:r>
          </w:p>
        </w:tc>
        <w:tc>
          <w:tcPr>
            <w:tcW w:w="154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ind w:left="-420" w:leftChars="-200"/>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170" w:tblpY="-1800"/>
        <w:tblW w:w="10230" w:type="dxa"/>
        <w:tblInd w:w="0" w:type="dxa"/>
        <w:tblLayout w:type="fixed"/>
        <w:tblCellMar>
          <w:top w:w="0" w:type="dxa"/>
          <w:left w:w="108" w:type="dxa"/>
          <w:bottom w:w="0" w:type="dxa"/>
          <w:right w:w="108" w:type="dxa"/>
        </w:tblCellMar>
      </w:tblPr>
      <w:tblGrid>
        <w:gridCol w:w="537"/>
        <w:gridCol w:w="1283"/>
        <w:gridCol w:w="1381"/>
        <w:gridCol w:w="1763"/>
        <w:gridCol w:w="80"/>
        <w:gridCol w:w="1134"/>
        <w:gridCol w:w="1157"/>
        <w:gridCol w:w="900"/>
        <w:gridCol w:w="1203"/>
        <w:gridCol w:w="792"/>
      </w:tblGrid>
      <w:tr>
        <w:tblPrEx>
          <w:tblCellMar>
            <w:top w:w="0" w:type="dxa"/>
            <w:left w:w="108" w:type="dxa"/>
            <w:bottom w:w="0" w:type="dxa"/>
            <w:right w:w="108" w:type="dxa"/>
          </w:tblCellMar>
        </w:tblPrEx>
        <w:trPr>
          <w:trHeight w:val="484" w:hRule="atLeast"/>
        </w:trPr>
        <w:tc>
          <w:tcPr>
            <w:tcW w:w="10230" w:type="dxa"/>
            <w:gridSpan w:val="10"/>
            <w:tcBorders>
              <w:top w:val="nil"/>
              <w:left w:val="nil"/>
              <w:bottom w:val="nil"/>
              <w:right w:val="nil"/>
            </w:tcBorders>
            <w:vAlign w:val="center"/>
          </w:tcPr>
          <w:p>
            <w:pPr>
              <w:widowControl/>
              <w:jc w:val="center"/>
              <w:rPr>
                <w:rFonts w:ascii="仿宋_GB2312" w:eastAsia="仿宋_GB2312"/>
                <w:sz w:val="32"/>
                <w:szCs w:val="32"/>
              </w:rPr>
            </w:pPr>
          </w:p>
          <w:p>
            <w:pPr>
              <w:widowControl/>
              <w:ind w:firstLine="1606" w:firstLineChars="500"/>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项目支出事后绩效自评简表（表18）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0230" w:type="dxa"/>
            <w:gridSpan w:val="10"/>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20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29" w:type="dxa"/>
            <w:gridSpan w:val="7"/>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果园村集体土地占地补偿金</w:t>
            </w:r>
          </w:p>
        </w:tc>
      </w:tr>
      <w:tr>
        <w:tblPrEx>
          <w:tblCellMar>
            <w:top w:w="0" w:type="dxa"/>
            <w:left w:w="108" w:type="dxa"/>
            <w:bottom w:w="0" w:type="dxa"/>
            <w:right w:w="108" w:type="dxa"/>
          </w:tblCellMar>
        </w:tblPrEx>
        <w:trPr>
          <w:trHeight w:val="370" w:hRule="atLeast"/>
        </w:trPr>
        <w:tc>
          <w:tcPr>
            <w:tcW w:w="320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北京市丰台区南苑乡人民政府，177000</w:t>
            </w:r>
          </w:p>
        </w:tc>
        <w:tc>
          <w:tcPr>
            <w:tcW w:w="1157"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95"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规划建设办</w:t>
            </w:r>
          </w:p>
        </w:tc>
      </w:tr>
      <w:tr>
        <w:tblPrEx>
          <w:tblCellMar>
            <w:top w:w="0" w:type="dxa"/>
            <w:left w:w="108" w:type="dxa"/>
            <w:bottom w:w="0" w:type="dxa"/>
            <w:right w:w="108" w:type="dxa"/>
          </w:tblCellMar>
        </w:tblPrEx>
        <w:trPr>
          <w:trHeight w:val="674" w:hRule="atLeast"/>
        </w:trPr>
        <w:tc>
          <w:tcPr>
            <w:tcW w:w="3201"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24765</wp:posOffset>
                      </wp:positionV>
                      <wp:extent cx="1163955" cy="587375"/>
                      <wp:effectExtent l="1905" t="4445" r="15240" b="17780"/>
                      <wp:wrapNone/>
                      <wp:docPr id="2" name="直接连接符 2"/>
                      <wp:cNvGraphicFramePr/>
                      <a:graphic xmlns:a="http://schemas.openxmlformats.org/drawingml/2006/main">
                        <a:graphicData uri="http://schemas.microsoft.com/office/word/2010/wordprocessingShape">
                          <wps:wsp>
                            <wps:cNvCnPr/>
                            <wps:spPr>
                              <a:xfrm>
                                <a:off x="0" y="0"/>
                                <a:ext cx="1163955" cy="5873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8pt;margin-top:1.95pt;height:46.25pt;width:91.65pt;z-index:251660288;mso-width-relative:page;mso-height-relative:page;" filled="f" stroked="t" coordsize="21600,21600" o:gfxdata="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Esiu3WAAAABwEAAA8AAAAAAAAAAQAgAAAAIgAAAGRycy9kb3ducmV2LnhtbFBLAQIUABQAAAAI&#10;AIdO4kBdIlDJ7wEAAN0DAAAOAAAAAAAAAAEAIAAAACUBAABkcnMvZTJvRG9jLnhtbFBLBQYAAAAA&#10;BgAGAFkBAACGBQAAAAA=&#10;">
                      <v:fill on="f" focussize="0,0"/>
                      <v:stroke color="#000000" joinstyle="round"/>
                      <v:imagedata o:title=""/>
                      <o:lock v:ext="edit" aspectratio="f"/>
                    </v:lin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20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20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62.1</w:t>
            </w:r>
          </w:p>
        </w:tc>
        <w:tc>
          <w:tcPr>
            <w:tcW w:w="115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62.1</w:t>
            </w:r>
          </w:p>
        </w:tc>
        <w:tc>
          <w:tcPr>
            <w:tcW w:w="90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20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7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trHeight w:val="370" w:hRule="atLeast"/>
        </w:trPr>
        <w:tc>
          <w:tcPr>
            <w:tcW w:w="320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62.1</w:t>
            </w:r>
          </w:p>
        </w:tc>
        <w:tc>
          <w:tcPr>
            <w:tcW w:w="115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62.1</w:t>
            </w:r>
          </w:p>
        </w:tc>
        <w:tc>
          <w:tcPr>
            <w:tcW w:w="90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20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792"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10</w:t>
            </w:r>
          </w:p>
        </w:tc>
      </w:tr>
      <w:tr>
        <w:tblPrEx>
          <w:tblCellMar>
            <w:top w:w="0" w:type="dxa"/>
            <w:left w:w="108" w:type="dxa"/>
            <w:bottom w:w="0" w:type="dxa"/>
            <w:right w:w="108" w:type="dxa"/>
          </w:tblCellMar>
        </w:tblPrEx>
        <w:trPr>
          <w:trHeight w:val="370" w:hRule="atLeast"/>
        </w:trPr>
        <w:tc>
          <w:tcPr>
            <w:tcW w:w="320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0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20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53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 按照区南苑-大红门地区重点工作分工方案总体工作部署，打通三条断头路工程，促进城市道路微循环。</w:t>
            </w:r>
          </w:p>
        </w:tc>
        <w:tc>
          <w:tcPr>
            <w:tcW w:w="4052"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r>
              <w:rPr>
                <w:rFonts w:hint="eastAsia" w:ascii="宋体" w:hAnsi="宋体" w:cs="宋体"/>
                <w:color w:val="000000"/>
                <w:kern w:val="0"/>
                <w:szCs w:val="21"/>
              </w:rPr>
              <w:t>：打通三条断头路工程涉及丰海北街、丰海南街、海户东路，其中打通丰海北街需临时占用南苑乡果园村集体土地约3.45亩，依据《丰台区区域内临时占地费指导标准实施细则》，给予果园村两年占地补偿资金62.1万元。</w:t>
            </w:r>
          </w:p>
        </w:tc>
      </w:tr>
      <w:tr>
        <w:tblPrEx>
          <w:tblCellMar>
            <w:top w:w="0" w:type="dxa"/>
            <w:left w:w="108" w:type="dxa"/>
            <w:bottom w:w="0" w:type="dxa"/>
            <w:right w:w="108" w:type="dxa"/>
          </w:tblCellMar>
        </w:tblPrEx>
        <w:trPr>
          <w:trHeight w:val="622" w:hRule="atLeast"/>
        </w:trPr>
        <w:tc>
          <w:tcPr>
            <w:tcW w:w="53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6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1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5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763"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占用果园村集体土地3.45亩，根据9万元/亩/年的补偿标准，两年占地合计补偿金62.1万元</w:t>
            </w:r>
          </w:p>
        </w:tc>
        <w:tc>
          <w:tcPr>
            <w:tcW w:w="1214"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完成62.1万元占地补偿金的拨付</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90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99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3" w:hRule="atLeast"/>
        </w:trPr>
        <w:tc>
          <w:tcPr>
            <w:tcW w:w="5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76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区财政局批准款项合法合规，及时拨付给果园村集体</w:t>
            </w:r>
          </w:p>
        </w:tc>
        <w:tc>
          <w:tcPr>
            <w:tcW w:w="121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实现预期指标</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90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9" w:hRule="atLeast"/>
        </w:trPr>
        <w:tc>
          <w:tcPr>
            <w:tcW w:w="5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76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12月前完成　</w:t>
            </w:r>
          </w:p>
        </w:tc>
        <w:tc>
          <w:tcPr>
            <w:tcW w:w="121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11月21日完成</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90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8" w:hRule="atLeast"/>
        </w:trPr>
        <w:tc>
          <w:tcPr>
            <w:tcW w:w="5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76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项目预算控制数62.1万元</w:t>
            </w:r>
          </w:p>
        </w:tc>
        <w:tc>
          <w:tcPr>
            <w:tcW w:w="121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62.1万元完成100%</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90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6" w:hRule="atLeast"/>
        </w:trPr>
        <w:tc>
          <w:tcPr>
            <w:tcW w:w="5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76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为打通断头路工程提供保障</w:t>
            </w:r>
          </w:p>
        </w:tc>
        <w:tc>
          <w:tcPr>
            <w:tcW w:w="121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达到预期效果　</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9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409" w:hRule="atLeast"/>
        </w:trPr>
        <w:tc>
          <w:tcPr>
            <w:tcW w:w="53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服务对象满意度指标</w:t>
            </w:r>
          </w:p>
        </w:tc>
        <w:tc>
          <w:tcPr>
            <w:tcW w:w="176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款项拨付给果园村集体，得到好评</w:t>
            </w:r>
          </w:p>
        </w:tc>
        <w:tc>
          <w:tcPr>
            <w:tcW w:w="121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得到广泛好评</w:t>
            </w:r>
          </w:p>
        </w:tc>
        <w:tc>
          <w:tcPr>
            <w:tcW w:w="11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9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　</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353" w:hRule="atLeast"/>
        </w:trPr>
        <w:tc>
          <w:tcPr>
            <w:tcW w:w="8235"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总分：99</w:t>
            </w:r>
          </w:p>
        </w:tc>
        <w:tc>
          <w:tcPr>
            <w:tcW w:w="199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ind w:firstLine="3520" w:firstLineChars="1600"/>
        <w:rPr>
          <w:rFonts w:ascii="宋体" w:hAnsi="宋体" w:cs="宋体"/>
          <w:color w:val="000000"/>
          <w:kern w:val="0"/>
          <w:sz w:val="22"/>
        </w:rPr>
      </w:pPr>
    </w:p>
    <w:p>
      <w:pPr>
        <w:rPr>
          <w:rFonts w:ascii="宋体" w:hAnsi="宋体" w:cs="宋体"/>
          <w:color w:val="000000"/>
          <w:kern w:val="0"/>
          <w:sz w:val="22"/>
        </w:rPr>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515" w:tblpY="-1800"/>
        <w:tblW w:w="10335" w:type="dxa"/>
        <w:tblInd w:w="0" w:type="dxa"/>
        <w:tblLayout w:type="fixed"/>
        <w:tblCellMar>
          <w:top w:w="0" w:type="dxa"/>
          <w:left w:w="108" w:type="dxa"/>
          <w:bottom w:w="0" w:type="dxa"/>
          <w:right w:w="108" w:type="dxa"/>
        </w:tblCellMar>
      </w:tblPr>
      <w:tblGrid>
        <w:gridCol w:w="561"/>
        <w:gridCol w:w="1283"/>
        <w:gridCol w:w="1381"/>
        <w:gridCol w:w="1596"/>
        <w:gridCol w:w="247"/>
        <w:gridCol w:w="1134"/>
        <w:gridCol w:w="1155"/>
        <w:gridCol w:w="1113"/>
        <w:gridCol w:w="992"/>
        <w:gridCol w:w="873"/>
      </w:tblGrid>
      <w:tr>
        <w:tblPrEx>
          <w:tblCellMar>
            <w:top w:w="0" w:type="dxa"/>
            <w:left w:w="108" w:type="dxa"/>
            <w:bottom w:w="0" w:type="dxa"/>
            <w:right w:w="108" w:type="dxa"/>
          </w:tblCellMar>
        </w:tblPrEx>
        <w:trPr>
          <w:trHeight w:val="484" w:hRule="atLeast"/>
        </w:trPr>
        <w:tc>
          <w:tcPr>
            <w:tcW w:w="10335" w:type="dxa"/>
            <w:gridSpan w:val="10"/>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仿宋_GB2312" w:eastAsia="仿宋_GB2312"/>
                <w:sz w:val="32"/>
                <w:szCs w:val="32"/>
              </w:rPr>
            </w:pPr>
          </w:p>
          <w:p>
            <w:pPr>
              <w:widowControl/>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0335" w:type="dxa"/>
            <w:gridSpan w:val="10"/>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22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110" w:type="dxa"/>
            <w:gridSpan w:val="7"/>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2019年第四次全国经济普查经费</w:t>
            </w:r>
          </w:p>
        </w:tc>
      </w:tr>
      <w:tr>
        <w:tblPrEx>
          <w:tblCellMar>
            <w:top w:w="0" w:type="dxa"/>
            <w:left w:w="108" w:type="dxa"/>
            <w:bottom w:w="0" w:type="dxa"/>
            <w:right w:w="108" w:type="dxa"/>
          </w:tblCellMar>
        </w:tblPrEx>
        <w:trPr>
          <w:trHeight w:val="370" w:hRule="atLeast"/>
        </w:trPr>
        <w:tc>
          <w:tcPr>
            <w:tcW w:w="322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rPr>
              <w:t>北京市丰台区南苑乡人民政府177000</w:t>
            </w:r>
          </w:p>
        </w:tc>
        <w:tc>
          <w:tcPr>
            <w:tcW w:w="1155"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78"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18"/>
              </w:rPr>
              <w:t>北京市丰台区南苑乡人民政府统计所</w:t>
            </w:r>
          </w:p>
        </w:tc>
      </w:tr>
      <w:tr>
        <w:tblPrEx>
          <w:tblCellMar>
            <w:top w:w="0" w:type="dxa"/>
            <w:left w:w="108" w:type="dxa"/>
            <w:bottom w:w="0" w:type="dxa"/>
            <w:right w:w="108" w:type="dxa"/>
          </w:tblCellMar>
        </w:tblPrEx>
        <w:trPr>
          <w:trHeight w:val="674" w:hRule="atLeast"/>
        </w:trPr>
        <w:tc>
          <w:tcPr>
            <w:tcW w:w="322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1312" behindDoc="0" locked="0" layoutInCell="1" allowOverlap="1">
                      <wp:simplePos x="0" y="0"/>
                      <wp:positionH relativeFrom="column">
                        <wp:posOffset>-55245</wp:posOffset>
                      </wp:positionH>
                      <wp:positionV relativeFrom="paragraph">
                        <wp:posOffset>58420</wp:posOffset>
                      </wp:positionV>
                      <wp:extent cx="1101090" cy="330200"/>
                      <wp:effectExtent l="1270" t="4445" r="2540" b="8255"/>
                      <wp:wrapNone/>
                      <wp:docPr id="13" name="直接箭头连接符 13"/>
                      <wp:cNvGraphicFramePr/>
                      <a:graphic xmlns:a="http://schemas.openxmlformats.org/drawingml/2006/main">
                        <a:graphicData uri="http://schemas.microsoft.com/office/word/2010/wordprocessingShape">
                          <wps:wsp>
                            <wps:cNvCnPr/>
                            <wps:spPr>
                              <a:xfrm>
                                <a:off x="0" y="0"/>
                                <a:ext cx="1101090" cy="3302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4.6pt;height:26pt;width:86.7pt;z-index:251661312;mso-width-relative:page;mso-height-relative:page;" filled="f" stroked="t" coordsize="21600,21600" o:gfxdata="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2yYiq1QAAAAcBAAAPAAAAAAAAAAEAIAAAACIAAABkcnMvZG93bnJl&#10;di54bWxQSwECFAAUAAAACACHTuJA2hY22AACAADzAwAADgAAAAAAAAABACAAAAAkAQAAZHJzL2Uy&#10;b0RvYy54bWxQSwUGAAAAAAYABgBZAQAAlg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5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11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7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295" w:hRule="atLeast"/>
        </w:trPr>
        <w:tc>
          <w:tcPr>
            <w:tcW w:w="322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349470</w:t>
            </w:r>
          </w:p>
        </w:tc>
        <w:tc>
          <w:tcPr>
            <w:tcW w:w="11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349740</w:t>
            </w:r>
          </w:p>
        </w:tc>
        <w:tc>
          <w:tcPr>
            <w:tcW w:w="111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25" w:hRule="atLeast"/>
        </w:trPr>
        <w:tc>
          <w:tcPr>
            <w:tcW w:w="322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349740</w:t>
            </w:r>
          </w:p>
        </w:tc>
        <w:tc>
          <w:tcPr>
            <w:tcW w:w="11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349740</w:t>
            </w:r>
          </w:p>
        </w:tc>
        <w:tc>
          <w:tcPr>
            <w:tcW w:w="111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310" w:hRule="atLeast"/>
        </w:trPr>
        <w:tc>
          <w:tcPr>
            <w:tcW w:w="322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1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43" w:hRule="atLeast"/>
        </w:trPr>
        <w:tc>
          <w:tcPr>
            <w:tcW w:w="561"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为顺利开展经济普查登记工作，拨付 2019 年经济普查区级专项经费，用于普查员劳务费。</w:t>
            </w:r>
          </w:p>
          <w:p>
            <w:pPr>
              <w:widowControl/>
              <w:rPr>
                <w:rFonts w:ascii="宋体" w:hAnsi="宋体" w:cs="宋体"/>
                <w:color w:val="000000"/>
                <w:kern w:val="0"/>
                <w:sz w:val="24"/>
              </w:rPr>
            </w:pPr>
          </w:p>
        </w:tc>
        <w:tc>
          <w:tcPr>
            <w:tcW w:w="4133"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年度总体目标完成情况综述：认真做好第四次全国经济普查兼职普查员、普查指导员经济普查劳务费发放</w:t>
            </w:r>
          </w:p>
        </w:tc>
      </w:tr>
      <w:tr>
        <w:tblPrEx>
          <w:tblCellMar>
            <w:top w:w="0" w:type="dxa"/>
            <w:left w:w="108" w:type="dxa"/>
            <w:bottom w:w="0" w:type="dxa"/>
            <w:right w:w="108" w:type="dxa"/>
          </w:tblCellMar>
        </w:tblPrEx>
        <w:trPr>
          <w:trHeight w:val="737" w:hRule="atLeast"/>
        </w:trPr>
        <w:tc>
          <w:tcPr>
            <w:tcW w:w="561"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56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596" w:type="dxa"/>
            <w:tcBorders>
              <w:top w:val="single" w:color="auto" w:sz="4" w:space="0"/>
              <w:left w:val="nil"/>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完成94名普查员、27名普查指导员经济普查劳务费发放</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86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3" w:hRule="atLeast"/>
        </w:trPr>
        <w:tc>
          <w:tcPr>
            <w:tcW w:w="56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根据普查工作业务量，公平、及时、足额发放劳务费</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9" w:hRule="atLeast"/>
        </w:trPr>
        <w:tc>
          <w:tcPr>
            <w:tcW w:w="56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59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12月前完成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rPr>
          <w:trHeight w:val="418" w:hRule="atLeast"/>
        </w:trPr>
        <w:tc>
          <w:tcPr>
            <w:tcW w:w="56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59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项目预算控制数349470元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完成100%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rPr>
          <w:trHeight w:val="416" w:hRule="atLeast"/>
        </w:trPr>
        <w:tc>
          <w:tcPr>
            <w:tcW w:w="56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59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按时、足额发放普查员、普查指导员经济普查费用补贴</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409" w:hRule="atLeast"/>
        </w:trPr>
        <w:tc>
          <w:tcPr>
            <w:tcW w:w="56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    满意度指标</w:t>
            </w:r>
          </w:p>
        </w:tc>
        <w:tc>
          <w:tcPr>
            <w:tcW w:w="1596"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随机对普查员、普查指导员进行口头访谈</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好评率达90%</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8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353" w:hRule="atLeast"/>
        </w:trPr>
        <w:tc>
          <w:tcPr>
            <w:tcW w:w="8470"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hint="eastAsia" w:ascii="宋体" w:hAnsi="宋体" w:cs="宋体"/>
                <w:color w:val="000000"/>
                <w:kern w:val="0"/>
                <w:sz w:val="24"/>
              </w:rPr>
              <w:t>98</w:t>
            </w:r>
          </w:p>
        </w:tc>
        <w:tc>
          <w:tcPr>
            <w:tcW w:w="1865"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pStyle w:val="2"/>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440" w:tblpY="-1800"/>
        <w:tblW w:w="10320" w:type="dxa"/>
        <w:tblInd w:w="0" w:type="dxa"/>
        <w:tblLayout w:type="fixed"/>
        <w:tblCellMar>
          <w:top w:w="0" w:type="dxa"/>
          <w:left w:w="108" w:type="dxa"/>
          <w:bottom w:w="0" w:type="dxa"/>
          <w:right w:w="108" w:type="dxa"/>
        </w:tblCellMar>
      </w:tblPr>
      <w:tblGrid>
        <w:gridCol w:w="501"/>
        <w:gridCol w:w="1283"/>
        <w:gridCol w:w="1240"/>
        <w:gridCol w:w="141"/>
        <w:gridCol w:w="1701"/>
        <w:gridCol w:w="142"/>
        <w:gridCol w:w="1134"/>
        <w:gridCol w:w="1155"/>
        <w:gridCol w:w="121"/>
        <w:gridCol w:w="992"/>
        <w:gridCol w:w="992"/>
        <w:gridCol w:w="918"/>
      </w:tblGrid>
      <w:tr>
        <w:tblPrEx>
          <w:tblCellMar>
            <w:top w:w="0" w:type="dxa"/>
            <w:left w:w="108" w:type="dxa"/>
            <w:bottom w:w="0" w:type="dxa"/>
            <w:right w:w="108" w:type="dxa"/>
          </w:tblCellMar>
        </w:tblPrEx>
        <w:trPr>
          <w:trHeight w:val="484" w:hRule="atLeast"/>
        </w:trPr>
        <w:tc>
          <w:tcPr>
            <w:tcW w:w="10320" w:type="dxa"/>
            <w:gridSpan w:val="12"/>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仿宋_GB2312" w:eastAsia="仿宋_GB2312"/>
                <w:sz w:val="32"/>
                <w:szCs w:val="32"/>
              </w:rPr>
            </w:pPr>
            <w:r>
              <w:rPr>
                <w:rFonts w:hint="eastAsia" w:ascii="仿宋_GB2312" w:eastAsia="仿宋_GB2312"/>
                <w:sz w:val="32"/>
                <w:szCs w:val="32"/>
              </w:rPr>
              <w:t xml:space="preserve"> </w:t>
            </w: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（表20）</w:t>
            </w:r>
          </w:p>
        </w:tc>
      </w:tr>
      <w:tr>
        <w:tblPrEx>
          <w:tblCellMar>
            <w:top w:w="0" w:type="dxa"/>
            <w:left w:w="108" w:type="dxa"/>
            <w:bottom w:w="0" w:type="dxa"/>
            <w:right w:w="108" w:type="dxa"/>
          </w:tblCellMar>
        </w:tblPrEx>
        <w:trPr>
          <w:trHeight w:val="311" w:hRule="atLeast"/>
        </w:trPr>
        <w:tc>
          <w:tcPr>
            <w:tcW w:w="10320"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165"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155" w:type="dxa"/>
            <w:gridSpan w:val="8"/>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2019年人口抽样调查经费</w:t>
            </w:r>
          </w:p>
        </w:tc>
      </w:tr>
      <w:tr>
        <w:tblPrEx>
          <w:tblCellMar>
            <w:top w:w="0" w:type="dxa"/>
            <w:left w:w="108" w:type="dxa"/>
            <w:bottom w:w="0" w:type="dxa"/>
            <w:right w:w="108" w:type="dxa"/>
          </w:tblCellMar>
        </w:tblPrEx>
        <w:trPr>
          <w:trHeight w:val="370" w:hRule="atLeast"/>
        </w:trPr>
        <w:tc>
          <w:tcPr>
            <w:tcW w:w="3165"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02"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18"/>
              </w:rPr>
              <w:t>北京市丰台区南苑乡人民政府统计所</w:t>
            </w:r>
          </w:p>
        </w:tc>
      </w:tr>
      <w:tr>
        <w:tblPrEx>
          <w:tblCellMar>
            <w:top w:w="0" w:type="dxa"/>
            <w:left w:w="108" w:type="dxa"/>
            <w:bottom w:w="0" w:type="dxa"/>
            <w:right w:w="108" w:type="dxa"/>
          </w:tblCellMar>
        </w:tblPrEx>
        <w:trPr>
          <w:trHeight w:val="674" w:hRule="atLeast"/>
        </w:trPr>
        <w:tc>
          <w:tcPr>
            <w:tcW w:w="3165"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2336" behindDoc="0" locked="0" layoutInCell="1" allowOverlap="1">
                      <wp:simplePos x="0" y="0"/>
                      <wp:positionH relativeFrom="column">
                        <wp:posOffset>-55245</wp:posOffset>
                      </wp:positionH>
                      <wp:positionV relativeFrom="paragraph">
                        <wp:posOffset>24765</wp:posOffset>
                      </wp:positionV>
                      <wp:extent cx="1152525" cy="561340"/>
                      <wp:effectExtent l="1905" t="4445" r="7620" b="5715"/>
                      <wp:wrapNone/>
                      <wp:docPr id="3" name="直接箭头连接符 3"/>
                      <wp:cNvGraphicFramePr/>
                      <a:graphic xmlns:a="http://schemas.openxmlformats.org/drawingml/2006/main">
                        <a:graphicData uri="http://schemas.microsoft.com/office/word/2010/wordprocessingShape">
                          <wps:wsp>
                            <wps:cNvCnPr/>
                            <wps:spPr>
                              <a:xfrm>
                                <a:off x="0" y="0"/>
                                <a:ext cx="1152525" cy="5613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5pt;margin-top:1.95pt;height:44.2pt;width:90.75pt;z-index:251662336;mso-width-relative:page;mso-height-relative:page;" filled="f" stroked="t" coordsize="21600,21600" o:gfxdata="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NN+tYAAAAHAQAADwAAAAAAAAABACAAAAAiAAAAZHJzL2Rvd25y&#10;ZXYueG1sUEsBAhQAFAAAAAgAh07iQIbfQc0AAgAA8QMAAA4AAAAAAAAAAQAgAAAAJQ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1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295" w:hRule="atLeast"/>
        </w:trPr>
        <w:tc>
          <w:tcPr>
            <w:tcW w:w="3165"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6.46</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6.46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trHeight w:val="310" w:hRule="atLeast"/>
        </w:trPr>
        <w:tc>
          <w:tcPr>
            <w:tcW w:w="3165"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6.46</w:t>
            </w:r>
          </w:p>
        </w:tc>
        <w:tc>
          <w:tcPr>
            <w:tcW w:w="127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6.46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280" w:hRule="atLeast"/>
        </w:trPr>
        <w:tc>
          <w:tcPr>
            <w:tcW w:w="3165"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501"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年初设定目标：为了全面做好2019年年度人口抽样调查工作，拨付人口抽样调查专项经费，用于人员劳务费发放。</w:t>
            </w:r>
          </w:p>
          <w:p>
            <w:pPr>
              <w:widowControl/>
              <w:ind w:firstLine="480" w:firstLineChars="200"/>
              <w:jc w:val="left"/>
              <w:rPr>
                <w:rFonts w:ascii="宋体" w:hAnsi="宋体" w:cs="宋体"/>
                <w:color w:val="000000"/>
                <w:kern w:val="0"/>
                <w:sz w:val="24"/>
              </w:rPr>
            </w:pPr>
          </w:p>
        </w:tc>
        <w:tc>
          <w:tcPr>
            <w:tcW w:w="4178"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年度总体目标完成情况综述：认真做好2019年年度人口抽样调查工作普查员、普查指导员劳务费发放工作。</w:t>
            </w:r>
          </w:p>
        </w:tc>
      </w:tr>
      <w:tr>
        <w:tblPrEx>
          <w:tblCellMar>
            <w:top w:w="0" w:type="dxa"/>
            <w:left w:w="108" w:type="dxa"/>
            <w:bottom w:w="0" w:type="dxa"/>
            <w:right w:w="108" w:type="dxa"/>
          </w:tblCellMar>
        </w:tblPrEx>
        <w:trPr>
          <w:trHeight w:val="737" w:hRule="atLeast"/>
        </w:trPr>
        <w:tc>
          <w:tcPr>
            <w:tcW w:w="501"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842" w:type="dxa"/>
            <w:gridSpan w:val="2"/>
            <w:tcBorders>
              <w:top w:val="single" w:color="auto" w:sz="4" w:space="0"/>
              <w:left w:val="nil"/>
              <w:right w:val="single" w:color="auto" w:sz="4" w:space="0"/>
            </w:tcBorders>
            <w:noWrap/>
            <w:vAlign w:val="center"/>
          </w:tcPr>
          <w:p>
            <w:pPr>
              <w:ind w:firstLine="420" w:firstLineChars="200"/>
              <w:jc w:val="left"/>
              <w:rPr>
                <w:rFonts w:ascii="宋体" w:hAnsi="宋体" w:cs="宋体"/>
                <w:color w:val="000000"/>
                <w:kern w:val="0"/>
                <w:szCs w:val="21"/>
              </w:rPr>
            </w:pPr>
            <w:r>
              <w:rPr>
                <w:rFonts w:hint="eastAsia" w:ascii="宋体" w:hAnsi="宋体" w:cs="宋体"/>
                <w:color w:val="000000"/>
                <w:kern w:val="0"/>
                <w:szCs w:val="21"/>
              </w:rPr>
              <w:t>完成22名普查员、普查指导员2019年年度人口抽样调查经费发放</w:t>
            </w:r>
          </w:p>
        </w:tc>
        <w:tc>
          <w:tcPr>
            <w:tcW w:w="1276"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910"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3" w:hRule="atLeast"/>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根据普查工作业务量，公平、及时、足额发放劳务费</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9" w:hRule="atLeast"/>
        </w:trPr>
        <w:tc>
          <w:tcPr>
            <w:tcW w:w="5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12月前完成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rPr>
          <w:trHeight w:val="418" w:hRule="atLeast"/>
        </w:trPr>
        <w:tc>
          <w:tcPr>
            <w:tcW w:w="5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项目预算控制数64618元</w:t>
            </w: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完成100%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trHeight w:val="416" w:hRule="atLeast"/>
        </w:trPr>
        <w:tc>
          <w:tcPr>
            <w:tcW w:w="5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按时、足额发放普查员、普查指导员人口抽样调查专项经费</w:t>
            </w: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409" w:hRule="atLeast"/>
        </w:trPr>
        <w:tc>
          <w:tcPr>
            <w:tcW w:w="5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    满意度 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随机对普查员、普查指导员进行口头访谈</w:t>
            </w: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好评率达90%</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910"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随机对普查员、普查指导员进行口头访谈</w:t>
            </w:r>
          </w:p>
        </w:tc>
      </w:tr>
      <w:tr>
        <w:tblPrEx>
          <w:tblCellMar>
            <w:top w:w="0" w:type="dxa"/>
            <w:left w:w="108" w:type="dxa"/>
            <w:bottom w:w="0" w:type="dxa"/>
            <w:right w:w="108" w:type="dxa"/>
          </w:tblCellMar>
        </w:tblPrEx>
        <w:trPr>
          <w:trHeight w:val="353" w:hRule="atLeast"/>
        </w:trPr>
        <w:tc>
          <w:tcPr>
            <w:tcW w:w="8410"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hint="eastAsia" w:ascii="宋体" w:hAnsi="宋体" w:cs="宋体"/>
                <w:color w:val="000000"/>
                <w:kern w:val="0"/>
                <w:sz w:val="24"/>
              </w:rPr>
              <w:t>98</w:t>
            </w:r>
          </w:p>
        </w:tc>
        <w:tc>
          <w:tcPr>
            <w:tcW w:w="191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pStyle w:val="2"/>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425" w:tblpY="-1800"/>
        <w:tblW w:w="14367" w:type="dxa"/>
        <w:tblInd w:w="0" w:type="dxa"/>
        <w:tblLayout w:type="fixed"/>
        <w:tblCellMar>
          <w:top w:w="0" w:type="dxa"/>
          <w:left w:w="108" w:type="dxa"/>
          <w:bottom w:w="0" w:type="dxa"/>
          <w:right w:w="108" w:type="dxa"/>
        </w:tblCellMar>
      </w:tblPr>
      <w:tblGrid>
        <w:gridCol w:w="381"/>
        <w:gridCol w:w="1283"/>
        <w:gridCol w:w="1381"/>
        <w:gridCol w:w="135"/>
        <w:gridCol w:w="1566"/>
        <w:gridCol w:w="142"/>
        <w:gridCol w:w="1134"/>
        <w:gridCol w:w="596"/>
        <w:gridCol w:w="236"/>
        <w:gridCol w:w="236"/>
        <w:gridCol w:w="87"/>
        <w:gridCol w:w="70"/>
        <w:gridCol w:w="1043"/>
        <w:gridCol w:w="992"/>
        <w:gridCol w:w="837"/>
        <w:gridCol w:w="4248"/>
      </w:tblGrid>
      <w:tr>
        <w:tblPrEx>
          <w:tblCellMar>
            <w:top w:w="0" w:type="dxa"/>
            <w:left w:w="108" w:type="dxa"/>
            <w:bottom w:w="0" w:type="dxa"/>
            <w:right w:w="108" w:type="dxa"/>
          </w:tblCellMar>
        </w:tblPrEx>
        <w:trPr>
          <w:gridAfter w:val="1"/>
          <w:wAfter w:w="4248" w:type="dxa"/>
          <w:trHeight w:val="484" w:hRule="atLeast"/>
        </w:trPr>
        <w:tc>
          <w:tcPr>
            <w:tcW w:w="10119" w:type="dxa"/>
            <w:gridSpan w:val="15"/>
            <w:tcBorders>
              <w:top w:val="nil"/>
              <w:left w:val="nil"/>
              <w:bottom w:val="nil"/>
              <w:right w:val="nil"/>
            </w:tcBorders>
            <w:vAlign w:val="center"/>
          </w:tcPr>
          <w:p>
            <w:pPr>
              <w:widowControl/>
              <w:rPr>
                <w:rFonts w:ascii="仿宋_GB2312" w:eastAsia="仿宋_GB2312"/>
                <w:sz w:val="32"/>
                <w:szCs w:val="32"/>
              </w:rPr>
            </w:pPr>
          </w:p>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项目支出事后绩效自评简表（表21）</w:t>
            </w:r>
          </w:p>
        </w:tc>
      </w:tr>
      <w:tr>
        <w:tblPrEx>
          <w:tblCellMar>
            <w:top w:w="0" w:type="dxa"/>
            <w:left w:w="108" w:type="dxa"/>
            <w:bottom w:w="0" w:type="dxa"/>
            <w:right w:w="108" w:type="dxa"/>
          </w:tblCellMar>
        </w:tblPrEx>
        <w:trPr>
          <w:gridAfter w:val="1"/>
          <w:wAfter w:w="4248" w:type="dxa"/>
          <w:trHeight w:val="311" w:hRule="atLeast"/>
        </w:trPr>
        <w:tc>
          <w:tcPr>
            <w:tcW w:w="10119"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78" w:hRule="atLeast"/>
        </w:trPr>
        <w:tc>
          <w:tcPr>
            <w:tcW w:w="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248" w:type="dxa"/>
          <w:trHeight w:val="370" w:hRule="atLeast"/>
        </w:trPr>
        <w:tc>
          <w:tcPr>
            <w:tcW w:w="304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74" w:type="dxa"/>
            <w:gridSpan w:val="1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餐饮业高效油烟净化设施升级改造经费</w:t>
            </w:r>
          </w:p>
        </w:tc>
      </w:tr>
      <w:tr>
        <w:tblPrEx>
          <w:tblCellMar>
            <w:top w:w="0" w:type="dxa"/>
            <w:left w:w="108" w:type="dxa"/>
            <w:bottom w:w="0" w:type="dxa"/>
            <w:right w:w="108" w:type="dxa"/>
          </w:tblCellMar>
        </w:tblPrEx>
        <w:trPr>
          <w:gridAfter w:val="1"/>
          <w:wAfter w:w="4248" w:type="dxa"/>
          <w:trHeight w:val="370" w:hRule="atLeast"/>
        </w:trPr>
        <w:tc>
          <w:tcPr>
            <w:tcW w:w="304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336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 name="直接箭头连接符 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6336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A67qQdAAIAAPE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177000</w:t>
            </w:r>
          </w:p>
        </w:tc>
        <w:tc>
          <w:tcPr>
            <w:tcW w:w="1225" w:type="dxa"/>
            <w:gridSpan w:val="5"/>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72"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环保办</w:t>
            </w:r>
          </w:p>
        </w:tc>
      </w:tr>
      <w:tr>
        <w:tblPrEx>
          <w:tblCellMar>
            <w:top w:w="0" w:type="dxa"/>
            <w:left w:w="108" w:type="dxa"/>
            <w:bottom w:w="0" w:type="dxa"/>
            <w:right w:w="108" w:type="dxa"/>
          </w:tblCellMar>
        </w:tblPrEx>
        <w:trPr>
          <w:gridAfter w:val="1"/>
          <w:wAfter w:w="4248" w:type="dxa"/>
          <w:trHeight w:val="674" w:hRule="atLeast"/>
        </w:trPr>
        <w:tc>
          <w:tcPr>
            <w:tcW w:w="304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25"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0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248" w:type="dxa"/>
          <w:trHeight w:val="370" w:hRule="atLeast"/>
        </w:trPr>
        <w:tc>
          <w:tcPr>
            <w:tcW w:w="304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13.75</w:t>
            </w:r>
          </w:p>
        </w:tc>
        <w:tc>
          <w:tcPr>
            <w:tcW w:w="1225" w:type="dxa"/>
            <w:gridSpan w:val="5"/>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13.75</w:t>
            </w:r>
          </w:p>
        </w:tc>
        <w:tc>
          <w:tcPr>
            <w:tcW w:w="1043"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837"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248" w:type="dxa"/>
          <w:trHeight w:val="370" w:hRule="atLeast"/>
        </w:trPr>
        <w:tc>
          <w:tcPr>
            <w:tcW w:w="304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13.75</w:t>
            </w:r>
          </w:p>
        </w:tc>
        <w:tc>
          <w:tcPr>
            <w:tcW w:w="1225" w:type="dxa"/>
            <w:gridSpan w:val="5"/>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13.75</w:t>
            </w:r>
          </w:p>
        </w:tc>
        <w:tc>
          <w:tcPr>
            <w:tcW w:w="1043"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837"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248" w:type="dxa"/>
          <w:trHeight w:val="370" w:hRule="atLeast"/>
        </w:trPr>
        <w:tc>
          <w:tcPr>
            <w:tcW w:w="304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25"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3"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248" w:type="dxa"/>
          <w:trHeight w:val="1172" w:hRule="atLeast"/>
        </w:trPr>
        <w:tc>
          <w:tcPr>
            <w:tcW w:w="381" w:type="dxa"/>
            <w:tcBorders>
              <w:top w:val="nil"/>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通过对餐饮业高效油烟净化设施升级改造，减少PM2.5排放，降低空气污染情况，提升我乡数值整体排名。</w:t>
            </w:r>
          </w:p>
        </w:tc>
        <w:tc>
          <w:tcPr>
            <w:tcW w:w="4097"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4"/>
              </w:rPr>
            </w:pPr>
            <w:r>
              <w:rPr>
                <w:rFonts w:hint="eastAsia" w:ascii="宋体" w:hAnsi="宋体" w:cs="宋体"/>
                <w:color w:val="000000"/>
                <w:kern w:val="0"/>
                <w:sz w:val="24"/>
              </w:rPr>
              <w:t>年度总体目标完成情况综述：对餐饮业高效油烟净化设施升级改造，达到统一排放标准，减少噪音、油烟等情况，减少PM2.5排放，降低空气污染情况，提升我乡数值整体排名。</w:t>
            </w:r>
          </w:p>
        </w:tc>
      </w:tr>
      <w:tr>
        <w:tblPrEx>
          <w:tblCellMar>
            <w:top w:w="0" w:type="dxa"/>
            <w:left w:w="108" w:type="dxa"/>
            <w:bottom w:w="0" w:type="dxa"/>
            <w:right w:w="108" w:type="dxa"/>
          </w:tblCellMar>
        </w:tblPrEx>
        <w:trPr>
          <w:gridAfter w:val="1"/>
          <w:wAfter w:w="4248" w:type="dxa"/>
          <w:trHeight w:val="737" w:hRule="atLeast"/>
        </w:trPr>
        <w:tc>
          <w:tcPr>
            <w:tcW w:w="381" w:type="dxa"/>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248" w:type="dxa"/>
          <w:trHeight w:val="421" w:hRule="atLeast"/>
        </w:trPr>
        <w:tc>
          <w:tcPr>
            <w:tcW w:w="38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16" w:type="dxa"/>
            <w:gridSpan w:val="2"/>
            <w:tcBorders>
              <w:top w:val="single" w:color="auto" w:sz="4" w:space="0"/>
              <w:left w:val="nil"/>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566" w:type="dxa"/>
            <w:tcBorders>
              <w:top w:val="single" w:color="auto" w:sz="4" w:space="0"/>
              <w:left w:val="nil"/>
              <w:right w:val="single" w:color="auto" w:sz="4" w:space="0"/>
            </w:tcBorders>
            <w:vAlign w:val="center"/>
          </w:tcPr>
          <w:p>
            <w:pPr>
              <w:jc w:val="center"/>
              <w:rPr>
                <w:rFonts w:ascii="宋体" w:hAnsi="宋体" w:cs="宋体"/>
                <w:color w:val="000000"/>
                <w:kern w:val="0"/>
                <w:szCs w:val="21"/>
              </w:rPr>
            </w:pPr>
            <w:r>
              <w:rPr>
                <w:rFonts w:hint="eastAsia" w:ascii="宋体" w:hAnsi="宋体"/>
                <w:szCs w:val="21"/>
              </w:rPr>
              <w:t>完成餐饮油烟改造77家。</w:t>
            </w:r>
          </w:p>
        </w:tc>
        <w:tc>
          <w:tcPr>
            <w:tcW w:w="1276" w:type="dxa"/>
            <w:gridSpan w:val="2"/>
            <w:tcBorders>
              <w:top w:val="single" w:color="auto" w:sz="4" w:space="0"/>
              <w:left w:val="nil"/>
              <w:right w:val="single" w:color="auto" w:sz="4" w:space="0"/>
            </w:tcBorders>
            <w:vAlign w:val="center"/>
          </w:tcPr>
          <w:p>
            <w:pPr>
              <w:jc w:val="center"/>
              <w:rPr>
                <w:rFonts w:ascii="宋体" w:hAnsi="宋体"/>
                <w:szCs w:val="21"/>
              </w:rPr>
            </w:pPr>
            <w:r>
              <w:rPr>
                <w:rFonts w:hint="eastAsia" w:ascii="宋体" w:hAnsi="宋体"/>
                <w:szCs w:val="21"/>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82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413" w:hRule="atLeast"/>
        </w:trPr>
        <w:tc>
          <w:tcPr>
            <w:tcW w:w="38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5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升级为统一标准</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419" w:hRule="atLeast"/>
        </w:trPr>
        <w:tc>
          <w:tcPr>
            <w:tcW w:w="38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566" w:type="dxa"/>
            <w:tcBorders>
              <w:top w:val="single" w:color="auto" w:sz="4" w:space="0"/>
              <w:left w:val="nil"/>
              <w:bottom w:val="single" w:color="auto" w:sz="4" w:space="0"/>
              <w:right w:val="single" w:color="auto" w:sz="4" w:space="0"/>
            </w:tcBorders>
            <w:vAlign w:val="center"/>
          </w:tcPr>
          <w:p>
            <w:pPr>
              <w:jc w:val="center"/>
              <w:rPr>
                <w:rFonts w:ascii="宋体" w:hAnsi="宋体"/>
                <w:szCs w:val="21"/>
              </w:rPr>
            </w:pPr>
            <w:r>
              <w:rPr>
                <w:rFonts w:ascii="宋体" w:hAnsi="宋体"/>
                <w:szCs w:val="21"/>
              </w:rPr>
              <w:t>12</w:t>
            </w:r>
            <w:r>
              <w:rPr>
                <w:rFonts w:hint="eastAsia" w:ascii="宋体" w:hAnsi="宋体"/>
                <w:szCs w:val="21"/>
              </w:rPr>
              <w:t>月前完成</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418" w:hRule="atLeast"/>
        </w:trPr>
        <w:tc>
          <w:tcPr>
            <w:tcW w:w="3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56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szCs w:val="21"/>
              </w:rPr>
              <w:t>项目预算控制数13.75万元</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支出13.75万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416" w:hRule="atLeast"/>
        </w:trPr>
        <w:tc>
          <w:tcPr>
            <w:tcW w:w="3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1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566"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color w:val="000000"/>
                <w:kern w:val="0"/>
                <w:szCs w:val="21"/>
              </w:rPr>
              <w:t>减少噪音、改善污染空气污染情况，为居民提供良好空气质量</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基本达到预期目标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20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18</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409" w:hRule="atLeast"/>
        </w:trPr>
        <w:tc>
          <w:tcPr>
            <w:tcW w:w="3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1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566"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r>
              <w:rPr>
                <w:rFonts w:hint="eastAsia" w:ascii="宋体" w:hAnsi="宋体"/>
                <w:szCs w:val="21"/>
              </w:rPr>
              <w:t>得到绝大部分商家支持和周边群众满意</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好评率达90%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20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18</w:t>
            </w:r>
          </w:p>
        </w:tc>
        <w:tc>
          <w:tcPr>
            <w:tcW w:w="18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48" w:type="dxa"/>
          <w:trHeight w:val="353" w:hRule="atLeast"/>
        </w:trPr>
        <w:tc>
          <w:tcPr>
            <w:tcW w:w="8290" w:type="dxa"/>
            <w:gridSpan w:val="1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82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245" w:tblpY="-1800"/>
        <w:tblW w:w="14502" w:type="dxa"/>
        <w:tblInd w:w="0" w:type="dxa"/>
        <w:tblLayout w:type="fixed"/>
        <w:tblCellMar>
          <w:top w:w="0" w:type="dxa"/>
          <w:left w:w="108" w:type="dxa"/>
          <w:bottom w:w="0" w:type="dxa"/>
          <w:right w:w="108" w:type="dxa"/>
        </w:tblCellMar>
      </w:tblPr>
      <w:tblGrid>
        <w:gridCol w:w="516"/>
        <w:gridCol w:w="1283"/>
        <w:gridCol w:w="1381"/>
        <w:gridCol w:w="462"/>
        <w:gridCol w:w="1381"/>
        <w:gridCol w:w="1134"/>
        <w:gridCol w:w="596"/>
        <w:gridCol w:w="236"/>
        <w:gridCol w:w="236"/>
        <w:gridCol w:w="87"/>
        <w:gridCol w:w="70"/>
        <w:gridCol w:w="1043"/>
        <w:gridCol w:w="992"/>
        <w:gridCol w:w="813"/>
        <w:gridCol w:w="4272"/>
      </w:tblGrid>
      <w:tr>
        <w:tblPrEx>
          <w:tblCellMar>
            <w:top w:w="0" w:type="dxa"/>
            <w:left w:w="108" w:type="dxa"/>
            <w:bottom w:w="0" w:type="dxa"/>
            <w:right w:w="108" w:type="dxa"/>
          </w:tblCellMar>
        </w:tblPrEx>
        <w:trPr>
          <w:gridAfter w:val="1"/>
          <w:wAfter w:w="4272" w:type="dxa"/>
          <w:trHeight w:val="484" w:hRule="atLeast"/>
        </w:trPr>
        <w:tc>
          <w:tcPr>
            <w:tcW w:w="10230" w:type="dxa"/>
            <w:gridSpan w:val="14"/>
            <w:tcBorders>
              <w:top w:val="nil"/>
              <w:left w:val="nil"/>
              <w:bottom w:val="nil"/>
              <w:right w:val="nil"/>
            </w:tcBorders>
            <w:vAlign w:val="center"/>
          </w:tcPr>
          <w:p>
            <w:pPr>
              <w:widowControl/>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（表22）</w:t>
            </w:r>
          </w:p>
        </w:tc>
      </w:tr>
      <w:tr>
        <w:tblPrEx>
          <w:tblCellMar>
            <w:top w:w="0" w:type="dxa"/>
            <w:left w:w="108" w:type="dxa"/>
            <w:bottom w:w="0" w:type="dxa"/>
            <w:right w:w="108" w:type="dxa"/>
          </w:tblCellMar>
        </w:tblPrEx>
        <w:trPr>
          <w:gridAfter w:val="1"/>
          <w:wAfter w:w="4272" w:type="dxa"/>
          <w:trHeight w:val="311" w:hRule="atLeast"/>
        </w:trPr>
        <w:tc>
          <w:tcPr>
            <w:tcW w:w="10230"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51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272" w:type="dxa"/>
          <w:trHeight w:val="370" w:hRule="atLeast"/>
        </w:trPr>
        <w:tc>
          <w:tcPr>
            <w:tcW w:w="318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50" w:type="dxa"/>
            <w:gridSpan w:val="11"/>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2018年拆迁滞留户“无煤化”补贴资金</w:t>
            </w:r>
          </w:p>
        </w:tc>
      </w:tr>
      <w:tr>
        <w:tblPrEx>
          <w:tblCellMar>
            <w:top w:w="0" w:type="dxa"/>
            <w:left w:w="108" w:type="dxa"/>
            <w:bottom w:w="0" w:type="dxa"/>
            <w:right w:w="108" w:type="dxa"/>
          </w:tblCellMar>
        </w:tblPrEx>
        <w:trPr>
          <w:gridAfter w:val="1"/>
          <w:wAfter w:w="4272" w:type="dxa"/>
          <w:trHeight w:val="370" w:hRule="atLeast"/>
        </w:trPr>
        <w:tc>
          <w:tcPr>
            <w:tcW w:w="318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438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11" name="直接箭头连接符 1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6438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DkvlnF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177000</w:t>
            </w:r>
          </w:p>
        </w:tc>
        <w:tc>
          <w:tcPr>
            <w:tcW w:w="1225" w:type="dxa"/>
            <w:gridSpan w:val="5"/>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4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环保办</w:t>
            </w:r>
          </w:p>
        </w:tc>
      </w:tr>
      <w:tr>
        <w:tblPrEx>
          <w:tblCellMar>
            <w:top w:w="0" w:type="dxa"/>
            <w:left w:w="108" w:type="dxa"/>
            <w:bottom w:w="0" w:type="dxa"/>
            <w:right w:w="108" w:type="dxa"/>
          </w:tblCellMar>
        </w:tblPrEx>
        <w:trPr>
          <w:gridAfter w:val="1"/>
          <w:wAfter w:w="4272" w:type="dxa"/>
          <w:trHeight w:val="674" w:hRule="atLeast"/>
        </w:trPr>
        <w:tc>
          <w:tcPr>
            <w:tcW w:w="318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25"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04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1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272" w:type="dxa"/>
          <w:trHeight w:val="370" w:hRule="atLeast"/>
        </w:trPr>
        <w:tc>
          <w:tcPr>
            <w:tcW w:w="318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8.5</w:t>
            </w:r>
          </w:p>
        </w:tc>
        <w:tc>
          <w:tcPr>
            <w:tcW w:w="1225" w:type="dxa"/>
            <w:gridSpan w:val="5"/>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8.5</w:t>
            </w:r>
          </w:p>
        </w:tc>
        <w:tc>
          <w:tcPr>
            <w:tcW w:w="1043"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81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272" w:type="dxa"/>
          <w:trHeight w:val="370" w:hRule="atLeast"/>
        </w:trPr>
        <w:tc>
          <w:tcPr>
            <w:tcW w:w="318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vAlign w:val="center"/>
          </w:tcPr>
          <w:p>
            <w:pPr>
              <w:widowControl/>
              <w:jc w:val="center"/>
              <w:rPr>
                <w:rFonts w:ascii="宋体" w:hAnsi="宋体"/>
                <w:sz w:val="24"/>
              </w:rPr>
            </w:pPr>
            <w:r>
              <w:rPr>
                <w:rFonts w:hint="eastAsia" w:ascii="宋体" w:hAnsi="宋体"/>
                <w:sz w:val="24"/>
              </w:rPr>
              <w:t>8.5</w:t>
            </w:r>
          </w:p>
        </w:tc>
        <w:tc>
          <w:tcPr>
            <w:tcW w:w="1225" w:type="dxa"/>
            <w:gridSpan w:val="5"/>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8.5</w:t>
            </w:r>
          </w:p>
        </w:tc>
        <w:tc>
          <w:tcPr>
            <w:tcW w:w="1043"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813"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272" w:type="dxa"/>
          <w:trHeight w:val="370" w:hRule="atLeast"/>
        </w:trPr>
        <w:tc>
          <w:tcPr>
            <w:tcW w:w="318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25"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3"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1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272" w:type="dxa"/>
          <w:trHeight w:val="1172" w:hRule="atLeast"/>
        </w:trPr>
        <w:tc>
          <w:tcPr>
            <w:tcW w:w="516" w:type="dxa"/>
            <w:tcBorders>
              <w:top w:val="nil"/>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对17户拆迁滞留户发放“无煤化”补贴资金，每户5000元</w:t>
            </w:r>
          </w:p>
        </w:tc>
        <w:tc>
          <w:tcPr>
            <w:tcW w:w="4073"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4"/>
              </w:rPr>
            </w:pPr>
            <w:r>
              <w:rPr>
                <w:rFonts w:hint="eastAsia" w:ascii="宋体" w:hAnsi="宋体" w:cs="宋体"/>
                <w:color w:val="000000"/>
                <w:kern w:val="0"/>
                <w:sz w:val="24"/>
              </w:rPr>
              <w:t>年度总体目标完成情况综述：对17户拆迁滞留户，且2018-2019取暖季未出现使用燃煤情况，发放“无煤化”补贴资金，每户5000元</w:t>
            </w:r>
          </w:p>
        </w:tc>
      </w:tr>
      <w:tr>
        <w:tblPrEx>
          <w:tblCellMar>
            <w:top w:w="0" w:type="dxa"/>
            <w:left w:w="108" w:type="dxa"/>
            <w:bottom w:w="0" w:type="dxa"/>
            <w:right w:w="108" w:type="dxa"/>
          </w:tblCellMar>
        </w:tblPrEx>
        <w:trPr>
          <w:gridAfter w:val="1"/>
          <w:wAfter w:w="4272" w:type="dxa"/>
          <w:trHeight w:val="737" w:hRule="atLeast"/>
        </w:trPr>
        <w:tc>
          <w:tcPr>
            <w:tcW w:w="516" w:type="dxa"/>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272" w:type="dxa"/>
          <w:trHeight w:val="421" w:hRule="atLeast"/>
        </w:trPr>
        <w:tc>
          <w:tcPr>
            <w:tcW w:w="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381" w:type="dxa"/>
            <w:tcBorders>
              <w:top w:val="single" w:color="auto" w:sz="4" w:space="0"/>
              <w:left w:val="nil"/>
              <w:right w:val="single" w:color="auto" w:sz="4" w:space="0"/>
            </w:tcBorders>
            <w:vAlign w:val="center"/>
          </w:tcPr>
          <w:p>
            <w:pPr>
              <w:jc w:val="center"/>
              <w:rPr>
                <w:rFonts w:ascii="宋体" w:hAnsi="宋体" w:cs="宋体"/>
                <w:color w:val="000000"/>
                <w:kern w:val="0"/>
                <w:sz w:val="22"/>
                <w:szCs w:val="22"/>
              </w:rPr>
            </w:pPr>
            <w:r>
              <w:rPr>
                <w:rFonts w:hint="eastAsia" w:ascii="宋体" w:hAnsi="宋体"/>
                <w:sz w:val="22"/>
                <w:szCs w:val="22"/>
              </w:rPr>
              <w:t>发放17户补贴资金</w:t>
            </w:r>
          </w:p>
        </w:tc>
        <w:tc>
          <w:tcPr>
            <w:tcW w:w="1134" w:type="dxa"/>
            <w:tcBorders>
              <w:top w:val="single" w:color="auto" w:sz="4" w:space="0"/>
              <w:left w:val="nil"/>
              <w:right w:val="single" w:color="auto" w:sz="4" w:space="0"/>
            </w:tcBorders>
            <w:vAlign w:val="center"/>
          </w:tcPr>
          <w:p>
            <w:pPr>
              <w:jc w:val="center"/>
              <w:rPr>
                <w:rFonts w:ascii="宋体" w:hAnsi="宋体"/>
                <w:sz w:val="22"/>
                <w:szCs w:val="22"/>
              </w:rPr>
            </w:pPr>
            <w:r>
              <w:rPr>
                <w:rFonts w:hint="eastAsia" w:ascii="宋体" w:hAnsi="宋体"/>
                <w:sz w:val="22"/>
                <w:szCs w:val="22"/>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113"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80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272" w:type="dxa"/>
          <w:trHeight w:val="413" w:hRule="atLeast"/>
        </w:trPr>
        <w:tc>
          <w:tcPr>
            <w:tcW w:w="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3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2"/>
                <w:szCs w:val="22"/>
              </w:rPr>
            </w:pPr>
            <w:r>
              <w:rPr>
                <w:rFonts w:hint="eastAsia" w:ascii="宋体" w:hAnsi="宋体"/>
                <w:sz w:val="22"/>
                <w:szCs w:val="22"/>
              </w:rPr>
              <w:t>完成统一发放</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272" w:type="dxa"/>
          <w:trHeight w:val="419" w:hRule="atLeast"/>
        </w:trPr>
        <w:tc>
          <w:tcPr>
            <w:tcW w:w="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381"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采暖季结束前完成</w:t>
            </w:r>
          </w:p>
        </w:tc>
        <w:tc>
          <w:tcPr>
            <w:tcW w:w="1134"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采暖季结束前完成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272" w:type="dxa"/>
          <w:trHeight w:val="418" w:hRule="atLeast"/>
        </w:trPr>
        <w:tc>
          <w:tcPr>
            <w:tcW w:w="5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38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sz w:val="22"/>
                <w:szCs w:val="22"/>
              </w:rPr>
              <w:t>项目预算控制数8.5万元</w:t>
            </w:r>
          </w:p>
        </w:tc>
        <w:tc>
          <w:tcPr>
            <w:tcW w:w="1134"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支出8.5万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10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272" w:type="dxa"/>
        </w:trPr>
        <w:tc>
          <w:tcPr>
            <w:tcW w:w="5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381" w:type="dxa"/>
            <w:tcBorders>
              <w:top w:val="single" w:color="auto" w:sz="4" w:space="0"/>
              <w:left w:val="nil"/>
              <w:bottom w:val="single" w:color="auto" w:sz="4" w:space="0"/>
              <w:right w:val="single" w:color="auto" w:sz="4" w:space="0"/>
            </w:tcBorders>
            <w:vAlign w:val="center"/>
          </w:tcPr>
          <w:p>
            <w:pPr>
              <w:jc w:val="center"/>
              <w:rPr>
                <w:rFonts w:ascii="宋体" w:hAnsi="宋体" w:cs="宋体"/>
                <w:sz w:val="22"/>
                <w:szCs w:val="22"/>
              </w:rPr>
            </w:pPr>
            <w:r>
              <w:rPr>
                <w:rFonts w:hint="eastAsia" w:ascii="宋体" w:hAnsi="宋体" w:cs="宋体"/>
                <w:sz w:val="22"/>
                <w:szCs w:val="22"/>
              </w:rPr>
              <w:t>推进“无煤化”工作，改善空气质量，为滞留户解决取暖后顾之忧</w:t>
            </w:r>
          </w:p>
        </w:tc>
        <w:tc>
          <w:tcPr>
            <w:tcW w:w="1134"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基本达到预期目标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20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18</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272" w:type="dxa"/>
          <w:trHeight w:val="409" w:hRule="atLeast"/>
        </w:trPr>
        <w:tc>
          <w:tcPr>
            <w:tcW w:w="5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381" w:type="dxa"/>
            <w:tcBorders>
              <w:top w:val="single" w:color="auto" w:sz="4" w:space="0"/>
              <w:left w:val="nil"/>
              <w:bottom w:val="single" w:color="auto" w:sz="4" w:space="0"/>
              <w:right w:val="single" w:color="auto" w:sz="4" w:space="0"/>
            </w:tcBorders>
            <w:vAlign w:val="center"/>
          </w:tcPr>
          <w:p>
            <w:pPr>
              <w:jc w:val="center"/>
              <w:rPr>
                <w:rFonts w:ascii="宋体" w:hAnsi="宋体" w:cs="宋体"/>
                <w:sz w:val="22"/>
                <w:szCs w:val="22"/>
              </w:rPr>
            </w:pPr>
            <w:r>
              <w:rPr>
                <w:rFonts w:hint="eastAsia" w:ascii="宋体" w:hAnsi="宋体"/>
                <w:sz w:val="22"/>
                <w:szCs w:val="22"/>
              </w:rPr>
              <w:t>得到绝大村民支持</w:t>
            </w:r>
          </w:p>
        </w:tc>
        <w:tc>
          <w:tcPr>
            <w:tcW w:w="1134" w:type="dxa"/>
            <w:tcBorders>
              <w:top w:val="single" w:color="auto" w:sz="4" w:space="0"/>
              <w:left w:val="nil"/>
              <w:bottom w:val="single" w:color="auto" w:sz="4" w:space="0"/>
              <w:right w:val="single" w:color="auto" w:sz="4" w:space="0"/>
            </w:tcBorders>
            <w:vAlign w:val="center"/>
          </w:tcPr>
          <w:p>
            <w:pPr>
              <w:jc w:val="center"/>
              <w:rPr>
                <w:rFonts w:ascii="宋体" w:hAnsi="宋体"/>
                <w:sz w:val="22"/>
                <w:szCs w:val="22"/>
              </w:rPr>
            </w:pPr>
            <w:r>
              <w:rPr>
                <w:rFonts w:hint="eastAsia" w:ascii="宋体" w:hAnsi="宋体"/>
                <w:sz w:val="22"/>
                <w:szCs w:val="22"/>
              </w:rPr>
              <w:t>好评率达90%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20</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18</w:t>
            </w:r>
          </w:p>
        </w:tc>
        <w:tc>
          <w:tcPr>
            <w:tcW w:w="180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72" w:type="dxa"/>
          <w:trHeight w:val="353" w:hRule="atLeast"/>
        </w:trPr>
        <w:tc>
          <w:tcPr>
            <w:tcW w:w="8425" w:type="dxa"/>
            <w:gridSpan w:val="1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80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1440" w:header="851" w:footer="992" w:gutter="0"/>
          <w:cols w:space="720" w:num="1"/>
          <w:docGrid w:type="lines" w:linePitch="312" w:charSpace="0"/>
        </w:sectPr>
      </w:pPr>
    </w:p>
    <w:tbl>
      <w:tblPr>
        <w:tblStyle w:val="14"/>
        <w:tblpPr w:leftFromText="180" w:rightFromText="180" w:horzAnchor="margin" w:tblpX="435" w:tblpY="-1800"/>
        <w:tblW w:w="10275" w:type="dxa"/>
        <w:tblInd w:w="0" w:type="dxa"/>
        <w:tblLayout w:type="fixed"/>
        <w:tblCellMar>
          <w:top w:w="0" w:type="dxa"/>
          <w:left w:w="108" w:type="dxa"/>
          <w:bottom w:w="0" w:type="dxa"/>
          <w:right w:w="108" w:type="dxa"/>
        </w:tblCellMar>
      </w:tblPr>
      <w:tblGrid>
        <w:gridCol w:w="412"/>
        <w:gridCol w:w="953"/>
        <w:gridCol w:w="1350"/>
        <w:gridCol w:w="105"/>
        <w:gridCol w:w="1575"/>
        <w:gridCol w:w="1035"/>
        <w:gridCol w:w="1778"/>
        <w:gridCol w:w="121"/>
        <w:gridCol w:w="992"/>
        <w:gridCol w:w="992"/>
        <w:gridCol w:w="962"/>
      </w:tblGrid>
      <w:tr>
        <w:tblPrEx>
          <w:tblCellMar>
            <w:top w:w="0" w:type="dxa"/>
            <w:left w:w="108" w:type="dxa"/>
            <w:bottom w:w="0" w:type="dxa"/>
            <w:right w:w="108" w:type="dxa"/>
          </w:tblCellMar>
        </w:tblPrEx>
        <w:trPr>
          <w:trHeight w:val="484" w:hRule="atLeast"/>
        </w:trPr>
        <w:tc>
          <w:tcPr>
            <w:tcW w:w="10275" w:type="dxa"/>
            <w:gridSpan w:val="11"/>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项目支出事后绩效自评简表（表23）</w:t>
            </w:r>
          </w:p>
        </w:tc>
      </w:tr>
      <w:tr>
        <w:tblPrEx>
          <w:tblCellMar>
            <w:top w:w="0" w:type="dxa"/>
            <w:left w:w="108" w:type="dxa"/>
            <w:bottom w:w="0" w:type="dxa"/>
            <w:right w:w="108" w:type="dxa"/>
          </w:tblCellMar>
        </w:tblPrEx>
        <w:trPr>
          <w:trHeight w:val="311" w:hRule="atLeast"/>
        </w:trPr>
        <w:tc>
          <w:tcPr>
            <w:tcW w:w="1027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271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60"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基层党组织工作和活动经费</w:t>
            </w:r>
          </w:p>
        </w:tc>
      </w:tr>
      <w:tr>
        <w:trPr>
          <w:trHeight w:val="370" w:hRule="atLeast"/>
        </w:trPr>
        <w:tc>
          <w:tcPr>
            <w:tcW w:w="2715"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715" w:type="dxa"/>
            <w:gridSpan w:val="3"/>
            <w:tcBorders>
              <w:top w:val="single" w:color="auto" w:sz="4" w:space="0"/>
              <w:left w:val="nil"/>
              <w:bottom w:val="single" w:color="auto" w:sz="4" w:space="0"/>
              <w:right w:val="single" w:color="000000" w:sz="4" w:space="0"/>
            </w:tcBorders>
            <w:noWrap/>
            <w:vAlign w:val="center"/>
          </w:tcPr>
          <w:p>
            <w:pPr>
              <w:rPr>
                <w:rFonts w:ascii="仿宋" w:hAnsi="仿宋" w:eastAsia="仿宋" w:cs="仿宋"/>
                <w:color w:val="000000"/>
                <w:kern w:val="0"/>
                <w:sz w:val="24"/>
              </w:rPr>
            </w:pPr>
            <w:r>
              <w:rPr>
                <w:rFonts w:hint="eastAsia" w:ascii="仿宋" w:hAnsi="仿宋" w:eastAsia="仿宋" w:cs="仿宋"/>
                <w:color w:val="000000"/>
                <w:kern w:val="0"/>
                <w:sz w:val="24"/>
              </w:rPr>
              <w:t>北京市丰台区南苑乡人民政府，177000</w:t>
            </w:r>
          </w:p>
          <w:p>
            <w:pPr>
              <w:widowControl/>
              <w:jc w:val="left"/>
              <w:rPr>
                <w:rFonts w:ascii="宋体" w:hAnsi="宋体" w:cs="宋体"/>
                <w:color w:val="000000"/>
                <w:kern w:val="0"/>
                <w:sz w:val="18"/>
                <w:szCs w:val="18"/>
              </w:rPr>
            </w:pPr>
          </w:p>
        </w:tc>
        <w:tc>
          <w:tcPr>
            <w:tcW w:w="1899"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4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trHeight w:val="674" w:hRule="atLeast"/>
        </w:trPr>
        <w:tc>
          <w:tcPr>
            <w:tcW w:w="271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68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03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8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6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271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680"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03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60.345</w:t>
            </w:r>
          </w:p>
        </w:tc>
        <w:tc>
          <w:tcPr>
            <w:tcW w:w="189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54.555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90.4%　</w:t>
            </w:r>
          </w:p>
        </w:tc>
        <w:tc>
          <w:tcPr>
            <w:tcW w:w="96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9.04</w:t>
            </w:r>
          </w:p>
        </w:tc>
      </w:tr>
      <w:tr>
        <w:tblPrEx>
          <w:tblCellMar>
            <w:top w:w="0" w:type="dxa"/>
            <w:left w:w="108" w:type="dxa"/>
            <w:bottom w:w="0" w:type="dxa"/>
            <w:right w:w="108" w:type="dxa"/>
          </w:tblCellMar>
        </w:tblPrEx>
        <w:trPr>
          <w:trHeight w:val="370" w:hRule="atLeast"/>
        </w:trPr>
        <w:tc>
          <w:tcPr>
            <w:tcW w:w="271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68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03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60.345</w:t>
            </w:r>
          </w:p>
        </w:tc>
        <w:tc>
          <w:tcPr>
            <w:tcW w:w="189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54.555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90.4%　</w:t>
            </w:r>
          </w:p>
        </w:tc>
        <w:tc>
          <w:tcPr>
            <w:tcW w:w="962" w:type="dxa"/>
            <w:tcBorders>
              <w:top w:val="nil"/>
              <w:left w:val="nil"/>
              <w:bottom w:val="single" w:color="auto" w:sz="4" w:space="0"/>
              <w:right w:val="single" w:color="auto" w:sz="4" w:space="0"/>
            </w:tcBorders>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9.04</w:t>
            </w:r>
          </w:p>
        </w:tc>
      </w:tr>
      <w:tr>
        <w:tblPrEx>
          <w:tblCellMar>
            <w:top w:w="0" w:type="dxa"/>
            <w:left w:w="108" w:type="dxa"/>
            <w:bottom w:w="0" w:type="dxa"/>
            <w:right w:w="108" w:type="dxa"/>
          </w:tblCellMar>
        </w:tblPrEx>
        <w:trPr>
          <w:trHeight w:val="370" w:hRule="atLeast"/>
        </w:trPr>
        <w:tc>
          <w:tcPr>
            <w:tcW w:w="271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68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03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9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6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41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018" w:type="dxa"/>
            <w:gridSpan w:val="5"/>
            <w:tcBorders>
              <w:top w:val="single" w:color="auto" w:sz="4" w:space="0"/>
              <w:left w:val="nil"/>
              <w:bottom w:val="single" w:color="auto" w:sz="4" w:space="0"/>
              <w:right w:val="single" w:color="000000" w:sz="4" w:space="0"/>
            </w:tcBorders>
            <w:vAlign w:val="center"/>
          </w:tcPr>
          <w:p>
            <w:pPr>
              <w:widowControl/>
              <w:jc w:val="left"/>
              <w:rPr>
                <w:szCs w:val="32"/>
              </w:rPr>
            </w:pPr>
            <w:r>
              <w:rPr>
                <w:rFonts w:hint="eastAsia"/>
                <w:szCs w:val="32"/>
              </w:rPr>
              <w:t>年初设定目标：</w:t>
            </w:r>
          </w:p>
          <w:p>
            <w:pPr>
              <w:widowControl/>
              <w:jc w:val="center"/>
              <w:rPr>
                <w:rFonts w:ascii="仿宋_GB2312" w:eastAsia="仿宋_GB2312"/>
                <w:szCs w:val="21"/>
              </w:rPr>
            </w:pPr>
            <w:r>
              <w:rPr>
                <w:szCs w:val="32"/>
              </w:rPr>
              <w:t>基层党组织按照“立足支部、服务基层、统筹安排、专款专用”的原则，使用党建活动经费，要厉行节约、反对浪费</w:t>
            </w:r>
          </w:p>
        </w:tc>
        <w:tc>
          <w:tcPr>
            <w:tcW w:w="4845" w:type="dxa"/>
            <w:gridSpan w:val="5"/>
            <w:tcBorders>
              <w:top w:val="single" w:color="auto" w:sz="4" w:space="0"/>
              <w:left w:val="nil"/>
              <w:bottom w:val="single" w:color="auto" w:sz="4" w:space="0"/>
              <w:right w:val="single" w:color="000000" w:sz="4" w:space="0"/>
            </w:tcBorders>
            <w:vAlign w:val="center"/>
          </w:tcPr>
          <w:p>
            <w:pPr>
              <w:widowControl/>
              <w:rPr>
                <w:szCs w:val="32"/>
              </w:rPr>
            </w:pPr>
            <w:r>
              <w:rPr>
                <w:rFonts w:hint="eastAsia"/>
                <w:szCs w:val="32"/>
              </w:rPr>
              <w:t>年度总体目标完成情况综述：按照党费使用办法规定的使用范围，积极开展党建7大类活动，提升党组织凝聚力</w:t>
            </w:r>
            <w:r>
              <w:rPr>
                <w:szCs w:val="32"/>
              </w:rPr>
              <w:t>。</w:t>
            </w:r>
          </w:p>
        </w:tc>
      </w:tr>
      <w:tr>
        <w:tblPrEx>
          <w:tblCellMar>
            <w:top w:w="0" w:type="dxa"/>
            <w:left w:w="108" w:type="dxa"/>
            <w:bottom w:w="0" w:type="dxa"/>
            <w:right w:w="108" w:type="dxa"/>
          </w:tblCellMar>
        </w:tblPrEx>
        <w:trPr>
          <w:trHeight w:val="737" w:hRule="atLeast"/>
        </w:trPr>
        <w:tc>
          <w:tcPr>
            <w:tcW w:w="41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5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5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7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77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rPr>
          <w:trHeight w:val="421"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5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575" w:type="dxa"/>
            <w:tcBorders>
              <w:top w:val="single" w:color="auto" w:sz="4" w:space="0"/>
              <w:left w:val="nil"/>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按照要求开展7大类活动</w:t>
            </w:r>
          </w:p>
        </w:tc>
        <w:tc>
          <w:tcPr>
            <w:tcW w:w="103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95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7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党员参与度≥98%　</w:t>
            </w:r>
          </w:p>
        </w:tc>
        <w:tc>
          <w:tcPr>
            <w:tcW w:w="103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实现预期指标</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5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12月前完成</w:t>
            </w:r>
          </w:p>
        </w:tc>
        <w:tc>
          <w:tcPr>
            <w:tcW w:w="1035"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12月前完成</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7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预算60.345万元</w:t>
            </w:r>
          </w:p>
        </w:tc>
        <w:tc>
          <w:tcPr>
            <w:tcW w:w="103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使用54.555万元</w:t>
            </w:r>
          </w:p>
        </w:tc>
        <w:tc>
          <w:tcPr>
            <w:tcW w:w="177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5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57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通过开展党员教育、主题党日等活动，增强党员凝聚力，提高党员归属感。</w:t>
            </w:r>
          </w:p>
        </w:tc>
        <w:tc>
          <w:tcPr>
            <w:tcW w:w="103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达到预期目标且效果较好　</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　</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09"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5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服务对象满意度指标</w:t>
            </w:r>
          </w:p>
        </w:tc>
        <w:tc>
          <w:tcPr>
            <w:tcW w:w="157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得到党员普遍好评</w:t>
            </w:r>
          </w:p>
        </w:tc>
        <w:tc>
          <w:tcPr>
            <w:tcW w:w="103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好评率90%　</w:t>
            </w:r>
          </w:p>
        </w:tc>
        <w:tc>
          <w:tcPr>
            <w:tcW w:w="17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　</w:t>
            </w:r>
          </w:p>
        </w:tc>
        <w:tc>
          <w:tcPr>
            <w:tcW w:w="195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353" w:hRule="atLeast"/>
        </w:trPr>
        <w:tc>
          <w:tcPr>
            <w:tcW w:w="8321" w:type="dxa"/>
            <w:gridSpan w:val="9"/>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总分：94.04</w:t>
            </w:r>
          </w:p>
        </w:tc>
        <w:tc>
          <w:tcPr>
            <w:tcW w:w="195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463" w:right="166" w:bottom="1123" w:left="820" w:header="851" w:footer="992" w:gutter="0"/>
          <w:cols w:space="720" w:num="1"/>
          <w:docGrid w:type="lines" w:linePitch="312" w:charSpace="0"/>
        </w:sectPr>
      </w:pPr>
    </w:p>
    <w:tbl>
      <w:tblPr>
        <w:tblStyle w:val="14"/>
        <w:tblpPr w:leftFromText="180" w:rightFromText="180" w:horzAnchor="margin" w:tblpX="405" w:tblpY="-1800"/>
        <w:tblW w:w="14428" w:type="dxa"/>
        <w:tblInd w:w="0" w:type="dxa"/>
        <w:tblLayout w:type="fixed"/>
        <w:tblCellMar>
          <w:top w:w="0" w:type="dxa"/>
          <w:left w:w="108" w:type="dxa"/>
          <w:bottom w:w="0" w:type="dxa"/>
          <w:right w:w="108" w:type="dxa"/>
        </w:tblCellMar>
      </w:tblPr>
      <w:tblGrid>
        <w:gridCol w:w="442"/>
        <w:gridCol w:w="1043"/>
        <w:gridCol w:w="1305"/>
        <w:gridCol w:w="1912"/>
        <w:gridCol w:w="247"/>
        <w:gridCol w:w="1134"/>
        <w:gridCol w:w="596"/>
        <w:gridCol w:w="236"/>
        <w:gridCol w:w="236"/>
        <w:gridCol w:w="87"/>
        <w:gridCol w:w="1113"/>
        <w:gridCol w:w="992"/>
        <w:gridCol w:w="722"/>
        <w:gridCol w:w="4363"/>
      </w:tblGrid>
      <w:tr>
        <w:tblPrEx>
          <w:tblCellMar>
            <w:top w:w="0" w:type="dxa"/>
            <w:left w:w="108" w:type="dxa"/>
            <w:bottom w:w="0" w:type="dxa"/>
            <w:right w:w="108" w:type="dxa"/>
          </w:tblCellMar>
        </w:tblPrEx>
        <w:trPr>
          <w:gridAfter w:val="1"/>
          <w:wAfter w:w="4363" w:type="dxa"/>
          <w:trHeight w:val="484" w:hRule="atLeast"/>
        </w:trPr>
        <w:tc>
          <w:tcPr>
            <w:tcW w:w="10065" w:type="dxa"/>
            <w:gridSpan w:val="13"/>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（表24）</w:t>
            </w:r>
          </w:p>
        </w:tc>
      </w:tr>
      <w:tr>
        <w:tblPrEx>
          <w:tblCellMar>
            <w:top w:w="0" w:type="dxa"/>
            <w:left w:w="108" w:type="dxa"/>
            <w:bottom w:w="0" w:type="dxa"/>
            <w:right w:w="108" w:type="dxa"/>
          </w:tblCellMar>
        </w:tblPrEx>
        <w:trPr>
          <w:gridAfter w:val="1"/>
          <w:wAfter w:w="4363" w:type="dxa"/>
          <w:trHeight w:val="311" w:hRule="atLeast"/>
        </w:trPr>
        <w:tc>
          <w:tcPr>
            <w:tcW w:w="10065" w:type="dxa"/>
            <w:gridSpan w:val="13"/>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4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4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05"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159"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363" w:type="dxa"/>
          <w:trHeight w:val="370" w:hRule="atLeast"/>
        </w:trPr>
        <w:tc>
          <w:tcPr>
            <w:tcW w:w="279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275"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软弱涣散村和后进社区整顿工作专项经费</w:t>
            </w:r>
          </w:p>
        </w:tc>
      </w:tr>
      <w:tr>
        <w:tblPrEx>
          <w:tblCellMar>
            <w:top w:w="0" w:type="dxa"/>
            <w:left w:w="108" w:type="dxa"/>
            <w:bottom w:w="0" w:type="dxa"/>
            <w:right w:w="108" w:type="dxa"/>
          </w:tblCellMar>
        </w:tblPrEx>
        <w:trPr>
          <w:gridAfter w:val="1"/>
          <w:wAfter w:w="4363" w:type="dxa"/>
          <w:trHeight w:val="370" w:hRule="atLeast"/>
        </w:trPr>
        <w:tc>
          <w:tcPr>
            <w:tcW w:w="279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9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24"/>
              </w:rPr>
              <w:t>北京市丰台区南苑乡人民政府，177000</w:t>
            </w:r>
          </w:p>
        </w:tc>
        <w:tc>
          <w:tcPr>
            <w:tcW w:w="1068" w:type="dxa"/>
            <w:gridSpan w:val="3"/>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14" w:type="dxa"/>
            <w:gridSpan w:val="4"/>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南苑乡人民政府党建办</w:t>
            </w:r>
          </w:p>
        </w:tc>
      </w:tr>
      <w:tr>
        <w:tblPrEx>
          <w:tblCellMar>
            <w:top w:w="0" w:type="dxa"/>
            <w:left w:w="108" w:type="dxa"/>
            <w:bottom w:w="0" w:type="dxa"/>
            <w:right w:w="108" w:type="dxa"/>
          </w:tblCellMar>
        </w:tblPrEx>
        <w:trPr>
          <w:gridAfter w:val="1"/>
          <w:wAfter w:w="4363" w:type="dxa"/>
          <w:trHeight w:val="674" w:hRule="atLeast"/>
        </w:trPr>
        <w:tc>
          <w:tcPr>
            <w:tcW w:w="279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159"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068" w:type="dxa"/>
            <w:gridSpan w:val="3"/>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20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2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363" w:type="dxa"/>
          <w:trHeight w:val="370" w:hRule="atLeast"/>
        </w:trPr>
        <w:tc>
          <w:tcPr>
            <w:tcW w:w="279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59"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50</w:t>
            </w:r>
          </w:p>
        </w:tc>
        <w:tc>
          <w:tcPr>
            <w:tcW w:w="1068"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00"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72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4363" w:type="dxa"/>
          <w:trHeight w:val="370" w:hRule="atLeast"/>
        </w:trPr>
        <w:tc>
          <w:tcPr>
            <w:tcW w:w="279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5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50</w:t>
            </w:r>
          </w:p>
        </w:tc>
        <w:tc>
          <w:tcPr>
            <w:tcW w:w="1068"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00"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　</w:t>
            </w:r>
          </w:p>
        </w:tc>
        <w:tc>
          <w:tcPr>
            <w:tcW w:w="722" w:type="dxa"/>
            <w:tcBorders>
              <w:top w:val="nil"/>
              <w:left w:val="nil"/>
              <w:bottom w:val="single" w:color="auto" w:sz="4" w:space="0"/>
              <w:right w:val="single" w:color="auto" w:sz="4" w:space="0"/>
            </w:tcBorders>
            <w:vAlign w:val="center"/>
          </w:tcPr>
          <w:p>
            <w:pPr>
              <w:widowControl/>
              <w:ind w:firstLine="240" w:firstLineChars="100"/>
              <w:rPr>
                <w:rFonts w:ascii="宋体" w:hAnsi="宋体" w:cs="宋体"/>
                <w:color w:val="000000"/>
                <w:kern w:val="0"/>
                <w:sz w:val="24"/>
              </w:rPr>
            </w:pPr>
          </w:p>
        </w:tc>
      </w:tr>
      <w:tr>
        <w:tblPrEx>
          <w:tblCellMar>
            <w:top w:w="0" w:type="dxa"/>
            <w:left w:w="108" w:type="dxa"/>
            <w:bottom w:w="0" w:type="dxa"/>
            <w:right w:w="108" w:type="dxa"/>
          </w:tblCellMar>
        </w:tblPrEx>
        <w:trPr>
          <w:gridAfter w:val="1"/>
          <w:wAfter w:w="4363" w:type="dxa"/>
          <w:trHeight w:val="370" w:hRule="atLeast"/>
        </w:trPr>
        <w:tc>
          <w:tcPr>
            <w:tcW w:w="279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5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68"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00"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63" w:type="dxa"/>
          <w:trHeight w:val="1172" w:hRule="atLeast"/>
        </w:trPr>
        <w:tc>
          <w:tcPr>
            <w:tcW w:w="44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仿宋_GB2312"/>
                <w:szCs w:val="21"/>
              </w:rPr>
            </w:pPr>
            <w:r>
              <w:rPr>
                <w:rFonts w:hint="eastAsia" w:ascii="宋体" w:hAnsi="宋体" w:cs="宋体"/>
                <w:szCs w:val="21"/>
              </w:rPr>
              <w:t>年初设定目标：按照市、区工作要求，对列为软</w:t>
            </w:r>
            <w:r>
              <w:rPr>
                <w:rFonts w:hint="eastAsia" w:ascii="宋体" w:hAnsi="宋体" w:cs="宋体"/>
                <w:color w:val="000000"/>
                <w:kern w:val="0"/>
                <w:szCs w:val="21"/>
              </w:rPr>
              <w:t>弱涣散村和后进社区的</w:t>
            </w:r>
            <w:r>
              <w:rPr>
                <w:rFonts w:hint="eastAsia" w:ascii="宋体" w:hAnsi="宋体" w:cs="宋体"/>
                <w:szCs w:val="21"/>
              </w:rPr>
              <w:t>槐房村进行</w:t>
            </w:r>
            <w:r>
              <w:rPr>
                <w:rFonts w:hint="eastAsia" w:ascii="宋体" w:hAnsi="宋体" w:cs="宋体"/>
                <w:color w:val="000000"/>
                <w:kern w:val="0"/>
                <w:szCs w:val="21"/>
              </w:rPr>
              <w:t>整顿，巩固基层党组织战斗堡垒作用。</w:t>
            </w:r>
          </w:p>
        </w:tc>
        <w:tc>
          <w:tcPr>
            <w:tcW w:w="3982" w:type="dxa"/>
            <w:gridSpan w:val="7"/>
            <w:tcBorders>
              <w:top w:val="single" w:color="auto" w:sz="4" w:space="0"/>
              <w:left w:val="nil"/>
              <w:bottom w:val="single" w:color="auto" w:sz="4" w:space="0"/>
              <w:right w:val="single" w:color="000000" w:sz="4" w:space="0"/>
            </w:tcBorders>
            <w:vAlign w:val="center"/>
          </w:tcPr>
          <w:p>
            <w:pPr>
              <w:widowControl/>
              <w:jc w:val="left"/>
              <w:rPr>
                <w:rFonts w:ascii="仿宋_GB2312" w:hAnsi="宋体" w:cs="宋体"/>
                <w:color w:val="000000"/>
                <w:kern w:val="0"/>
                <w:szCs w:val="21"/>
              </w:rPr>
            </w:pPr>
            <w:r>
              <w:rPr>
                <w:rFonts w:hint="eastAsia" w:ascii="宋体" w:hAnsi="宋体" w:cs="宋体"/>
                <w:color w:val="000000"/>
                <w:kern w:val="0"/>
                <w:szCs w:val="21"/>
              </w:rPr>
              <w:t>年度总体目标完成情况综述：</w:t>
            </w:r>
            <w:r>
              <w:rPr>
                <w:rFonts w:hint="eastAsia" w:ascii="宋体" w:hAnsi="宋体" w:cs="宋体"/>
                <w:color w:val="2F2717"/>
                <w:szCs w:val="21"/>
                <w:shd w:val="clear" w:color="auto" w:fill="FFFFFF"/>
              </w:rPr>
              <w:t>通过设置</w:t>
            </w:r>
            <w:r>
              <w:rPr>
                <w:rFonts w:hint="eastAsia" w:ascii="宋体" w:hAnsi="宋体" w:cs="宋体"/>
                <w:color w:val="000000"/>
                <w:kern w:val="0"/>
                <w:szCs w:val="21"/>
              </w:rPr>
              <w:t>楼门公示宣传栏、公示栏，安装电动车集中充电桩，购买巡逻电动车等，提升</w:t>
            </w:r>
            <w:r>
              <w:rPr>
                <w:rFonts w:hint="eastAsia" w:ascii="宋体" w:hAnsi="宋体" w:cs="宋体"/>
                <w:color w:val="2F2717"/>
                <w:szCs w:val="21"/>
                <w:shd w:val="clear" w:color="auto" w:fill="FFFFFF"/>
              </w:rPr>
              <w:t>槐房村服务能力和水平、密切党群干群关系。</w:t>
            </w:r>
          </w:p>
        </w:tc>
      </w:tr>
      <w:tr>
        <w:tblPrEx>
          <w:tblCellMar>
            <w:top w:w="0" w:type="dxa"/>
            <w:left w:w="108" w:type="dxa"/>
            <w:bottom w:w="0" w:type="dxa"/>
            <w:right w:w="108" w:type="dxa"/>
          </w:tblCellMar>
        </w:tblPrEx>
        <w:trPr>
          <w:gridAfter w:val="1"/>
          <w:wAfter w:w="4363" w:type="dxa"/>
          <w:trHeight w:val="737" w:hRule="atLeast"/>
        </w:trPr>
        <w:tc>
          <w:tcPr>
            <w:tcW w:w="44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91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363" w:type="dxa"/>
          <w:trHeight w:val="421" w:hRule="atLeast"/>
        </w:trPr>
        <w:tc>
          <w:tcPr>
            <w:tcW w:w="4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05"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912" w:type="dxa"/>
            <w:tcBorders>
              <w:top w:val="single" w:color="auto" w:sz="4" w:space="0"/>
              <w:left w:val="nil"/>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安装充电桩75处，宣传栏242个，公示栏8个，平板电子屏1块，购置两轮巡逻车4辆</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71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63" w:type="dxa"/>
          <w:trHeight w:val="413" w:hRule="atLeast"/>
        </w:trPr>
        <w:tc>
          <w:tcPr>
            <w:tcW w:w="4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91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严格三重一大程序，按照乡党委会通过的方案执行</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63" w:type="dxa"/>
          <w:trHeight w:val="419" w:hRule="atLeast"/>
        </w:trPr>
        <w:tc>
          <w:tcPr>
            <w:tcW w:w="4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91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2020年4月底前完成</w:t>
            </w:r>
          </w:p>
        </w:tc>
        <w:tc>
          <w:tcPr>
            <w:tcW w:w="1381" w:type="dxa"/>
            <w:gridSpan w:val="2"/>
            <w:tcBorders>
              <w:top w:val="single" w:color="auto" w:sz="4" w:space="0"/>
              <w:left w:val="nil"/>
              <w:bottom w:val="single" w:color="auto" w:sz="4" w:space="0"/>
              <w:right w:val="single" w:color="auto" w:sz="4" w:space="0"/>
            </w:tcBorders>
            <w:noWrap/>
            <w:vAlign w:val="center"/>
          </w:tcPr>
          <w:p>
            <w:pPr>
              <w:rPr>
                <w:rFonts w:ascii="宋体" w:hAnsi="宋体" w:cs="宋体"/>
                <w:color w:val="000000"/>
                <w:kern w:val="0"/>
                <w:szCs w:val="21"/>
              </w:rPr>
            </w:pPr>
            <w:r>
              <w:rPr>
                <w:rFonts w:hint="eastAsia" w:ascii="宋体" w:hAnsi="宋体" w:cs="宋体"/>
                <w:color w:val="000000"/>
                <w:kern w:val="0"/>
                <w:szCs w:val="21"/>
              </w:rPr>
              <w:t>2020年6月完成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9.5</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受疫情影响</w:t>
            </w:r>
          </w:p>
        </w:tc>
      </w:tr>
      <w:tr>
        <w:tblPrEx>
          <w:tblCellMar>
            <w:top w:w="0" w:type="dxa"/>
            <w:left w:w="108" w:type="dxa"/>
            <w:bottom w:w="0" w:type="dxa"/>
            <w:right w:w="108" w:type="dxa"/>
          </w:tblCellMar>
        </w:tblPrEx>
        <w:trPr>
          <w:gridAfter w:val="1"/>
          <w:wAfter w:w="4363" w:type="dxa"/>
          <w:trHeight w:val="534" w:hRule="atLeast"/>
        </w:trPr>
        <w:tc>
          <w:tcPr>
            <w:tcW w:w="4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91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sz w:val="22"/>
                <w:szCs w:val="22"/>
              </w:rPr>
              <w:t>项目预算控制数50万元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100%完成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63" w:type="dxa"/>
          <w:trHeight w:val="416" w:hRule="atLeast"/>
        </w:trPr>
        <w:tc>
          <w:tcPr>
            <w:tcW w:w="4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0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91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改善社区民生服务质量，提高服务水平</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　</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63" w:type="dxa"/>
          <w:trHeight w:val="409" w:hRule="atLeast"/>
        </w:trPr>
        <w:tc>
          <w:tcPr>
            <w:tcW w:w="4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0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服务对象满意度指标</w:t>
            </w:r>
          </w:p>
        </w:tc>
        <w:tc>
          <w:tcPr>
            <w:tcW w:w="191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得到社区居民好评</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好评率达90%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　</w:t>
            </w:r>
          </w:p>
        </w:tc>
        <w:tc>
          <w:tcPr>
            <w:tcW w:w="171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63" w:type="dxa"/>
          <w:trHeight w:val="353" w:hRule="atLeast"/>
        </w:trPr>
        <w:tc>
          <w:tcPr>
            <w:tcW w:w="8351" w:type="dxa"/>
            <w:gridSpan w:val="11"/>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总分：96.5</w:t>
            </w:r>
          </w:p>
        </w:tc>
        <w:tc>
          <w:tcPr>
            <w:tcW w:w="171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820" w:header="851" w:footer="992" w:gutter="0"/>
          <w:cols w:space="720" w:num="1"/>
          <w:docGrid w:type="lines" w:linePitch="312" w:charSpace="0"/>
        </w:sectPr>
      </w:pPr>
    </w:p>
    <w:tbl>
      <w:tblPr>
        <w:tblStyle w:val="14"/>
        <w:tblpPr w:leftFromText="180" w:rightFromText="180" w:horzAnchor="margin" w:tblpX="435" w:tblpY="-1800"/>
        <w:tblW w:w="14398" w:type="dxa"/>
        <w:tblInd w:w="0" w:type="dxa"/>
        <w:tblLayout w:type="fixed"/>
        <w:tblCellMar>
          <w:top w:w="0" w:type="dxa"/>
          <w:left w:w="108" w:type="dxa"/>
          <w:bottom w:w="0" w:type="dxa"/>
          <w:right w:w="108" w:type="dxa"/>
        </w:tblCellMar>
      </w:tblPr>
      <w:tblGrid>
        <w:gridCol w:w="412"/>
        <w:gridCol w:w="1283"/>
        <w:gridCol w:w="1245"/>
        <w:gridCol w:w="598"/>
        <w:gridCol w:w="1239"/>
        <w:gridCol w:w="142"/>
        <w:gridCol w:w="976"/>
        <w:gridCol w:w="754"/>
        <w:gridCol w:w="236"/>
        <w:gridCol w:w="236"/>
        <w:gridCol w:w="87"/>
        <w:gridCol w:w="121"/>
        <w:gridCol w:w="992"/>
        <w:gridCol w:w="992"/>
        <w:gridCol w:w="752"/>
        <w:gridCol w:w="4333"/>
      </w:tblGrid>
      <w:tr>
        <w:tblPrEx>
          <w:tblCellMar>
            <w:top w:w="0" w:type="dxa"/>
            <w:left w:w="108" w:type="dxa"/>
            <w:bottom w:w="0" w:type="dxa"/>
            <w:right w:w="108" w:type="dxa"/>
          </w:tblCellMar>
        </w:tblPrEx>
        <w:trPr>
          <w:gridAfter w:val="1"/>
          <w:wAfter w:w="4333" w:type="dxa"/>
          <w:trHeight w:val="484" w:hRule="atLeast"/>
        </w:trPr>
        <w:tc>
          <w:tcPr>
            <w:tcW w:w="10065" w:type="dxa"/>
            <w:gridSpan w:val="15"/>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（表25）</w:t>
            </w:r>
          </w:p>
        </w:tc>
      </w:tr>
      <w:tr>
        <w:tblPrEx>
          <w:tblCellMar>
            <w:top w:w="0" w:type="dxa"/>
            <w:left w:w="108" w:type="dxa"/>
            <w:bottom w:w="0" w:type="dxa"/>
            <w:right w:w="108" w:type="dxa"/>
          </w:tblCellMar>
        </w:tblPrEx>
        <w:trPr>
          <w:gridAfter w:val="1"/>
          <w:wAfter w:w="4333" w:type="dxa"/>
          <w:trHeight w:val="311" w:hRule="atLeast"/>
        </w:trPr>
        <w:tc>
          <w:tcPr>
            <w:tcW w:w="10065"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78" w:hRule="atLeast"/>
        </w:trPr>
        <w:tc>
          <w:tcPr>
            <w:tcW w:w="41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45"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979"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333" w:type="dxa"/>
          <w:trHeight w:val="370" w:hRule="atLeast"/>
        </w:trPr>
        <w:tc>
          <w:tcPr>
            <w:tcW w:w="294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125"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商务楼宇党组织活动和办公经费</w:t>
            </w:r>
          </w:p>
        </w:tc>
      </w:tr>
      <w:tr>
        <w:tblPrEx>
          <w:tblCellMar>
            <w:top w:w="0" w:type="dxa"/>
            <w:left w:w="108" w:type="dxa"/>
            <w:bottom w:w="0" w:type="dxa"/>
            <w:right w:w="108" w:type="dxa"/>
          </w:tblCellMar>
        </w:tblPrEx>
        <w:trPr>
          <w:gridAfter w:val="1"/>
          <w:wAfter w:w="4333" w:type="dxa"/>
          <w:trHeight w:val="370" w:hRule="atLeast"/>
        </w:trPr>
        <w:tc>
          <w:tcPr>
            <w:tcW w:w="294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55"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5408" behindDoc="0" locked="0" layoutInCell="1" allowOverlap="1">
                      <wp:simplePos x="0" y="0"/>
                      <wp:positionH relativeFrom="column">
                        <wp:posOffset>-15240</wp:posOffset>
                      </wp:positionH>
                      <wp:positionV relativeFrom="paragraph">
                        <wp:posOffset>393700</wp:posOffset>
                      </wp:positionV>
                      <wp:extent cx="1152525" cy="609600"/>
                      <wp:effectExtent l="2540" t="4445" r="6985" b="14605"/>
                      <wp:wrapNone/>
                      <wp:docPr id="14" name="直接箭头连接符 1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2pt;margin-top:31pt;height:48pt;width:90.75pt;z-index:251665408;mso-width-relative:page;mso-height-relative:page;" filled="f" stroked="t" coordsize="21600,21600" o:gfxdata="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nxw59gAAAAJAQAADwAAAAAAAAABACAAAAAiAAAAZHJzL2Rv&#10;d25yZXYueG1sUEsBAhQAFAAAAAgAh07iQO5gm4EBAgAA8wMAAA4AAAAAAAAAAQAgAAAAJw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　北京市丰台区南苑乡人民政府，177000</w:t>
            </w:r>
          </w:p>
        </w:tc>
        <w:tc>
          <w:tcPr>
            <w:tcW w:w="1434"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73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gridAfter w:val="1"/>
          <w:wAfter w:w="4333" w:type="dxa"/>
          <w:trHeight w:val="674" w:hRule="atLeast"/>
        </w:trPr>
        <w:tc>
          <w:tcPr>
            <w:tcW w:w="294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79"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976"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34"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5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333" w:type="dxa"/>
          <w:trHeight w:val="295" w:hRule="atLeast"/>
        </w:trPr>
        <w:tc>
          <w:tcPr>
            <w:tcW w:w="294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79"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976"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12</w:t>
            </w:r>
          </w:p>
        </w:tc>
        <w:tc>
          <w:tcPr>
            <w:tcW w:w="1434"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75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333" w:type="dxa"/>
          <w:trHeight w:val="340" w:hRule="atLeast"/>
        </w:trPr>
        <w:tc>
          <w:tcPr>
            <w:tcW w:w="294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79"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976"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12</w:t>
            </w:r>
          </w:p>
        </w:tc>
        <w:tc>
          <w:tcPr>
            <w:tcW w:w="1434"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752"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4333" w:type="dxa"/>
          <w:trHeight w:val="325" w:hRule="atLeast"/>
        </w:trPr>
        <w:tc>
          <w:tcPr>
            <w:tcW w:w="294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79"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97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33" w:type="dxa"/>
          <w:trHeight w:val="1172" w:hRule="atLeast"/>
        </w:trPr>
        <w:tc>
          <w:tcPr>
            <w:tcW w:w="41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483"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以加强和改进楼宇党建工作为基础，以提升工作站服务质量和管理水平为主题，加强党的建设，服务员工群众。以党建带工建、带团建、带妇建，通过组织开展形式多样的培训，不断扩大党组织和党的工作覆盖面共同提高商务楼宇整体建设水平。</w:t>
            </w:r>
          </w:p>
        </w:tc>
        <w:tc>
          <w:tcPr>
            <w:tcW w:w="4170"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年度总体目标完成情况综述：1.提升商务楼宇人员岗位知识技能和工作能力，推进楼宇建设工作。</w:t>
            </w:r>
          </w:p>
          <w:p>
            <w:pPr>
              <w:widowControl/>
              <w:rPr>
                <w:rFonts w:ascii="宋体" w:hAnsi="宋体" w:cs="宋体"/>
                <w:color w:val="000000"/>
                <w:kern w:val="0"/>
                <w:sz w:val="24"/>
              </w:rPr>
            </w:pPr>
            <w:r>
              <w:rPr>
                <w:rFonts w:hint="eastAsia" w:ascii="宋体" w:hAnsi="宋体" w:cs="宋体"/>
                <w:color w:val="000000"/>
                <w:kern w:val="0"/>
                <w:sz w:val="24"/>
              </w:rPr>
              <w:t>2.组织开展2019年党群共建活动，为楼宇内各组织发展创造条件，为楼宇内企业党员服务社会搭建平台。</w:t>
            </w:r>
          </w:p>
          <w:p>
            <w:pPr>
              <w:widowControl/>
              <w:jc w:val="left"/>
              <w:rPr>
                <w:rFonts w:ascii="宋体" w:hAnsi="宋体" w:cs="宋体"/>
                <w:color w:val="000000"/>
                <w:kern w:val="0"/>
                <w:sz w:val="24"/>
              </w:rPr>
            </w:pPr>
            <w:r>
              <w:rPr>
                <w:rFonts w:hint="eastAsia" w:ascii="宋体" w:hAnsi="宋体" w:cs="宋体"/>
                <w:color w:val="000000"/>
                <w:kern w:val="0"/>
                <w:sz w:val="24"/>
              </w:rPr>
              <w:t>3.组织2019年楼宇企业党建知识培训及比赛活动，搭建党组织与企业、员工沟通的平台。</w:t>
            </w:r>
          </w:p>
        </w:tc>
      </w:tr>
      <w:tr>
        <w:tblPrEx>
          <w:tblCellMar>
            <w:top w:w="0" w:type="dxa"/>
            <w:left w:w="108" w:type="dxa"/>
            <w:bottom w:w="0" w:type="dxa"/>
            <w:right w:w="108" w:type="dxa"/>
          </w:tblCellMar>
        </w:tblPrEx>
        <w:trPr>
          <w:gridAfter w:val="1"/>
          <w:wAfter w:w="4333" w:type="dxa"/>
          <w:trHeight w:val="737" w:hRule="atLeast"/>
        </w:trPr>
        <w:tc>
          <w:tcPr>
            <w:tcW w:w="41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1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333" w:type="dxa"/>
          <w:trHeight w:val="421"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szCs w:val="21"/>
              </w:rPr>
              <w:t>按照要求开展3大类活动</w:t>
            </w:r>
          </w:p>
        </w:tc>
        <w:tc>
          <w:tcPr>
            <w:tcW w:w="1118" w:type="dxa"/>
            <w:gridSpan w:val="2"/>
            <w:tcBorders>
              <w:top w:val="single" w:color="auto" w:sz="4" w:space="0"/>
              <w:left w:val="nil"/>
              <w:right w:val="single" w:color="auto" w:sz="4" w:space="0"/>
            </w:tcBorders>
            <w:noWrap/>
            <w:vAlign w:val="center"/>
          </w:tcPr>
          <w:p>
            <w:pPr>
              <w:jc w:val="center"/>
              <w:rPr>
                <w:rFonts w:ascii="宋体" w:hAnsi="宋体"/>
                <w:szCs w:val="21"/>
              </w:rPr>
            </w:pPr>
            <w:r>
              <w:rPr>
                <w:rFonts w:hint="eastAsia" w:ascii="宋体" w:hAnsi="宋体"/>
                <w:szCs w:val="21"/>
              </w:rPr>
              <w:t>完成预期指标</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74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33" w:type="dxa"/>
          <w:trHeight w:val="413"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党员参与度≥98%　</w:t>
            </w:r>
          </w:p>
        </w:tc>
        <w:tc>
          <w:tcPr>
            <w:tcW w:w="111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实现预期指标</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gridAfter w:val="1"/>
          <w:wAfter w:w="4333" w:type="dxa"/>
          <w:trHeight w:val="419"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r>
              <w:rPr>
                <w:rFonts w:ascii="宋体" w:hAnsi="宋体"/>
                <w:szCs w:val="21"/>
              </w:rPr>
              <w:t>12</w:t>
            </w:r>
            <w:r>
              <w:rPr>
                <w:rFonts w:hint="eastAsia" w:ascii="宋体" w:hAnsi="宋体"/>
                <w:szCs w:val="21"/>
              </w:rPr>
              <w:t>月前完成</w:t>
            </w:r>
          </w:p>
        </w:tc>
        <w:tc>
          <w:tcPr>
            <w:tcW w:w="11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12月完成</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33" w:type="dxa"/>
          <w:trHeight w:val="418"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szCs w:val="21"/>
              </w:rPr>
              <w:t>预算12万元</w:t>
            </w:r>
          </w:p>
        </w:tc>
        <w:tc>
          <w:tcPr>
            <w:tcW w:w="11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使用12万元</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33" w:type="dxa"/>
          <w:trHeight w:val="416"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Cs w:val="21"/>
              </w:rPr>
            </w:pPr>
            <w:r>
              <w:rPr>
                <w:rFonts w:hint="eastAsia" w:ascii="宋体" w:hAnsi="宋体"/>
                <w:szCs w:val="21"/>
              </w:rPr>
              <w:t>提高楼宇党建水平，提高基层治理水平</w:t>
            </w:r>
          </w:p>
        </w:tc>
        <w:tc>
          <w:tcPr>
            <w:tcW w:w="11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达到预期目标</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33" w:type="dxa"/>
          <w:trHeight w:val="409"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Cs w:val="21"/>
              </w:rPr>
            </w:pPr>
            <w:r>
              <w:rPr>
                <w:rFonts w:hint="eastAsia" w:ascii="宋体" w:hAnsi="宋体" w:cs="宋体"/>
                <w:szCs w:val="21"/>
              </w:rPr>
              <w:t>对企业进行随机口头访谈</w:t>
            </w:r>
          </w:p>
        </w:tc>
        <w:tc>
          <w:tcPr>
            <w:tcW w:w="111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好评率达90%</w:t>
            </w:r>
          </w:p>
        </w:tc>
        <w:tc>
          <w:tcPr>
            <w:tcW w:w="131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7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33" w:type="dxa"/>
          <w:trHeight w:val="353" w:hRule="atLeast"/>
        </w:trPr>
        <w:tc>
          <w:tcPr>
            <w:tcW w:w="8321"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74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820" w:header="851" w:footer="992" w:gutter="0"/>
          <w:cols w:space="720" w:num="1"/>
          <w:docGrid w:type="lines" w:linePitch="312" w:charSpace="0"/>
        </w:sectPr>
      </w:pPr>
    </w:p>
    <w:tbl>
      <w:tblPr>
        <w:tblStyle w:val="14"/>
        <w:tblpPr w:leftFromText="180" w:rightFromText="180" w:horzAnchor="margin" w:tblpX="210" w:tblpY="-1800"/>
        <w:tblW w:w="14398" w:type="dxa"/>
        <w:tblInd w:w="0" w:type="dxa"/>
        <w:tblLayout w:type="fixed"/>
        <w:tblCellMar>
          <w:top w:w="0" w:type="dxa"/>
          <w:left w:w="108" w:type="dxa"/>
          <w:bottom w:w="0" w:type="dxa"/>
          <w:right w:w="108" w:type="dxa"/>
        </w:tblCellMar>
      </w:tblPr>
      <w:tblGrid>
        <w:gridCol w:w="412"/>
        <w:gridCol w:w="1283"/>
        <w:gridCol w:w="1381"/>
        <w:gridCol w:w="142"/>
        <w:gridCol w:w="1454"/>
        <w:gridCol w:w="247"/>
        <w:gridCol w:w="991"/>
        <w:gridCol w:w="739"/>
        <w:gridCol w:w="236"/>
        <w:gridCol w:w="236"/>
        <w:gridCol w:w="87"/>
        <w:gridCol w:w="121"/>
        <w:gridCol w:w="992"/>
        <w:gridCol w:w="992"/>
        <w:gridCol w:w="842"/>
        <w:gridCol w:w="4243"/>
      </w:tblGrid>
      <w:tr>
        <w:tblPrEx>
          <w:tblCellMar>
            <w:top w:w="0" w:type="dxa"/>
            <w:left w:w="108" w:type="dxa"/>
            <w:bottom w:w="0" w:type="dxa"/>
            <w:right w:w="108" w:type="dxa"/>
          </w:tblCellMar>
        </w:tblPrEx>
        <w:trPr>
          <w:gridAfter w:val="1"/>
          <w:wAfter w:w="4243" w:type="dxa"/>
          <w:trHeight w:val="484" w:hRule="atLeast"/>
        </w:trPr>
        <w:tc>
          <w:tcPr>
            <w:tcW w:w="10155" w:type="dxa"/>
            <w:gridSpan w:val="15"/>
            <w:tcBorders>
              <w:top w:val="nil"/>
              <w:left w:val="nil"/>
              <w:bottom w:val="nil"/>
              <w:right w:val="nil"/>
            </w:tcBorders>
            <w:vAlign w:val="center"/>
          </w:tcPr>
          <w:p>
            <w:pPr>
              <w:widowControl/>
              <w:jc w:val="center"/>
              <w:rPr>
                <w:rFonts w:ascii="宋体" w:hAnsi="宋体" w:cs="宋体"/>
                <w:b/>
                <w:bCs/>
                <w:color w:val="000000"/>
                <w:kern w:val="0"/>
                <w:sz w:val="32"/>
                <w:szCs w:val="32"/>
              </w:rPr>
            </w:pPr>
          </w:p>
          <w:p>
            <w:pPr>
              <w:widowControl/>
              <w:jc w:val="center"/>
              <w:rPr>
                <w:rFonts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（表26）</w:t>
            </w:r>
          </w:p>
        </w:tc>
      </w:tr>
      <w:tr>
        <w:tblPrEx>
          <w:tblCellMar>
            <w:top w:w="0" w:type="dxa"/>
            <w:left w:w="108" w:type="dxa"/>
            <w:bottom w:w="0" w:type="dxa"/>
            <w:right w:w="108" w:type="dxa"/>
          </w:tblCellMar>
        </w:tblPrEx>
        <w:trPr>
          <w:gridAfter w:val="1"/>
          <w:wAfter w:w="4243" w:type="dxa"/>
          <w:trHeight w:val="311" w:hRule="atLeast"/>
        </w:trPr>
        <w:tc>
          <w:tcPr>
            <w:tcW w:w="10155"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1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243" w:type="dxa"/>
          <w:trHeight w:val="370" w:hRule="atLeast"/>
        </w:trPr>
        <w:tc>
          <w:tcPr>
            <w:tcW w:w="307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79"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群租房整治经费</w:t>
            </w:r>
          </w:p>
        </w:tc>
      </w:tr>
      <w:tr>
        <w:tblPrEx>
          <w:tblCellMar>
            <w:top w:w="0" w:type="dxa"/>
            <w:left w:w="108" w:type="dxa"/>
            <w:bottom w:w="0" w:type="dxa"/>
            <w:right w:w="108" w:type="dxa"/>
          </w:tblCellMar>
        </w:tblPrEx>
        <w:trPr>
          <w:gridAfter w:val="1"/>
          <w:wAfter w:w="4243" w:type="dxa"/>
          <w:trHeight w:val="370" w:hRule="atLeast"/>
        </w:trPr>
        <w:tc>
          <w:tcPr>
            <w:tcW w:w="307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834"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6432" behindDoc="0" locked="0" layoutInCell="1" allowOverlap="1">
                      <wp:simplePos x="0" y="0"/>
                      <wp:positionH relativeFrom="column">
                        <wp:posOffset>-30480</wp:posOffset>
                      </wp:positionH>
                      <wp:positionV relativeFrom="paragraph">
                        <wp:posOffset>379095</wp:posOffset>
                      </wp:positionV>
                      <wp:extent cx="1149350" cy="617855"/>
                      <wp:effectExtent l="2540" t="4445" r="10160" b="6350"/>
                      <wp:wrapNone/>
                      <wp:docPr id="12" name="直接箭头连接符 12"/>
                      <wp:cNvGraphicFramePr/>
                      <a:graphic xmlns:a="http://schemas.openxmlformats.org/drawingml/2006/main">
                        <a:graphicData uri="http://schemas.microsoft.com/office/word/2010/wordprocessingShape">
                          <wps:wsp>
                            <wps:cNvCnPr/>
                            <wps:spPr>
                              <a:xfrm>
                                <a:off x="0" y="0"/>
                                <a:ext cx="1149350" cy="6178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4pt;margin-top:29.85pt;height:48.65pt;width:90.5pt;z-index:251666432;mso-width-relative:page;mso-height-relative:page;" filled="f" stroked="t" coordsize="21600,21600" o:gfxdata="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17UL82AAAAAkBAAAPAAAAAAAAAAEAIAAAACIAAABkcnMv&#10;ZG93bnJldi54bWxQSwECFAAUAAAACACHTuJA7aN0nwMCAADzAwAADgAAAAAAAAABACAAAAAnAQAA&#10;ZHJzL2Uyb0RvYy54bWxQSwUGAAAAAAYABgBZAQAAnAUAAAAA&#10;">
                      <v:fill on="f" focussize="0,0"/>
                      <v:stroke color="#000000" joinstyle="round"/>
                      <v:imagedata o:title=""/>
                      <o:lock v:ext="edit" aspectratio="f"/>
                    </v:shape>
                  </w:pict>
                </mc:Fallback>
              </mc:AlternateContent>
            </w:r>
            <w:r>
              <w:rPr>
                <w:rFonts w:hint="eastAsia" w:ascii="宋体" w:hAnsi="宋体" w:cs="宋体"/>
                <w:color w:val="000000"/>
                <w:kern w:val="0"/>
                <w:sz w:val="24"/>
              </w:rPr>
              <w:t>南苑乡人民政府177000</w:t>
            </w:r>
          </w:p>
        </w:tc>
        <w:tc>
          <w:tcPr>
            <w:tcW w:w="1419"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2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南苑乡人民政府综治办</w:t>
            </w:r>
          </w:p>
        </w:tc>
      </w:tr>
      <w:tr>
        <w:tblPrEx>
          <w:tblCellMar>
            <w:top w:w="0" w:type="dxa"/>
            <w:left w:w="108" w:type="dxa"/>
            <w:bottom w:w="0" w:type="dxa"/>
            <w:right w:w="108" w:type="dxa"/>
          </w:tblCellMar>
        </w:tblPrEx>
        <w:trPr>
          <w:gridAfter w:val="1"/>
          <w:wAfter w:w="4243" w:type="dxa"/>
          <w:trHeight w:val="674" w:hRule="atLeast"/>
        </w:trPr>
        <w:tc>
          <w:tcPr>
            <w:tcW w:w="3076"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991"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19"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4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243" w:type="dxa"/>
          <w:trHeight w:val="370" w:hRule="atLeast"/>
        </w:trPr>
        <w:tc>
          <w:tcPr>
            <w:tcW w:w="307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99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419"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4243" w:type="dxa"/>
          <w:trHeight w:val="370" w:hRule="atLeast"/>
        </w:trPr>
        <w:tc>
          <w:tcPr>
            <w:tcW w:w="307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99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1419"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370" w:hRule="atLeast"/>
        </w:trPr>
        <w:tc>
          <w:tcPr>
            <w:tcW w:w="307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99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419"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8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243" w:type="dxa"/>
          <w:trHeight w:val="1172" w:hRule="atLeast"/>
        </w:trPr>
        <w:tc>
          <w:tcPr>
            <w:tcW w:w="41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498"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年初设定目标：按照群租房拆除质量及反弹情况对各村、社区拆除的群租房进行补助</w:t>
            </w:r>
          </w:p>
        </w:tc>
        <w:tc>
          <w:tcPr>
            <w:tcW w:w="4245"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年度总体目标完成情况综述：完成各社区群租房拆除任务224处，超额完成53处，消除了安全隐患，提升了社区治理效能。</w:t>
            </w:r>
          </w:p>
        </w:tc>
      </w:tr>
      <w:tr>
        <w:tblPrEx>
          <w:tblCellMar>
            <w:top w:w="0" w:type="dxa"/>
            <w:left w:w="108" w:type="dxa"/>
            <w:bottom w:w="0" w:type="dxa"/>
            <w:right w:w="108" w:type="dxa"/>
          </w:tblCellMar>
        </w:tblPrEx>
        <w:trPr>
          <w:gridAfter w:val="1"/>
          <w:wAfter w:w="4243" w:type="dxa"/>
          <w:trHeight w:val="737" w:hRule="atLeast"/>
        </w:trPr>
        <w:tc>
          <w:tcPr>
            <w:tcW w:w="41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3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243" w:type="dxa"/>
          <w:trHeight w:val="421"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45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拆除任务171处　</w:t>
            </w:r>
          </w:p>
        </w:tc>
        <w:tc>
          <w:tcPr>
            <w:tcW w:w="1238"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共计拆除224处</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83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413"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45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根据工作量，及时足额发放补助</w:t>
            </w:r>
          </w:p>
        </w:tc>
        <w:tc>
          <w:tcPr>
            <w:tcW w:w="123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完成任务</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419" w:hRule="atLeast"/>
        </w:trPr>
        <w:tc>
          <w:tcPr>
            <w:tcW w:w="4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4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11月底前完成</w:t>
            </w:r>
          </w:p>
        </w:tc>
        <w:tc>
          <w:tcPr>
            <w:tcW w:w="123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10月底前完成</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418"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项目预算数控制在9.5万元</w:t>
            </w:r>
          </w:p>
        </w:tc>
        <w:tc>
          <w:tcPr>
            <w:tcW w:w="123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9.5万元，完成100%</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416"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超额完成群租房整治任务，消除了安全隐患，提升了社区治理效能。</w:t>
            </w:r>
          </w:p>
        </w:tc>
        <w:tc>
          <w:tcPr>
            <w:tcW w:w="123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达到预定目标　</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　</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409" w:hRule="atLeast"/>
        </w:trPr>
        <w:tc>
          <w:tcPr>
            <w:tcW w:w="41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2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45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对社区居民进行随机走访</w:t>
            </w:r>
          </w:p>
        </w:tc>
        <w:tc>
          <w:tcPr>
            <w:tcW w:w="1238" w:type="dxa"/>
            <w:gridSpan w:val="2"/>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好评率80%　</w:t>
            </w:r>
          </w:p>
        </w:tc>
        <w:tc>
          <w:tcPr>
            <w:tcW w:w="129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18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43" w:type="dxa"/>
          <w:trHeight w:val="353" w:hRule="atLeast"/>
        </w:trPr>
        <w:tc>
          <w:tcPr>
            <w:tcW w:w="8321" w:type="dxa"/>
            <w:gridSpan w:val="13"/>
            <w:tcBorders>
              <w:top w:val="single" w:color="auto" w:sz="4" w:space="0"/>
              <w:left w:val="single" w:color="auto" w:sz="4" w:space="0"/>
              <w:bottom w:val="single" w:color="auto" w:sz="4" w:space="0"/>
              <w:right w:val="single" w:color="auto" w:sz="4" w:space="0"/>
            </w:tcBorders>
            <w:noWrap/>
            <w:vAlign w:val="center"/>
          </w:tcPr>
          <w:p>
            <w:pPr>
              <w:widowControl/>
              <w:ind w:firstLine="200" w:firstLineChars="83"/>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83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463" w:right="166" w:bottom="1123" w:left="820" w:header="851" w:footer="992" w:gutter="0"/>
          <w:cols w:space="720" w:num="1"/>
          <w:docGrid w:type="lines" w:linePitch="312" w:charSpace="0"/>
        </w:sectPr>
      </w:pPr>
    </w:p>
    <w:tbl>
      <w:tblPr>
        <w:tblStyle w:val="14"/>
        <w:tblpPr w:leftFromText="180" w:rightFromText="180" w:horzAnchor="margin" w:tblpX="180" w:tblpY="-1800"/>
        <w:tblW w:w="14518" w:type="dxa"/>
        <w:tblInd w:w="0" w:type="dxa"/>
        <w:tblLayout w:type="fixed"/>
        <w:tblCellMar>
          <w:top w:w="0" w:type="dxa"/>
          <w:left w:w="108" w:type="dxa"/>
          <w:bottom w:w="0" w:type="dxa"/>
          <w:right w:w="108" w:type="dxa"/>
        </w:tblCellMar>
      </w:tblPr>
      <w:tblGrid>
        <w:gridCol w:w="532"/>
        <w:gridCol w:w="1283"/>
        <w:gridCol w:w="1381"/>
        <w:gridCol w:w="462"/>
        <w:gridCol w:w="1381"/>
        <w:gridCol w:w="1134"/>
        <w:gridCol w:w="596"/>
        <w:gridCol w:w="236"/>
        <w:gridCol w:w="236"/>
        <w:gridCol w:w="87"/>
        <w:gridCol w:w="121"/>
        <w:gridCol w:w="992"/>
        <w:gridCol w:w="992"/>
        <w:gridCol w:w="827"/>
        <w:gridCol w:w="4258"/>
      </w:tblGrid>
      <w:tr>
        <w:tblPrEx>
          <w:tblCellMar>
            <w:top w:w="0" w:type="dxa"/>
            <w:left w:w="108" w:type="dxa"/>
            <w:bottom w:w="0" w:type="dxa"/>
            <w:right w:w="108" w:type="dxa"/>
          </w:tblCellMar>
        </w:tblPrEx>
        <w:trPr>
          <w:gridAfter w:val="1"/>
          <w:wAfter w:w="4258" w:type="dxa"/>
          <w:trHeight w:val="484" w:hRule="atLeast"/>
        </w:trPr>
        <w:tc>
          <w:tcPr>
            <w:tcW w:w="10260" w:type="dxa"/>
            <w:gridSpan w:val="14"/>
            <w:tcBorders>
              <w:top w:val="nil"/>
              <w:left w:val="nil"/>
              <w:bottom w:val="nil"/>
              <w:right w:val="nil"/>
            </w:tcBorders>
            <w:vAlign w:val="center"/>
          </w:tcPr>
          <w:p>
            <w:pPr>
              <w:widowControl/>
              <w:jc w:val="center"/>
              <w:rPr>
                <w:rFonts w:ascii="宋体" w:hAnsi="宋体" w:cs="宋体"/>
                <w:b/>
                <w:bCs/>
                <w:color w:val="000000"/>
                <w:kern w:val="0"/>
                <w:sz w:val="32"/>
                <w:szCs w:val="32"/>
              </w:rPr>
            </w:pPr>
          </w:p>
          <w:p>
            <w:pPr>
              <w:widowControl/>
              <w:ind w:firstLine="2570" w:firstLineChars="800"/>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（表27）</w:t>
            </w:r>
          </w:p>
        </w:tc>
      </w:tr>
      <w:tr>
        <w:tblPrEx>
          <w:tblCellMar>
            <w:top w:w="0" w:type="dxa"/>
            <w:left w:w="108" w:type="dxa"/>
            <w:bottom w:w="0" w:type="dxa"/>
            <w:right w:w="108" w:type="dxa"/>
          </w:tblCellMar>
        </w:tblPrEx>
        <w:trPr>
          <w:gridAfter w:val="1"/>
          <w:wAfter w:w="4258" w:type="dxa"/>
          <w:trHeight w:val="311" w:hRule="atLeast"/>
        </w:trPr>
        <w:tc>
          <w:tcPr>
            <w:tcW w:w="10260"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53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258" w:type="dxa"/>
          <w:trHeight w:val="370" w:hRule="atLeast"/>
        </w:trPr>
        <w:tc>
          <w:tcPr>
            <w:tcW w:w="319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64"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群防群治专项经费</w:t>
            </w:r>
          </w:p>
        </w:tc>
      </w:tr>
      <w:tr>
        <w:tblPrEx>
          <w:tblCellMar>
            <w:top w:w="0" w:type="dxa"/>
            <w:left w:w="108" w:type="dxa"/>
            <w:bottom w:w="0" w:type="dxa"/>
            <w:right w:w="108" w:type="dxa"/>
          </w:tblCellMar>
        </w:tblPrEx>
        <w:trPr>
          <w:gridAfter w:val="1"/>
          <w:wAfter w:w="4258" w:type="dxa"/>
          <w:trHeight w:val="370" w:hRule="atLeast"/>
        </w:trPr>
        <w:tc>
          <w:tcPr>
            <w:tcW w:w="319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745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8" name="直接箭头连接符 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6745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CosOYiAAIAAPE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11"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南苑乡人民政府综治办</w:t>
            </w:r>
          </w:p>
        </w:tc>
      </w:tr>
      <w:tr>
        <w:tblPrEx>
          <w:tblCellMar>
            <w:top w:w="0" w:type="dxa"/>
            <w:left w:w="108" w:type="dxa"/>
            <w:bottom w:w="0" w:type="dxa"/>
            <w:right w:w="108" w:type="dxa"/>
          </w:tblCellMar>
        </w:tblPrEx>
        <w:trPr>
          <w:gridAfter w:val="1"/>
          <w:wAfter w:w="4258" w:type="dxa"/>
          <w:trHeight w:val="674" w:hRule="atLeast"/>
        </w:trPr>
        <w:tc>
          <w:tcPr>
            <w:tcW w:w="3196"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ind w:left="-199" w:leftChars="-95" w:firstLine="199" w:firstLineChars="83"/>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2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258" w:type="dxa"/>
          <w:trHeight w:val="343" w:hRule="atLeast"/>
        </w:trPr>
        <w:tc>
          <w:tcPr>
            <w:tcW w:w="319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2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4258" w:type="dxa"/>
          <w:trHeight w:val="370" w:hRule="atLeast"/>
        </w:trPr>
        <w:tc>
          <w:tcPr>
            <w:tcW w:w="319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82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258" w:type="dxa"/>
          <w:trHeight w:val="370" w:hRule="atLeast"/>
        </w:trPr>
        <w:tc>
          <w:tcPr>
            <w:tcW w:w="319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82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258" w:type="dxa"/>
          <w:trHeight w:val="1692" w:hRule="atLeast"/>
        </w:trPr>
        <w:tc>
          <w:tcPr>
            <w:tcW w:w="53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年初设定目标：为做好群防群治专项工作，特别是重点时期在学校、主要路口、小区、加油站等重点点位开展治安志愿者值勤及红袖标筑城行动，确保辖区安全稳定。为治安志愿者提供物资保障。</w:t>
            </w:r>
          </w:p>
          <w:p>
            <w:pPr>
              <w:widowControl/>
              <w:jc w:val="left"/>
              <w:rPr>
                <w:rFonts w:ascii="宋体" w:hAnsi="宋体" w:cs="宋体"/>
                <w:color w:val="000000"/>
                <w:kern w:val="0"/>
                <w:sz w:val="24"/>
              </w:rPr>
            </w:pPr>
            <w:r>
              <w:rPr>
                <w:rFonts w:hint="eastAsia" w:ascii="宋体" w:hAnsi="宋体" w:cs="宋体"/>
                <w:color w:val="000000"/>
                <w:kern w:val="0"/>
                <w:sz w:val="24"/>
              </w:rPr>
              <w:t xml:space="preserve">               </w:t>
            </w:r>
          </w:p>
        </w:tc>
        <w:tc>
          <w:tcPr>
            <w:tcW w:w="4087"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两会前期为全乡治安志愿者定制2000件马甲，在重点点位设立治安志愿者值勤岗，统一身着红马甲，佩戴红袖标，做好群防群治工作。</w:t>
            </w:r>
          </w:p>
        </w:tc>
      </w:tr>
      <w:tr>
        <w:tblPrEx>
          <w:tblCellMar>
            <w:top w:w="0" w:type="dxa"/>
            <w:left w:w="108" w:type="dxa"/>
            <w:bottom w:w="0" w:type="dxa"/>
            <w:right w:w="108" w:type="dxa"/>
          </w:tblCellMar>
        </w:tblPrEx>
        <w:trPr>
          <w:gridAfter w:val="1"/>
          <w:wAfter w:w="4258" w:type="dxa"/>
          <w:trHeight w:val="737" w:hRule="atLeast"/>
        </w:trPr>
        <w:tc>
          <w:tcPr>
            <w:tcW w:w="53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258" w:type="dxa"/>
          <w:trHeight w:val="1530" w:hRule="atLeast"/>
        </w:trPr>
        <w:tc>
          <w:tcPr>
            <w:tcW w:w="5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381"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为做好群防群治工作，定制2000件马甲</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81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1178" w:hRule="atLeast"/>
        </w:trPr>
        <w:tc>
          <w:tcPr>
            <w:tcW w:w="5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Cs w:val="21"/>
              </w:rPr>
            </w:pPr>
            <w:r>
              <w:rPr>
                <w:rFonts w:hint="eastAsia" w:ascii="宋体" w:hAnsi="宋体" w:cs="宋体"/>
                <w:color w:val="000000"/>
                <w:kern w:val="0"/>
                <w:szCs w:val="21"/>
              </w:rPr>
              <w:t>按照各单位治安志愿者数量发放马甲</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419" w:hRule="atLeast"/>
        </w:trPr>
        <w:tc>
          <w:tcPr>
            <w:tcW w:w="5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3月底前完成</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3月底前完成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418" w:hRule="atLeast"/>
        </w:trPr>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项目预算控制数10万元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10万元，完成100%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416" w:hRule="atLeast"/>
        </w:trPr>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为治安志愿者提供物资保障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达到预期目标且效果较好</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409" w:hRule="atLeast"/>
        </w:trPr>
        <w:tc>
          <w:tcPr>
            <w:tcW w:w="5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对志愿者、社区居民随机进行访谈</w:t>
            </w:r>
          </w:p>
        </w:tc>
        <w:tc>
          <w:tcPr>
            <w:tcW w:w="113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好评率90%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81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258" w:type="dxa"/>
          <w:trHeight w:val="353" w:hRule="atLeast"/>
        </w:trPr>
        <w:tc>
          <w:tcPr>
            <w:tcW w:w="8441"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81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463" w:right="166" w:bottom="1123" w:left="820" w:header="851" w:footer="992" w:gutter="0"/>
          <w:cols w:space="720" w:num="1"/>
          <w:docGrid w:type="lines" w:linePitch="312" w:charSpace="0"/>
        </w:sectPr>
      </w:pPr>
    </w:p>
    <w:tbl>
      <w:tblPr>
        <w:tblStyle w:val="14"/>
        <w:tblpPr w:leftFromText="180" w:rightFromText="180" w:horzAnchor="margin" w:tblpX="470" w:tblpY="-1800"/>
        <w:tblW w:w="10260" w:type="dxa"/>
        <w:tblInd w:w="0" w:type="dxa"/>
        <w:tblLayout w:type="fixed"/>
        <w:tblCellMar>
          <w:top w:w="0" w:type="dxa"/>
          <w:left w:w="108" w:type="dxa"/>
          <w:bottom w:w="0" w:type="dxa"/>
          <w:right w:w="108" w:type="dxa"/>
        </w:tblCellMar>
      </w:tblPr>
      <w:tblGrid>
        <w:gridCol w:w="377"/>
        <w:gridCol w:w="1283"/>
        <w:gridCol w:w="1100"/>
        <w:gridCol w:w="1875"/>
        <w:gridCol w:w="1200"/>
        <w:gridCol w:w="1338"/>
        <w:gridCol w:w="121"/>
        <w:gridCol w:w="992"/>
        <w:gridCol w:w="992"/>
        <w:gridCol w:w="982"/>
      </w:tblGrid>
      <w:tr>
        <w:tblPrEx>
          <w:tblCellMar>
            <w:top w:w="0" w:type="dxa"/>
            <w:left w:w="108" w:type="dxa"/>
            <w:bottom w:w="0" w:type="dxa"/>
            <w:right w:w="108" w:type="dxa"/>
          </w:tblCellMar>
        </w:tblPrEx>
        <w:trPr>
          <w:trHeight w:val="484" w:hRule="atLeast"/>
        </w:trPr>
        <w:tc>
          <w:tcPr>
            <w:tcW w:w="10260" w:type="dxa"/>
            <w:gridSpan w:val="10"/>
            <w:tcBorders>
              <w:top w:val="nil"/>
              <w:left w:val="nil"/>
              <w:bottom w:val="nil"/>
              <w:right w:val="nil"/>
            </w:tcBorders>
            <w:vAlign w:val="center"/>
          </w:tcPr>
          <w:p>
            <w:pPr>
              <w:widowControl/>
              <w:jc w:val="center"/>
              <w:rPr>
                <w:rFonts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（表28）</w:t>
            </w:r>
          </w:p>
        </w:tc>
      </w:tr>
      <w:tr>
        <w:tblPrEx>
          <w:tblCellMar>
            <w:top w:w="0" w:type="dxa"/>
            <w:left w:w="108" w:type="dxa"/>
            <w:bottom w:w="0" w:type="dxa"/>
            <w:right w:w="108" w:type="dxa"/>
          </w:tblCellMar>
        </w:tblPrEx>
        <w:trPr>
          <w:trHeight w:val="311" w:hRule="atLeast"/>
        </w:trPr>
        <w:tc>
          <w:tcPr>
            <w:tcW w:w="10260" w:type="dxa"/>
            <w:gridSpan w:val="10"/>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276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00" w:type="dxa"/>
            <w:gridSpan w:val="7"/>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服装产业链整治经费</w:t>
            </w:r>
          </w:p>
        </w:tc>
      </w:tr>
      <w:tr>
        <w:tblPrEx>
          <w:tblCellMar>
            <w:top w:w="0" w:type="dxa"/>
            <w:left w:w="108" w:type="dxa"/>
            <w:bottom w:w="0" w:type="dxa"/>
            <w:right w:w="108" w:type="dxa"/>
          </w:tblCellMar>
        </w:tblPrEx>
        <w:trPr>
          <w:trHeight w:val="370" w:hRule="atLeast"/>
        </w:trPr>
        <w:tc>
          <w:tcPr>
            <w:tcW w:w="276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07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68480" behindDoc="0" locked="0" layoutInCell="1" allowOverlap="1">
                      <wp:simplePos x="0" y="0"/>
                      <wp:positionH relativeFrom="column">
                        <wp:posOffset>-53340</wp:posOffset>
                      </wp:positionH>
                      <wp:positionV relativeFrom="paragraph">
                        <wp:posOffset>216535</wp:posOffset>
                      </wp:positionV>
                      <wp:extent cx="1061085" cy="629920"/>
                      <wp:effectExtent l="2540" t="3810" r="3175" b="13970"/>
                      <wp:wrapNone/>
                      <wp:docPr id="15" name="直接箭头连接符 15"/>
                      <wp:cNvGraphicFramePr/>
                      <a:graphic xmlns:a="http://schemas.openxmlformats.org/drawingml/2006/main">
                        <a:graphicData uri="http://schemas.microsoft.com/office/word/2010/wordprocessingShape">
                          <wps:wsp>
                            <wps:cNvCnPr/>
                            <wps:spPr>
                              <a:xfrm>
                                <a:off x="0" y="0"/>
                                <a:ext cx="1061085" cy="6299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9.6pt;width:83.55pt;z-index:251668480;mso-width-relative:page;mso-height-relative:page;" filled="f" stroked="t" coordsize="21600,21600" o:gfxdata="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bSndkAAAAJAQAADwAAAAAAAAABACAAAAAiAAAAZHJz&#10;L2Rvd25yZXYueG1sUEsBAhQAFAAAAAgAh07iQCDr2pkDAgAA8wMAAA4AAAAAAAAAAQAgAAAAKAEA&#10;AGRycy9lMm9Eb2MueG1sUEsFBgAAAAAGAAYAWQEAAJ0FA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459"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6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南苑乡人民政府综治办</w:t>
            </w:r>
          </w:p>
        </w:tc>
      </w:tr>
      <w:tr>
        <w:trPr>
          <w:trHeight w:val="674" w:hRule="atLeast"/>
        </w:trPr>
        <w:tc>
          <w:tcPr>
            <w:tcW w:w="276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75"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20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45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8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13" w:hRule="atLeast"/>
        </w:trPr>
        <w:tc>
          <w:tcPr>
            <w:tcW w:w="276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75"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0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145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8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10" w:hRule="atLeast"/>
        </w:trPr>
        <w:tc>
          <w:tcPr>
            <w:tcW w:w="276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75"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0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145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98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250" w:hRule="atLeast"/>
        </w:trPr>
        <w:tc>
          <w:tcPr>
            <w:tcW w:w="276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75"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0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45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8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37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458"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年初设定目标：为做好服装产业链整治工作，开展住改商整治工作，发现一起，整治一起，对已整治的点位聘用保安每日进行巡视，并安装视频监控系统进行监控，防止反弹现象发生。</w:t>
            </w:r>
          </w:p>
        </w:tc>
        <w:tc>
          <w:tcPr>
            <w:tcW w:w="4425"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rPr>
                <w:rFonts w:ascii="宋体" w:hAnsi="宋体" w:cs="宋体"/>
                <w:color w:val="000000"/>
                <w:kern w:val="0"/>
                <w:sz w:val="22"/>
                <w:szCs w:val="22"/>
              </w:rPr>
            </w:pPr>
            <w:r>
              <w:rPr>
                <w:rFonts w:hint="eastAsia" w:ascii="宋体" w:hAnsi="宋体" w:cs="宋体"/>
                <w:color w:val="000000"/>
                <w:kern w:val="0"/>
                <w:sz w:val="22"/>
                <w:szCs w:val="22"/>
              </w:rPr>
              <w:t>对2018年至2019年5月前已整治完毕的住改商26处点位及新增20处点位予以监控、巡查.1.聘用10名保安开展住改商巡视检查。时间为2019年8月1日-12月31日。每人每月3650元。总费用182500元。2.在时村村已整治完成的住改商点位安装监控设备9台，费用65906.33元。</w:t>
            </w:r>
          </w:p>
          <w:p>
            <w:pPr>
              <w:widowControl/>
              <w:jc w:val="left"/>
              <w:rPr>
                <w:rFonts w:ascii="宋体" w:hAnsi="宋体" w:cs="宋体"/>
                <w:color w:val="000000"/>
                <w:kern w:val="0"/>
                <w:sz w:val="24"/>
              </w:rPr>
            </w:pPr>
            <w:r>
              <w:rPr>
                <w:rFonts w:hint="eastAsia" w:ascii="宋体" w:hAnsi="宋体" w:cs="宋体"/>
                <w:color w:val="000000"/>
                <w:kern w:val="0"/>
                <w:sz w:val="22"/>
                <w:szCs w:val="22"/>
              </w:rPr>
              <w:t>3.为聘用巡视住改商的保安制作红袖标320个。共1593.67元。</w:t>
            </w:r>
          </w:p>
        </w:tc>
      </w:tr>
      <w:tr>
        <w:tblPrEx>
          <w:tblCellMar>
            <w:top w:w="0" w:type="dxa"/>
            <w:left w:w="108" w:type="dxa"/>
            <w:bottom w:w="0" w:type="dxa"/>
            <w:right w:w="108" w:type="dxa"/>
          </w:tblCellMar>
        </w:tblPrEx>
        <w:trPr>
          <w:trHeight w:val="737" w:hRule="atLeast"/>
        </w:trPr>
        <w:tc>
          <w:tcPr>
            <w:tcW w:w="37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1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7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3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856" w:hRule="atLeast"/>
        </w:trPr>
        <w:tc>
          <w:tcPr>
            <w:tcW w:w="3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100" w:type="dxa"/>
            <w:vMerge w:val="restart"/>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875"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8月-12月，10名保安巡查已整治商户</w:t>
            </w:r>
          </w:p>
        </w:tc>
        <w:tc>
          <w:tcPr>
            <w:tcW w:w="1200"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8月-12月，10名保安巡查</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13" w:type="dxa"/>
            <w:gridSpan w:val="2"/>
            <w:tcBorders>
              <w:top w:val="single" w:color="auto" w:sz="4" w:space="0"/>
              <w:left w:val="nil"/>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97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606" w:hRule="atLeast"/>
        </w:trPr>
        <w:tc>
          <w:tcPr>
            <w:tcW w:w="3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100" w:type="dxa"/>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1875"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安装监控设备不少于3台</w:t>
            </w:r>
          </w:p>
        </w:tc>
        <w:tc>
          <w:tcPr>
            <w:tcW w:w="1200"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安装9台</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nil"/>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97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91" w:hRule="atLeast"/>
        </w:trPr>
        <w:tc>
          <w:tcPr>
            <w:tcW w:w="3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100" w:type="dxa"/>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1875"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袖标制作320个</w:t>
            </w:r>
          </w:p>
        </w:tc>
        <w:tc>
          <w:tcPr>
            <w:tcW w:w="1200" w:type="dxa"/>
            <w:tcBorders>
              <w:top w:val="single" w:color="auto" w:sz="4" w:space="0"/>
              <w:left w:val="nil"/>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320个</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13" w:type="dxa"/>
            <w:gridSpan w:val="2"/>
            <w:tcBorders>
              <w:top w:val="single" w:color="auto" w:sz="4" w:space="0"/>
              <w:left w:val="nil"/>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97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599" w:hRule="atLeast"/>
        </w:trPr>
        <w:tc>
          <w:tcPr>
            <w:tcW w:w="3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875"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专款专用，及时足额拨付</w:t>
            </w:r>
          </w:p>
        </w:tc>
        <w:tc>
          <w:tcPr>
            <w:tcW w:w="1200" w:type="dxa"/>
            <w:tcBorders>
              <w:top w:val="single" w:color="auto" w:sz="4" w:space="0"/>
              <w:left w:val="single" w:color="auto" w:sz="4" w:space="0"/>
              <w:bottom w:val="single" w:color="auto" w:sz="4" w:space="0"/>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达到预期目标</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554" w:hRule="atLeast"/>
        </w:trPr>
        <w:tc>
          <w:tcPr>
            <w:tcW w:w="3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0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875"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11月底前完成</w:t>
            </w:r>
          </w:p>
        </w:tc>
        <w:tc>
          <w:tcPr>
            <w:tcW w:w="1200" w:type="dxa"/>
            <w:tcBorders>
              <w:top w:val="single" w:color="auto" w:sz="4" w:space="0"/>
              <w:left w:val="nil"/>
              <w:bottom w:val="single" w:color="auto" w:sz="4" w:space="0"/>
              <w:right w:val="single" w:color="auto" w:sz="4" w:space="0"/>
            </w:tcBorders>
            <w:noWrap/>
            <w:vAlign w:val="center"/>
          </w:tcPr>
          <w:p>
            <w:pPr>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11月底前完成</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418" w:hRule="atLeast"/>
        </w:trPr>
        <w:tc>
          <w:tcPr>
            <w:tcW w:w="3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0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875"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项目预算控制数25万元</w:t>
            </w:r>
          </w:p>
        </w:tc>
        <w:tc>
          <w:tcPr>
            <w:tcW w:w="1200"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25万元</w:t>
            </w:r>
          </w:p>
        </w:tc>
        <w:tc>
          <w:tcPr>
            <w:tcW w:w="133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416" w:hRule="atLeast"/>
        </w:trPr>
        <w:tc>
          <w:tcPr>
            <w:tcW w:w="3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10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875"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打击住改商行为，巩固疏整促成果，消除安全隐患</w:t>
            </w:r>
          </w:p>
        </w:tc>
        <w:tc>
          <w:tcPr>
            <w:tcW w:w="1200"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较好实现预期目标　</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18　</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726" w:hRule="atLeast"/>
        </w:trPr>
        <w:tc>
          <w:tcPr>
            <w:tcW w:w="3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10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2"/>
                <w:szCs w:val="22"/>
              </w:rPr>
              <w:t>服务对象满意度</w:t>
            </w:r>
          </w:p>
        </w:tc>
        <w:tc>
          <w:tcPr>
            <w:tcW w:w="1875"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随机对时村村民进行街头访谈</w:t>
            </w:r>
          </w:p>
        </w:tc>
        <w:tc>
          <w:tcPr>
            <w:tcW w:w="1200"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宋体" w:hAnsi="宋体" w:cs="宋体"/>
                <w:color w:val="000000"/>
                <w:kern w:val="0"/>
                <w:sz w:val="22"/>
                <w:szCs w:val="22"/>
              </w:rPr>
            </w:pPr>
            <w:r>
              <w:rPr>
                <w:rFonts w:hint="eastAsia" w:ascii="宋体" w:hAnsi="宋体" w:cs="宋体"/>
                <w:color w:val="000000"/>
                <w:kern w:val="0"/>
                <w:sz w:val="22"/>
                <w:szCs w:val="22"/>
              </w:rPr>
              <w:t>好评率90%</w:t>
            </w:r>
          </w:p>
        </w:tc>
        <w:tc>
          <w:tcPr>
            <w:tcW w:w="133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hAnsi="宋体" w:cs="宋体"/>
                <w:color w:val="000000"/>
                <w:kern w:val="0"/>
                <w:sz w:val="22"/>
                <w:szCs w:val="22"/>
              </w:rPr>
            </w:pPr>
            <w:r>
              <w:rPr>
                <w:rFonts w:hint="eastAsia" w:ascii="宋体" w:hAnsi="宋体" w:cs="宋体"/>
                <w:color w:val="000000"/>
                <w:kern w:val="0"/>
                <w:sz w:val="22"/>
                <w:szCs w:val="22"/>
              </w:rPr>
              <w:t>　18</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53" w:hRule="atLeast"/>
        </w:trPr>
        <w:tc>
          <w:tcPr>
            <w:tcW w:w="8286" w:type="dxa"/>
            <w:gridSpan w:val="8"/>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197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620" w:header="851" w:footer="992" w:gutter="0"/>
          <w:cols w:space="720" w:num="1"/>
          <w:docGrid w:type="lines" w:linePitch="312" w:charSpace="0"/>
        </w:sectPr>
      </w:pPr>
    </w:p>
    <w:tbl>
      <w:tblPr>
        <w:tblStyle w:val="14"/>
        <w:tblpPr w:leftFromText="180" w:rightFromText="180" w:horzAnchor="margin" w:tblpY="-1800"/>
        <w:tblW w:w="16852" w:type="dxa"/>
        <w:tblInd w:w="0" w:type="dxa"/>
        <w:tblLayout w:type="fixed"/>
        <w:tblCellMar>
          <w:top w:w="0" w:type="dxa"/>
          <w:left w:w="108" w:type="dxa"/>
          <w:bottom w:w="0" w:type="dxa"/>
          <w:right w:w="108" w:type="dxa"/>
        </w:tblCellMar>
      </w:tblPr>
      <w:tblGrid>
        <w:gridCol w:w="282"/>
        <w:gridCol w:w="1283"/>
        <w:gridCol w:w="1381"/>
        <w:gridCol w:w="101"/>
        <w:gridCol w:w="1495"/>
        <w:gridCol w:w="247"/>
        <w:gridCol w:w="1134"/>
        <w:gridCol w:w="596"/>
        <w:gridCol w:w="236"/>
        <w:gridCol w:w="236"/>
        <w:gridCol w:w="87"/>
        <w:gridCol w:w="121"/>
        <w:gridCol w:w="992"/>
        <w:gridCol w:w="992"/>
        <w:gridCol w:w="897"/>
        <w:gridCol w:w="4188"/>
        <w:gridCol w:w="2584"/>
      </w:tblGrid>
      <w:tr>
        <w:tblPrEx>
          <w:tblCellMar>
            <w:top w:w="0" w:type="dxa"/>
            <w:left w:w="108" w:type="dxa"/>
            <w:bottom w:w="0" w:type="dxa"/>
            <w:right w:w="108" w:type="dxa"/>
          </w:tblCellMar>
        </w:tblPrEx>
        <w:trPr>
          <w:gridAfter w:val="2"/>
          <w:wAfter w:w="6772" w:type="dxa"/>
          <w:trHeight w:val="484" w:hRule="atLeast"/>
        </w:trPr>
        <w:tc>
          <w:tcPr>
            <w:tcW w:w="10080"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（表29）</w:t>
            </w:r>
          </w:p>
        </w:tc>
      </w:tr>
      <w:tr>
        <w:tblPrEx>
          <w:tblCellMar>
            <w:top w:w="0" w:type="dxa"/>
            <w:left w:w="108" w:type="dxa"/>
            <w:bottom w:w="0" w:type="dxa"/>
            <w:right w:w="108" w:type="dxa"/>
          </w:tblCellMar>
        </w:tblPrEx>
        <w:trPr>
          <w:gridAfter w:val="2"/>
          <w:wAfter w:w="6772" w:type="dxa"/>
          <w:trHeight w:val="311" w:hRule="atLeast"/>
        </w:trPr>
        <w:tc>
          <w:tcPr>
            <w:tcW w:w="10080"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28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772" w:type="dxa"/>
          <w:trHeight w:val="370" w:hRule="atLeast"/>
        </w:trPr>
        <w:tc>
          <w:tcPr>
            <w:tcW w:w="294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134"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区人大代表活动经费</w:t>
            </w:r>
          </w:p>
        </w:tc>
      </w:tr>
      <w:tr>
        <w:tblPrEx>
          <w:tblCellMar>
            <w:top w:w="0" w:type="dxa"/>
            <w:left w:w="108" w:type="dxa"/>
            <w:bottom w:w="0" w:type="dxa"/>
            <w:right w:w="108" w:type="dxa"/>
          </w:tblCellMar>
        </w:tblPrEx>
        <w:trPr>
          <w:gridAfter w:val="2"/>
          <w:wAfter w:w="6772" w:type="dxa"/>
          <w:trHeight w:val="370" w:hRule="atLeast"/>
        </w:trPr>
        <w:tc>
          <w:tcPr>
            <w:tcW w:w="294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南苑乡人民政府，1</w:t>
            </w:r>
            <w:r>
              <w:rPr>
                <w:rFonts w:hint="eastAsia" w:ascii="仿宋" w:hAnsi="仿宋" w:eastAsia="仿宋" w:cs="仿宋"/>
                <w:color w:val="000000"/>
                <w:kern w:val="0"/>
                <w:sz w:val="24"/>
              </w:rPr>
              <w:t>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88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人大办</w:t>
            </w:r>
          </w:p>
        </w:tc>
      </w:tr>
      <w:tr>
        <w:tblPrEx>
          <w:tblCellMar>
            <w:top w:w="0" w:type="dxa"/>
            <w:left w:w="108" w:type="dxa"/>
            <w:bottom w:w="0" w:type="dxa"/>
            <w:right w:w="108" w:type="dxa"/>
          </w:tblCellMar>
        </w:tblPrEx>
        <w:trPr>
          <w:gridAfter w:val="2"/>
          <w:wAfter w:w="6772" w:type="dxa"/>
          <w:trHeight w:val="674" w:hRule="atLeast"/>
        </w:trPr>
        <w:tc>
          <w:tcPr>
            <w:tcW w:w="2946"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669504" behindDoc="0" locked="0" layoutInCell="1" allowOverlap="1">
                      <wp:simplePos x="0" y="0"/>
                      <wp:positionH relativeFrom="column">
                        <wp:posOffset>1794510</wp:posOffset>
                      </wp:positionH>
                      <wp:positionV relativeFrom="paragraph">
                        <wp:posOffset>29845</wp:posOffset>
                      </wp:positionV>
                      <wp:extent cx="1137285" cy="569595"/>
                      <wp:effectExtent l="1905" t="4445" r="3810" b="16510"/>
                      <wp:wrapNone/>
                      <wp:docPr id="5" name="直接箭头连接符 5"/>
                      <wp:cNvGraphicFramePr/>
                      <a:graphic xmlns:a="http://schemas.openxmlformats.org/drawingml/2006/main">
                        <a:graphicData uri="http://schemas.microsoft.com/office/word/2010/wordprocessingShape">
                          <wps:wsp>
                            <wps:cNvCnPr/>
                            <wps:spPr>
                              <a:xfrm>
                                <a:off x="0" y="0"/>
                                <a:ext cx="1137285" cy="569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1.3pt;margin-top:2.35pt;height:44.85pt;width:89.55pt;z-index:251669504;mso-width-relative:page;mso-height-relative:page;" filled="f" stroked="t" coordsize="21600,21600" o:gfxdata="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6AWDjYAAAACAEAAA8AAAAAAAAAAQAgAAAAIgAAAGRycy9k&#10;b3ducmV2LnhtbFBLAQIUABQAAAAIAIdO4kB3yYtzAgIAAPEDAAAOAAAAAAAAAAEAIAAAACcBAABk&#10;cnMvZTJvRG9jLnhtbFBLBQYAAAAABgAGAFkBAACbBQ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89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2"/>
          <w:wAfter w:w="6772" w:type="dxa"/>
          <w:trHeight w:val="370" w:hRule="atLeast"/>
        </w:trPr>
        <w:tc>
          <w:tcPr>
            <w:tcW w:w="294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1.8056</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0.6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　</w:t>
            </w:r>
          </w:p>
        </w:tc>
        <w:tc>
          <w:tcPr>
            <w:tcW w:w="89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3.3</w:t>
            </w:r>
          </w:p>
        </w:tc>
      </w:tr>
      <w:tr>
        <w:tblPrEx>
          <w:tblCellMar>
            <w:top w:w="0" w:type="dxa"/>
            <w:left w:w="108" w:type="dxa"/>
            <w:bottom w:w="0" w:type="dxa"/>
            <w:right w:w="108" w:type="dxa"/>
          </w:tblCellMar>
        </w:tblPrEx>
        <w:trPr>
          <w:gridAfter w:val="2"/>
          <w:wAfter w:w="6772" w:type="dxa"/>
          <w:trHeight w:val="370" w:hRule="atLeast"/>
        </w:trPr>
        <w:tc>
          <w:tcPr>
            <w:tcW w:w="294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1.8056</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　</w:t>
            </w:r>
          </w:p>
        </w:tc>
        <w:tc>
          <w:tcPr>
            <w:tcW w:w="897"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3.3</w:t>
            </w:r>
          </w:p>
        </w:tc>
      </w:tr>
      <w:tr>
        <w:tblPrEx>
          <w:tblCellMar>
            <w:top w:w="0" w:type="dxa"/>
            <w:left w:w="108" w:type="dxa"/>
            <w:bottom w:w="0" w:type="dxa"/>
            <w:right w:w="108" w:type="dxa"/>
          </w:tblCellMar>
        </w:tblPrEx>
        <w:trPr>
          <w:gridAfter w:val="2"/>
          <w:wAfter w:w="6772" w:type="dxa"/>
          <w:trHeight w:val="370" w:hRule="atLeast"/>
        </w:trPr>
        <w:tc>
          <w:tcPr>
            <w:tcW w:w="294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9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772" w:type="dxa"/>
          <w:trHeight w:val="1172" w:hRule="atLeast"/>
        </w:trPr>
        <w:tc>
          <w:tcPr>
            <w:tcW w:w="28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年初设定目标：组织区人大代表开展履职培训工作，提高代表履职能力。组织代表开展视察检查活动，接待选民活动。</w:t>
            </w:r>
          </w:p>
        </w:tc>
        <w:tc>
          <w:tcPr>
            <w:tcW w:w="4157"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numPr>
                <w:ilvl w:val="0"/>
                <w:numId w:val="5"/>
              </w:numPr>
              <w:jc w:val="left"/>
              <w:rPr>
                <w:rFonts w:ascii="宋体" w:hAnsi="宋体" w:cs="宋体"/>
                <w:color w:val="000000"/>
                <w:kern w:val="0"/>
                <w:sz w:val="24"/>
              </w:rPr>
            </w:pPr>
            <w:r>
              <w:rPr>
                <w:rFonts w:hint="eastAsia" w:ascii="宋体" w:hAnsi="宋体" w:cs="宋体"/>
                <w:color w:val="000000"/>
                <w:kern w:val="0"/>
                <w:sz w:val="24"/>
              </w:rPr>
              <w:t>组织区人大代表参加区人大常委会和乡人大的培训工作，提升代表履职能力；</w:t>
            </w:r>
          </w:p>
          <w:p>
            <w:pPr>
              <w:widowControl/>
              <w:numPr>
                <w:ilvl w:val="0"/>
                <w:numId w:val="5"/>
              </w:numPr>
              <w:jc w:val="left"/>
              <w:rPr>
                <w:rFonts w:ascii="宋体" w:hAnsi="宋体" w:cs="宋体"/>
                <w:color w:val="000000"/>
                <w:kern w:val="0"/>
                <w:sz w:val="24"/>
              </w:rPr>
            </w:pPr>
            <w:r>
              <w:rPr>
                <w:rFonts w:hint="eastAsia" w:ascii="宋体" w:hAnsi="宋体" w:cs="宋体"/>
                <w:color w:val="000000"/>
                <w:kern w:val="0"/>
                <w:sz w:val="24"/>
              </w:rPr>
              <w:t>组织区人大代表开展视察检查活动、代表在倾听活动，收集选民的意见建议；</w:t>
            </w:r>
          </w:p>
          <w:p>
            <w:pPr>
              <w:widowControl/>
              <w:numPr>
                <w:ilvl w:val="0"/>
                <w:numId w:val="5"/>
              </w:numPr>
              <w:jc w:val="left"/>
              <w:rPr>
                <w:rFonts w:ascii="宋体" w:hAnsi="宋体" w:cs="宋体"/>
                <w:color w:val="000000"/>
                <w:kern w:val="0"/>
                <w:sz w:val="24"/>
              </w:rPr>
            </w:pPr>
            <w:r>
              <w:rPr>
                <w:rFonts w:hint="eastAsia" w:ascii="宋体" w:hAnsi="宋体" w:cs="宋体"/>
                <w:color w:val="000000"/>
                <w:kern w:val="0"/>
                <w:sz w:val="24"/>
              </w:rPr>
              <w:t>组织人大代表开展接待选民活动。</w:t>
            </w:r>
          </w:p>
        </w:tc>
      </w:tr>
      <w:tr>
        <w:tblPrEx>
          <w:tblCellMar>
            <w:top w:w="0" w:type="dxa"/>
            <w:left w:w="108" w:type="dxa"/>
            <w:bottom w:w="0" w:type="dxa"/>
            <w:right w:w="108" w:type="dxa"/>
          </w:tblCellMar>
        </w:tblPrEx>
        <w:trPr>
          <w:gridAfter w:val="2"/>
          <w:wAfter w:w="6772" w:type="dxa"/>
          <w:trHeight w:val="737" w:hRule="atLeast"/>
        </w:trPr>
        <w:tc>
          <w:tcPr>
            <w:tcW w:w="28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8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9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772" w:type="dxa"/>
          <w:trHeight w:val="421" w:hRule="atLeast"/>
        </w:trPr>
        <w:tc>
          <w:tcPr>
            <w:tcW w:w="2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82"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49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完成区人大代表培训２次。组织代表视察检查２次。接待选民2次。　</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88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772" w:type="dxa"/>
          <w:trHeight w:val="413" w:hRule="atLeast"/>
        </w:trPr>
        <w:tc>
          <w:tcPr>
            <w:tcW w:w="2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82"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49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保证代表活动正常开展，足额支付金额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772" w:type="dxa"/>
          <w:trHeight w:val="419" w:hRule="atLeast"/>
        </w:trPr>
        <w:tc>
          <w:tcPr>
            <w:tcW w:w="2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772" w:type="dxa"/>
          <w:trHeight w:val="418" w:hRule="atLeast"/>
        </w:trPr>
        <w:tc>
          <w:tcPr>
            <w:tcW w:w="28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495"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预算控制数1.8056万元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0.6万元，完成33%</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3.3</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压缩成本</w:t>
            </w:r>
          </w:p>
        </w:tc>
      </w:tr>
      <w:tr>
        <w:tblPrEx>
          <w:tblCellMar>
            <w:top w:w="0" w:type="dxa"/>
            <w:left w:w="108" w:type="dxa"/>
            <w:bottom w:w="0" w:type="dxa"/>
            <w:right w:w="108" w:type="dxa"/>
          </w:tblCellMar>
        </w:tblPrEx>
        <w:trPr>
          <w:gridAfter w:val="2"/>
          <w:wAfter w:w="6772" w:type="dxa"/>
          <w:trHeight w:val="416" w:hRule="atLeast"/>
        </w:trPr>
        <w:tc>
          <w:tcPr>
            <w:tcW w:w="28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8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效益分析</w:t>
            </w:r>
          </w:p>
        </w:tc>
        <w:tc>
          <w:tcPr>
            <w:tcW w:w="149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提高代表履职能力</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772" w:type="dxa"/>
          <w:trHeight w:val="409" w:hRule="atLeast"/>
        </w:trPr>
        <w:tc>
          <w:tcPr>
            <w:tcW w:w="28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服务对象满意度指标</w:t>
            </w:r>
          </w:p>
        </w:tc>
        <w:tc>
          <w:tcPr>
            <w:tcW w:w="149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组织各项活动得到人大代表好评</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w:t>
            </w:r>
          </w:p>
          <w:p>
            <w:pPr>
              <w:widowControl/>
              <w:rPr>
                <w:rFonts w:ascii="宋体" w:hAnsi="宋体" w:cs="宋体"/>
                <w:color w:val="000000"/>
                <w:kern w:val="0"/>
                <w:sz w:val="24"/>
              </w:rPr>
            </w:pPr>
            <w:r>
              <w:rPr>
                <w:rFonts w:hint="eastAsia" w:ascii="宋体" w:hAnsi="宋体" w:cs="宋体"/>
                <w:color w:val="000000"/>
                <w:kern w:val="0"/>
                <w:sz w:val="24"/>
              </w:rPr>
              <w:t>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19.6　</w:t>
            </w:r>
          </w:p>
        </w:tc>
        <w:tc>
          <w:tcPr>
            <w:tcW w:w="188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772" w:type="dxa"/>
          <w:trHeight w:val="353" w:hRule="atLeast"/>
        </w:trPr>
        <w:tc>
          <w:tcPr>
            <w:tcW w:w="8191"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总分：86.2</w:t>
            </w:r>
          </w:p>
        </w:tc>
        <w:tc>
          <w:tcPr>
            <w:tcW w:w="188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gridAfter w:val="2"/>
          <w:wAfter w:w="6772" w:type="dxa"/>
          <w:trHeight w:val="439" w:hRule="atLeast"/>
        </w:trPr>
        <w:tc>
          <w:tcPr>
            <w:tcW w:w="10080" w:type="dxa"/>
            <w:gridSpan w:val="15"/>
            <w:tcBorders>
              <w:top w:val="single" w:color="auto" w:sz="4" w:space="0"/>
              <w:left w:val="nil"/>
              <w:bottom w:val="nil"/>
              <w:right w:val="nil"/>
            </w:tcBorders>
            <w:noWrap/>
            <w:vAlign w:val="center"/>
          </w:tcPr>
          <w:p>
            <w:pPr>
              <w:widowControl/>
              <w:jc w:val="left"/>
              <w:rPr>
                <w:rFonts w:ascii="宋体" w:hAnsi="宋体" w:cs="宋体"/>
                <w:color w:val="000000"/>
                <w:kern w:val="0"/>
                <w:sz w:val="24"/>
              </w:rPr>
            </w:pPr>
          </w:p>
        </w:tc>
      </w:tr>
    </w:tbl>
    <w:p>
      <w:pPr>
        <w:rPr>
          <w:rFonts w:ascii="仿宋_GB2312" w:eastAsia="仿宋_GB2312"/>
          <w:sz w:val="32"/>
          <w:szCs w:val="32"/>
        </w:rPr>
        <w:sectPr>
          <w:pgSz w:w="11907" w:h="16840"/>
          <w:pgMar w:top="720" w:right="720" w:bottom="720" w:left="720" w:header="851" w:footer="992" w:gutter="0"/>
          <w:cols w:space="720" w:num="1"/>
          <w:docGrid w:type="linesAndChars" w:linePitch="312" w:charSpace="0"/>
        </w:sectPr>
      </w:pPr>
    </w:p>
    <w:tbl>
      <w:tblPr>
        <w:tblStyle w:val="14"/>
        <w:tblpPr w:leftFromText="180" w:rightFromText="180" w:horzAnchor="margin" w:tblpX="455" w:tblpY="-1800"/>
        <w:tblW w:w="10230" w:type="dxa"/>
        <w:tblInd w:w="0" w:type="dxa"/>
        <w:tblLayout w:type="fixed"/>
        <w:tblCellMar>
          <w:top w:w="0" w:type="dxa"/>
          <w:left w:w="108" w:type="dxa"/>
          <w:bottom w:w="0" w:type="dxa"/>
          <w:right w:w="108" w:type="dxa"/>
        </w:tblCellMar>
      </w:tblPr>
      <w:tblGrid>
        <w:gridCol w:w="392"/>
        <w:gridCol w:w="868"/>
        <w:gridCol w:w="1796"/>
        <w:gridCol w:w="94"/>
        <w:gridCol w:w="1502"/>
        <w:gridCol w:w="247"/>
        <w:gridCol w:w="1134"/>
        <w:gridCol w:w="1155"/>
        <w:gridCol w:w="121"/>
        <w:gridCol w:w="992"/>
        <w:gridCol w:w="992"/>
        <w:gridCol w:w="937"/>
      </w:tblGrid>
      <w:tr>
        <w:tblPrEx>
          <w:tblCellMar>
            <w:top w:w="0" w:type="dxa"/>
            <w:left w:w="108" w:type="dxa"/>
            <w:bottom w:w="0" w:type="dxa"/>
            <w:right w:w="108" w:type="dxa"/>
          </w:tblCellMar>
        </w:tblPrEx>
        <w:trPr>
          <w:trHeight w:val="484" w:hRule="atLeast"/>
        </w:trPr>
        <w:tc>
          <w:tcPr>
            <w:tcW w:w="10230"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仿宋_GB2312" w:eastAsia="仿宋_GB2312"/>
                <w:sz w:val="32"/>
                <w:szCs w:val="32"/>
              </w:rPr>
            </w:pPr>
            <w:r>
              <w:rPr>
                <w:rFonts w:hint="eastAsia" w:ascii="仿宋_GB2312" w:eastAsia="仿宋_GB2312"/>
                <w:sz w:val="32"/>
                <w:szCs w:val="32"/>
              </w:rPr>
              <w:t xml:space="preserve"> </w:t>
            </w: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（表30）</w:t>
            </w:r>
          </w:p>
        </w:tc>
      </w:tr>
      <w:tr>
        <w:tblPrEx>
          <w:tblCellMar>
            <w:top w:w="0" w:type="dxa"/>
            <w:left w:w="108" w:type="dxa"/>
            <w:bottom w:w="0" w:type="dxa"/>
            <w:right w:w="108" w:type="dxa"/>
          </w:tblCellMar>
        </w:tblPrEx>
        <w:trPr>
          <w:trHeight w:val="311" w:hRule="atLeast"/>
        </w:trPr>
        <w:tc>
          <w:tcPr>
            <w:tcW w:w="10230"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05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174"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挂职干部经费</w:t>
            </w:r>
          </w:p>
        </w:tc>
      </w:tr>
      <w:tr>
        <w:tblPrEx>
          <w:tblCellMar>
            <w:top w:w="0" w:type="dxa"/>
            <w:left w:w="108" w:type="dxa"/>
            <w:bottom w:w="0" w:type="dxa"/>
            <w:right w:w="108" w:type="dxa"/>
          </w:tblCellMar>
        </w:tblPrEx>
        <w:trPr>
          <w:trHeight w:val="551" w:hRule="atLeast"/>
        </w:trPr>
        <w:tc>
          <w:tcPr>
            <w:tcW w:w="3056"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rPr>
                <w:rFonts w:ascii="宋体" w:hAnsi="宋体" w:cs="宋体"/>
                <w:color w:val="000000"/>
                <w:kern w:val="0"/>
                <w:sz w:val="24"/>
              </w:rPr>
            </w:pPr>
            <w:r>
              <w:rPr>
                <w:rFonts w:hint="eastAsia" w:ascii="仿宋" w:hAnsi="仿宋" w:eastAsia="仿宋" w:cs="仿宋"/>
                <w:color w:val="000000"/>
                <w:kern w:val="0"/>
                <w:sz w:val="24"/>
              </w:rPr>
              <w:t>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21"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trHeight w:val="674" w:hRule="atLeast"/>
        </w:trPr>
        <w:tc>
          <w:tcPr>
            <w:tcW w:w="3056"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0528" behindDoc="0" locked="0" layoutInCell="1" allowOverlap="1">
                      <wp:simplePos x="0" y="0"/>
                      <wp:positionH relativeFrom="column">
                        <wp:posOffset>-5715</wp:posOffset>
                      </wp:positionH>
                      <wp:positionV relativeFrom="paragraph">
                        <wp:posOffset>25400</wp:posOffset>
                      </wp:positionV>
                      <wp:extent cx="1152525" cy="609600"/>
                      <wp:effectExtent l="2540" t="4445" r="6985" b="14605"/>
                      <wp:wrapNone/>
                      <wp:docPr id="9" name="直接箭头连接符 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5pt;margin-top:2pt;height:48pt;width:90.75pt;z-index:251670528;mso-width-relative:page;mso-height-relative:page;" filled="f" stroked="t" coordsize="21600,21600" o:gfxdata="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0e7j9UAAAAHAQAADwAAAAAAAAABACAAAAAiAAAAZHJzL2Rvd25yZXYu&#10;eG1sUEsBAhQAFAAAAAgAh07iQOu+Ecr+AQAA8QMAAA4AAAAAAAAAAQAgAAAAJAEAAGRycy9lMm9E&#10;b2MueG1sUEsFBgAAAAAGAAYAWQEAAJQ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3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40" w:hRule="atLeast"/>
        </w:trPr>
        <w:tc>
          <w:tcPr>
            <w:tcW w:w="305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1276" w:type="dxa"/>
            <w:gridSpan w:val="2"/>
            <w:tcBorders>
              <w:top w:val="nil"/>
              <w:left w:val="nil"/>
              <w:bottom w:val="single" w:color="auto" w:sz="4" w:space="0"/>
              <w:right w:val="single" w:color="auto" w:sz="4" w:space="0"/>
            </w:tcBorders>
            <w:noWrap/>
          </w:tcPr>
          <w:p>
            <w:pPr>
              <w:widowControl/>
              <w:jc w:val="center"/>
              <w:rPr>
                <w:rFonts w:ascii="宋体" w:hAnsi="宋体" w:cs="宋体"/>
                <w:color w:val="000000"/>
                <w:kern w:val="0"/>
                <w:sz w:val="24"/>
              </w:rPr>
            </w:pPr>
            <w:r>
              <w:rPr>
                <w:rFonts w:hint="eastAsia" w:ascii="宋体" w:hAnsi="宋体" w:cs="宋体"/>
                <w:color w:val="000000"/>
                <w:kern w:val="0"/>
                <w:sz w:val="24"/>
              </w:rPr>
              <w:t>11.98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　</w:t>
            </w:r>
          </w:p>
        </w:tc>
        <w:tc>
          <w:tcPr>
            <w:tcW w:w="9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9.98</w:t>
            </w:r>
          </w:p>
        </w:tc>
      </w:tr>
      <w:tr>
        <w:tblPrEx>
          <w:tblCellMar>
            <w:top w:w="0" w:type="dxa"/>
            <w:left w:w="108" w:type="dxa"/>
            <w:bottom w:w="0" w:type="dxa"/>
            <w:right w:w="108" w:type="dxa"/>
          </w:tblCellMar>
        </w:tblPrEx>
        <w:trPr>
          <w:trHeight w:val="325" w:hRule="atLeast"/>
        </w:trPr>
        <w:tc>
          <w:tcPr>
            <w:tcW w:w="305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1276" w:type="dxa"/>
            <w:gridSpan w:val="2"/>
            <w:tcBorders>
              <w:top w:val="nil"/>
              <w:left w:val="nil"/>
              <w:bottom w:val="single" w:color="auto" w:sz="4" w:space="0"/>
              <w:right w:val="single" w:color="auto" w:sz="4" w:space="0"/>
            </w:tcBorders>
            <w:noWrap/>
          </w:tcPr>
          <w:p>
            <w:pPr>
              <w:widowControl/>
              <w:jc w:val="center"/>
              <w:rPr>
                <w:rFonts w:ascii="宋体" w:hAnsi="宋体" w:cs="宋体"/>
                <w:color w:val="000000"/>
                <w:kern w:val="0"/>
                <w:sz w:val="24"/>
              </w:rPr>
            </w:pPr>
            <w:r>
              <w:rPr>
                <w:rFonts w:hint="eastAsia" w:ascii="宋体" w:hAnsi="宋体" w:cs="宋体"/>
                <w:color w:val="000000"/>
                <w:kern w:val="0"/>
                <w:sz w:val="24"/>
              </w:rPr>
              <w:t>11.98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99.8%　</w:t>
            </w:r>
          </w:p>
        </w:tc>
        <w:tc>
          <w:tcPr>
            <w:tcW w:w="9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295" w:hRule="atLeast"/>
        </w:trPr>
        <w:tc>
          <w:tcPr>
            <w:tcW w:w="3056"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3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067" w:hRule="atLeast"/>
        </w:trPr>
        <w:tc>
          <w:tcPr>
            <w:tcW w:w="39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ascii="宋体" w:hAnsi="宋体" w:cs="宋体"/>
                <w:color w:val="000000"/>
                <w:kern w:val="0"/>
                <w:sz w:val="24"/>
              </w:rPr>
            </w:pPr>
            <w:r>
              <w:rPr>
                <w:rFonts w:hint="eastAsia" w:ascii="宋体" w:hAnsi="宋体" w:cs="宋体"/>
                <w:color w:val="000000"/>
                <w:kern w:val="0"/>
                <w:sz w:val="24"/>
              </w:rPr>
              <w:t>根据区委组织部工作安排，解决内蒙</w:t>
            </w:r>
            <w:r>
              <w:rPr>
                <w:rFonts w:hint="eastAsia" w:ascii="宋体" w:hAnsi="宋体" w:cs="宋体"/>
                <w:color w:val="000000"/>
                <w:kern w:val="0"/>
                <w:sz w:val="24"/>
                <w:lang w:val="en-US" w:eastAsia="zh-CN"/>
              </w:rPr>
              <w:t>古</w:t>
            </w:r>
            <w:r>
              <w:rPr>
                <w:rFonts w:hint="eastAsia" w:ascii="宋体" w:hAnsi="宋体" w:cs="宋体"/>
                <w:color w:val="000000"/>
                <w:kern w:val="0"/>
                <w:sz w:val="24"/>
              </w:rPr>
              <w:t>来我单位挂职干部生活后顾之忧。</w:t>
            </w:r>
          </w:p>
        </w:tc>
        <w:tc>
          <w:tcPr>
            <w:tcW w:w="4197"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b/>
                <w:color w:val="000000"/>
                <w:kern w:val="0"/>
                <w:sz w:val="24"/>
              </w:rPr>
            </w:pPr>
            <w:r>
              <w:rPr>
                <w:rFonts w:hint="eastAsia" w:ascii="宋体" w:hAnsi="宋体" w:cs="宋体"/>
                <w:color w:val="000000"/>
                <w:kern w:val="0"/>
                <w:sz w:val="24"/>
              </w:rPr>
              <w:t>年度总体目标完成情况综述：解决内蒙</w:t>
            </w:r>
            <w:r>
              <w:rPr>
                <w:rFonts w:hint="eastAsia" w:ascii="宋体" w:hAnsi="宋体" w:cs="宋体"/>
                <w:color w:val="000000"/>
                <w:kern w:val="0"/>
                <w:sz w:val="24"/>
                <w:lang w:val="en-US" w:eastAsia="zh-CN"/>
              </w:rPr>
              <w:t>古</w:t>
            </w:r>
            <w:r>
              <w:rPr>
                <w:rFonts w:hint="eastAsia" w:ascii="宋体" w:hAnsi="宋体" w:cs="宋体"/>
                <w:color w:val="000000"/>
                <w:kern w:val="0"/>
                <w:sz w:val="24"/>
              </w:rPr>
              <w:t>支援单位干部生活后顾之忧，用于日常食宿交通费用。</w:t>
            </w:r>
          </w:p>
        </w:tc>
      </w:tr>
      <w:tr>
        <w:tblPrEx>
          <w:tblCellMar>
            <w:top w:w="0" w:type="dxa"/>
            <w:left w:w="108" w:type="dxa"/>
            <w:bottom w:w="0" w:type="dxa"/>
            <w:right w:w="108" w:type="dxa"/>
          </w:tblCellMar>
        </w:tblPrEx>
        <w:trPr>
          <w:trHeight w:val="737" w:hRule="atLeast"/>
        </w:trPr>
        <w:tc>
          <w:tcPr>
            <w:tcW w:w="39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8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9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0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90"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50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1名挂职干部1年的食宿交通</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1名挂职干部1年的食宿交通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nil"/>
              <w:bottom w:val="single" w:color="auto" w:sz="4" w:space="0"/>
              <w:right w:val="single" w:color="auto" w:sz="4" w:space="0"/>
            </w:tcBorders>
            <w:noWrap/>
            <w:vAlign w:val="center"/>
          </w:tcPr>
          <w:p>
            <w:pPr>
              <w:ind w:firstLine="480" w:firstLineChars="200"/>
              <w:rPr>
                <w:rFonts w:ascii="宋体" w:hAnsi="宋体" w:cs="宋体"/>
                <w:color w:val="000000"/>
                <w:kern w:val="0"/>
                <w:sz w:val="24"/>
              </w:rPr>
            </w:pPr>
            <w:r>
              <w:rPr>
                <w:rFonts w:hint="eastAsia" w:ascii="宋体" w:hAnsi="宋体" w:cs="宋体"/>
                <w:color w:val="000000"/>
                <w:kern w:val="0"/>
                <w:sz w:val="24"/>
              </w:rPr>
              <w:t>15</w:t>
            </w:r>
          </w:p>
        </w:tc>
        <w:tc>
          <w:tcPr>
            <w:tcW w:w="192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90"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0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执行差旅费标准，及时足额支付　</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ind w:firstLine="480" w:firstLineChars="200"/>
              <w:rPr>
                <w:rFonts w:ascii="宋体" w:hAnsi="宋体" w:cs="宋体"/>
                <w:color w:val="000000"/>
                <w:kern w:val="0"/>
                <w:sz w:val="24"/>
              </w:rPr>
            </w:pPr>
            <w:r>
              <w:rPr>
                <w:rFonts w:hint="eastAsia" w:ascii="宋体" w:hAnsi="宋体" w:cs="宋体"/>
                <w:color w:val="000000"/>
                <w:kern w:val="0"/>
                <w:sz w:val="24"/>
              </w:rPr>
              <w:t>15</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3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9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50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2020年6月前</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3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9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0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预算12万元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11.98万元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9.98</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3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9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50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解决内蒙</w:t>
            </w:r>
            <w:r>
              <w:rPr>
                <w:rFonts w:hint="eastAsia" w:ascii="宋体" w:hAnsi="宋体" w:cs="宋体"/>
                <w:color w:val="000000"/>
                <w:kern w:val="0"/>
                <w:sz w:val="24"/>
                <w:lang w:val="en-US" w:eastAsia="zh-CN"/>
              </w:rPr>
              <w:t>古</w:t>
            </w:r>
            <w:r>
              <w:rPr>
                <w:rFonts w:hint="eastAsia" w:ascii="宋体" w:hAnsi="宋体" w:cs="宋体"/>
                <w:color w:val="000000"/>
                <w:kern w:val="0"/>
                <w:sz w:val="24"/>
              </w:rPr>
              <w:t>支援单位干部生活后顾之忧</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　</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09" w:hRule="atLeast"/>
        </w:trPr>
        <w:tc>
          <w:tcPr>
            <w:tcW w:w="3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9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服务对象满意度指标</w:t>
            </w:r>
          </w:p>
        </w:tc>
        <w:tc>
          <w:tcPr>
            <w:tcW w:w="150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对挂职干部进行口头访谈</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得到好评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　</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648" w:hRule="atLeast"/>
        </w:trPr>
        <w:tc>
          <w:tcPr>
            <w:tcW w:w="8301"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总分：99.94</w:t>
            </w:r>
          </w:p>
        </w:tc>
        <w:tc>
          <w:tcPr>
            <w:tcW w:w="192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463" w:right="166" w:bottom="1123" w:left="620" w:header="851" w:footer="992" w:gutter="0"/>
          <w:cols w:space="720" w:num="1"/>
          <w:docGrid w:type="lines" w:linePitch="312" w:charSpace="0"/>
        </w:sectPr>
      </w:pPr>
    </w:p>
    <w:tbl>
      <w:tblPr>
        <w:tblStyle w:val="14"/>
        <w:tblpPr w:leftFromText="180" w:rightFromText="180" w:horzAnchor="margin" w:tblpX="470" w:tblpY="-1800"/>
        <w:tblW w:w="14412" w:type="dxa"/>
        <w:tblInd w:w="0" w:type="dxa"/>
        <w:tblLayout w:type="fixed"/>
        <w:tblCellMar>
          <w:top w:w="0" w:type="dxa"/>
          <w:left w:w="108" w:type="dxa"/>
          <w:bottom w:w="0" w:type="dxa"/>
          <w:right w:w="108" w:type="dxa"/>
        </w:tblCellMar>
      </w:tblPr>
      <w:tblGrid>
        <w:gridCol w:w="426"/>
        <w:gridCol w:w="1283"/>
        <w:gridCol w:w="1000"/>
        <w:gridCol w:w="285"/>
        <w:gridCol w:w="1939"/>
        <w:gridCol w:w="341"/>
        <w:gridCol w:w="975"/>
        <w:gridCol w:w="414"/>
        <w:gridCol w:w="236"/>
        <w:gridCol w:w="236"/>
        <w:gridCol w:w="87"/>
        <w:gridCol w:w="121"/>
        <w:gridCol w:w="992"/>
        <w:gridCol w:w="992"/>
        <w:gridCol w:w="732"/>
        <w:gridCol w:w="4353"/>
      </w:tblGrid>
      <w:tr>
        <w:tblPrEx>
          <w:tblCellMar>
            <w:top w:w="0" w:type="dxa"/>
            <w:left w:w="108" w:type="dxa"/>
            <w:bottom w:w="0" w:type="dxa"/>
            <w:right w:w="108" w:type="dxa"/>
          </w:tblCellMar>
        </w:tblPrEx>
        <w:trPr>
          <w:gridAfter w:val="1"/>
          <w:wAfter w:w="4353" w:type="dxa"/>
          <w:trHeight w:val="484" w:hRule="atLeast"/>
        </w:trPr>
        <w:tc>
          <w:tcPr>
            <w:tcW w:w="10059" w:type="dxa"/>
            <w:gridSpan w:val="15"/>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（表31）</w:t>
            </w:r>
          </w:p>
        </w:tc>
      </w:tr>
      <w:tr>
        <w:tblPrEx>
          <w:tblCellMar>
            <w:top w:w="0" w:type="dxa"/>
            <w:left w:w="108" w:type="dxa"/>
            <w:bottom w:w="0" w:type="dxa"/>
            <w:right w:w="108" w:type="dxa"/>
          </w:tblCellMar>
        </w:tblPrEx>
        <w:trPr>
          <w:gridAfter w:val="1"/>
          <w:wAfter w:w="4353" w:type="dxa"/>
          <w:trHeight w:val="311" w:hRule="atLeast"/>
        </w:trPr>
        <w:tc>
          <w:tcPr>
            <w:tcW w:w="10059"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2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00"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224"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353" w:type="dxa"/>
          <w:trHeight w:val="370" w:hRule="atLeast"/>
        </w:trPr>
        <w:tc>
          <w:tcPr>
            <w:tcW w:w="27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350"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妇女之家工作经费</w:t>
            </w:r>
          </w:p>
        </w:tc>
      </w:tr>
      <w:tr>
        <w:tblPrEx>
          <w:tblCellMar>
            <w:top w:w="0" w:type="dxa"/>
            <w:left w:w="108" w:type="dxa"/>
            <w:bottom w:w="0" w:type="dxa"/>
            <w:right w:w="108" w:type="dxa"/>
          </w:tblCellMar>
        </w:tblPrEx>
        <w:trPr>
          <w:gridAfter w:val="1"/>
          <w:wAfter w:w="4353" w:type="dxa"/>
          <w:trHeight w:val="370" w:hRule="atLeast"/>
        </w:trPr>
        <w:tc>
          <w:tcPr>
            <w:tcW w:w="2709"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540"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南苑乡人民政府177000</w:t>
            </w:r>
          </w:p>
        </w:tc>
        <w:tc>
          <w:tcPr>
            <w:tcW w:w="1094"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71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南苑乡妇联</w:t>
            </w:r>
          </w:p>
        </w:tc>
      </w:tr>
      <w:tr>
        <w:tblPrEx>
          <w:tblCellMar>
            <w:top w:w="0" w:type="dxa"/>
            <w:left w:w="108" w:type="dxa"/>
            <w:bottom w:w="0" w:type="dxa"/>
            <w:right w:w="108" w:type="dxa"/>
          </w:tblCellMar>
        </w:tblPrEx>
        <w:trPr>
          <w:gridAfter w:val="1"/>
          <w:wAfter w:w="4353" w:type="dxa"/>
          <w:trHeight w:val="861" w:hRule="atLeast"/>
        </w:trPr>
        <w:tc>
          <w:tcPr>
            <w:tcW w:w="2709"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224" w:type="dxa"/>
            <w:gridSpan w:val="2"/>
            <w:tcBorders>
              <w:top w:val="single" w:color="auto" w:sz="4" w:space="0"/>
              <w:left w:val="nil"/>
              <w:bottom w:val="single" w:color="auto" w:sz="4" w:space="0"/>
              <w:right w:val="single" w:color="000000" w:sz="4" w:space="0"/>
              <w:tl2br w:val="single" w:color="auto" w:sz="4" w:space="0"/>
            </w:tcBorders>
            <w:noWrap/>
            <w:vAlign w:val="center"/>
          </w:tcPr>
          <w:p>
            <w:pPr>
              <w:widowControl/>
              <w:jc w:val="center"/>
              <w:rPr>
                <w:rFonts w:ascii="宋体" w:hAnsi="宋体" w:cs="宋体"/>
                <w:color w:val="000000"/>
                <w:kern w:val="0"/>
                <w:sz w:val="24"/>
              </w:rPr>
            </w:pPr>
          </w:p>
        </w:tc>
        <w:tc>
          <w:tcPr>
            <w:tcW w:w="1316"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094"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3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353" w:type="dxa"/>
          <w:trHeight w:val="265" w:hRule="atLeast"/>
        </w:trPr>
        <w:tc>
          <w:tcPr>
            <w:tcW w:w="270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24"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31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w:t>
            </w:r>
          </w:p>
        </w:tc>
        <w:tc>
          <w:tcPr>
            <w:tcW w:w="109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73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1"/>
          <w:wAfter w:w="4353" w:type="dxa"/>
          <w:trHeight w:val="325" w:hRule="atLeast"/>
        </w:trPr>
        <w:tc>
          <w:tcPr>
            <w:tcW w:w="270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2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31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2.4</w:t>
            </w:r>
          </w:p>
        </w:tc>
        <w:tc>
          <w:tcPr>
            <w:tcW w:w="109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73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53" w:type="dxa"/>
          <w:trHeight w:val="295" w:hRule="atLeast"/>
        </w:trPr>
        <w:tc>
          <w:tcPr>
            <w:tcW w:w="2709"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24"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316"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94"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3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53" w:type="dxa"/>
          <w:trHeight w:val="1172" w:hRule="atLeast"/>
        </w:trPr>
        <w:tc>
          <w:tcPr>
            <w:tcW w:w="42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23"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年初设定目标：以妇女儿童得实惠为目标，以维护妇女合法权益为根本任务，丰富南苑乡妇女儿童精神生活，扩展美育、陶冶情操，增强凝聚力，对妇女儿童工作起到良好的促进作用。</w:t>
            </w:r>
          </w:p>
        </w:tc>
        <w:tc>
          <w:tcPr>
            <w:tcW w:w="3810"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年度总体目标完成情况综述：丰富南苑乡妇女儿童精神生活，扩展美育、陶冶情操，增强了凝聚力，对妇女儿童工作起到了良好的促进作用，进一步增强妇联组织的凝聚力和向心力。</w:t>
            </w:r>
          </w:p>
        </w:tc>
      </w:tr>
      <w:tr>
        <w:tblPrEx>
          <w:tblCellMar>
            <w:top w:w="0" w:type="dxa"/>
            <w:left w:w="108" w:type="dxa"/>
            <w:bottom w:w="0" w:type="dxa"/>
            <w:right w:w="108" w:type="dxa"/>
          </w:tblCellMar>
        </w:tblPrEx>
        <w:trPr>
          <w:gridAfter w:val="1"/>
          <w:wAfter w:w="4353" w:type="dxa"/>
          <w:trHeight w:val="737" w:hRule="atLeast"/>
        </w:trPr>
        <w:tc>
          <w:tcPr>
            <w:tcW w:w="42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8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28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353" w:type="dxa"/>
          <w:trHeight w:val="421" w:hRule="atLeast"/>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8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p>
            <w:pPr>
              <w:widowControl/>
              <w:jc w:val="left"/>
              <w:rPr>
                <w:rFonts w:ascii="宋体" w:hAnsi="宋体" w:cs="宋体"/>
                <w:color w:val="000000"/>
                <w:kern w:val="0"/>
                <w:sz w:val="24"/>
              </w:rPr>
            </w:pPr>
          </w:p>
        </w:tc>
        <w:tc>
          <w:tcPr>
            <w:tcW w:w="2280"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开展扎染、手工扇制作等12场活动</w:t>
            </w:r>
          </w:p>
        </w:tc>
        <w:tc>
          <w:tcPr>
            <w:tcW w:w="97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12场</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72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413" w:hRule="atLeast"/>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8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228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覆盖全乡各基层单位，妇女儿童参与率90%以上</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419" w:hRule="atLeast"/>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8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22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12月底前完成</w:t>
            </w:r>
          </w:p>
        </w:tc>
        <w:tc>
          <w:tcPr>
            <w:tcW w:w="975"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11月底前完成</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418" w:hRule="atLeast"/>
        </w:trPr>
        <w:tc>
          <w:tcPr>
            <w:tcW w:w="4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8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22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预算24008元</w:t>
            </w:r>
          </w:p>
        </w:tc>
        <w:tc>
          <w:tcPr>
            <w:tcW w:w="9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支出24008元</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416" w:hRule="atLeast"/>
        </w:trPr>
        <w:tc>
          <w:tcPr>
            <w:tcW w:w="4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8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22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富南苑乡妇女儿童精神生活，扩展美育、陶冶情操</w:t>
            </w:r>
          </w:p>
        </w:tc>
        <w:tc>
          <w:tcPr>
            <w:tcW w:w="9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实现效果较好</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416" w:hRule="atLeast"/>
        </w:trPr>
        <w:tc>
          <w:tcPr>
            <w:tcW w:w="4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28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服务对象满意度指标</w:t>
            </w:r>
          </w:p>
        </w:tc>
        <w:tc>
          <w:tcPr>
            <w:tcW w:w="22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对辖区妇女儿童随机进行满意度口头访谈</w:t>
            </w:r>
          </w:p>
        </w:tc>
        <w:tc>
          <w:tcPr>
            <w:tcW w:w="9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好评率达95%</w:t>
            </w:r>
          </w:p>
        </w:tc>
        <w:tc>
          <w:tcPr>
            <w:tcW w:w="97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7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4353" w:type="dxa"/>
          <w:trHeight w:val="353" w:hRule="atLeast"/>
        </w:trPr>
        <w:tc>
          <w:tcPr>
            <w:tcW w:w="833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w:t>
            </w:r>
          </w:p>
        </w:tc>
        <w:tc>
          <w:tcPr>
            <w:tcW w:w="172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620" w:header="851" w:footer="992" w:gutter="0"/>
          <w:cols w:space="720" w:num="1"/>
          <w:docGrid w:type="lines" w:linePitch="312" w:charSpace="0"/>
        </w:sectPr>
      </w:pPr>
    </w:p>
    <w:tbl>
      <w:tblPr>
        <w:tblStyle w:val="14"/>
        <w:tblpPr w:leftFromText="180" w:rightFromText="180" w:horzAnchor="margin" w:tblpX="440" w:tblpY="-1800"/>
        <w:tblW w:w="14393" w:type="dxa"/>
        <w:tblInd w:w="0" w:type="dxa"/>
        <w:tblLayout w:type="fixed"/>
        <w:tblCellMar>
          <w:top w:w="0" w:type="dxa"/>
          <w:left w:w="108" w:type="dxa"/>
          <w:bottom w:w="0" w:type="dxa"/>
          <w:right w:w="108" w:type="dxa"/>
        </w:tblCellMar>
      </w:tblPr>
      <w:tblGrid>
        <w:gridCol w:w="407"/>
        <w:gridCol w:w="1283"/>
        <w:gridCol w:w="1381"/>
        <w:gridCol w:w="462"/>
        <w:gridCol w:w="1378"/>
        <w:gridCol w:w="1365"/>
        <w:gridCol w:w="368"/>
        <w:gridCol w:w="236"/>
        <w:gridCol w:w="236"/>
        <w:gridCol w:w="444"/>
        <w:gridCol w:w="756"/>
        <w:gridCol w:w="992"/>
        <w:gridCol w:w="742"/>
        <w:gridCol w:w="4343"/>
      </w:tblGrid>
      <w:tr>
        <w:tblPrEx>
          <w:tblCellMar>
            <w:top w:w="0" w:type="dxa"/>
            <w:left w:w="108" w:type="dxa"/>
            <w:bottom w:w="0" w:type="dxa"/>
            <w:right w:w="108" w:type="dxa"/>
          </w:tblCellMar>
        </w:tblPrEx>
        <w:trPr>
          <w:gridAfter w:val="1"/>
          <w:wAfter w:w="4343" w:type="dxa"/>
          <w:trHeight w:val="484" w:hRule="atLeast"/>
        </w:trPr>
        <w:tc>
          <w:tcPr>
            <w:tcW w:w="10050" w:type="dxa"/>
            <w:gridSpan w:val="13"/>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仿宋_GB2312" w:eastAsia="仿宋_GB2312"/>
                <w:sz w:val="15"/>
                <w:szCs w:val="15"/>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（表32）</w:t>
            </w:r>
          </w:p>
        </w:tc>
      </w:tr>
      <w:tr>
        <w:tblPrEx>
          <w:tblCellMar>
            <w:top w:w="0" w:type="dxa"/>
            <w:left w:w="108" w:type="dxa"/>
            <w:bottom w:w="0" w:type="dxa"/>
            <w:right w:w="108" w:type="dxa"/>
          </w:tblCellMar>
        </w:tblPrEx>
        <w:trPr>
          <w:gridAfter w:val="1"/>
          <w:wAfter w:w="4343" w:type="dxa"/>
          <w:trHeight w:val="311" w:hRule="atLeast"/>
        </w:trPr>
        <w:tc>
          <w:tcPr>
            <w:tcW w:w="10050" w:type="dxa"/>
            <w:gridSpan w:val="13"/>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07"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343" w:type="dxa"/>
          <w:trHeight w:val="370" w:hRule="atLeast"/>
        </w:trPr>
        <w:tc>
          <w:tcPr>
            <w:tcW w:w="307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6979"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残疾儿童少年康复训练补助</w:t>
            </w:r>
          </w:p>
        </w:tc>
      </w:tr>
      <w:tr>
        <w:tblPrEx>
          <w:tblCellMar>
            <w:top w:w="0" w:type="dxa"/>
            <w:left w:w="108" w:type="dxa"/>
            <w:bottom w:w="0" w:type="dxa"/>
            <w:right w:w="108" w:type="dxa"/>
          </w:tblCellMar>
        </w:tblPrEx>
        <w:trPr>
          <w:gridAfter w:val="1"/>
          <w:wAfter w:w="4343" w:type="dxa"/>
          <w:trHeight w:val="240" w:hRule="atLeast"/>
        </w:trPr>
        <w:tc>
          <w:tcPr>
            <w:tcW w:w="307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05"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南苑乡人民政府177000</w:t>
            </w:r>
          </w:p>
        </w:tc>
        <w:tc>
          <w:tcPr>
            <w:tcW w:w="128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49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南苑乡残联</w:t>
            </w:r>
          </w:p>
        </w:tc>
      </w:tr>
      <w:tr>
        <w:tblPrEx>
          <w:tblCellMar>
            <w:top w:w="0" w:type="dxa"/>
            <w:left w:w="108" w:type="dxa"/>
            <w:bottom w:w="0" w:type="dxa"/>
            <w:right w:w="108" w:type="dxa"/>
          </w:tblCellMar>
        </w:tblPrEx>
        <w:trPr>
          <w:gridAfter w:val="1"/>
          <w:wAfter w:w="4343" w:type="dxa"/>
          <w:trHeight w:val="674" w:hRule="atLeast"/>
        </w:trPr>
        <w:tc>
          <w:tcPr>
            <w:tcW w:w="3071"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1552" behindDoc="0" locked="0" layoutInCell="1" allowOverlap="1">
                      <wp:simplePos x="0" y="0"/>
                      <wp:positionH relativeFrom="column">
                        <wp:posOffset>2146935</wp:posOffset>
                      </wp:positionH>
                      <wp:positionV relativeFrom="paragraph">
                        <wp:posOffset>2540</wp:posOffset>
                      </wp:positionV>
                      <wp:extent cx="1152525" cy="609600"/>
                      <wp:effectExtent l="2540" t="4445" r="6985" b="14605"/>
                      <wp:wrapNone/>
                      <wp:docPr id="6" name="直接箭头连接符 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05pt;margin-top:0.2pt;height:48pt;width:90.75pt;z-index:251671552;mso-width-relative:page;mso-height-relative:page;" filled="f" stroked="t" coordsize="21600,21600" o:gfxdata="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cYgydcAAAAHAQAADwAAAAAAAAABACAAAAAiAAAAZHJzL2Rvd25y&#10;ZXYueG1sUEsBAhQAFAAAAAgAh07iQP30Oxf/AQAA8QMAAA4AAAAAAAAAAQAgAAAAJgEAAGRycy9l&#10;Mm9Eb2MueG1sUEsFBgAAAAAGAAYAWQEAAJcFAAAAAA==&#10;">
                      <v:fill on="f" focussize="0,0"/>
                      <v:stroke color="#000000" joinstyle="round"/>
                      <v:imagedata o:title=""/>
                      <o:lock v:ext="edit" aspectratio="f"/>
                    </v:shape>
                  </w:pict>
                </mc:Fallback>
              </mc:AlternateContent>
            </w:r>
            <w:r>
              <w:rPr>
                <w:rFonts w:hint="eastAsia" w:ascii="宋体" w:hAnsi="宋体" w:cs="宋体"/>
                <w:color w:val="000000"/>
                <w:kern w:val="0"/>
                <w:sz w:val="24"/>
              </w:rPr>
              <w:t>项目资金                    （万元）</w:t>
            </w:r>
          </w:p>
        </w:tc>
        <w:tc>
          <w:tcPr>
            <w:tcW w:w="184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36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84"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7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4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343" w:type="dxa"/>
          <w:trHeight w:val="340"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0"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36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10.96</w:t>
            </w:r>
          </w:p>
        </w:tc>
        <w:tc>
          <w:tcPr>
            <w:tcW w:w="12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10.96</w:t>
            </w:r>
          </w:p>
        </w:tc>
        <w:tc>
          <w:tcPr>
            <w:tcW w:w="7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gridAfter w:val="1"/>
          <w:wAfter w:w="4343" w:type="dxa"/>
          <w:trHeight w:val="310"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36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10.96</w:t>
            </w:r>
          </w:p>
        </w:tc>
        <w:tc>
          <w:tcPr>
            <w:tcW w:w="12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10.96</w:t>
            </w:r>
          </w:p>
        </w:tc>
        <w:tc>
          <w:tcPr>
            <w:tcW w:w="7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gridAfter w:val="1"/>
          <w:wAfter w:w="4343" w:type="dxa"/>
          <w:trHeight w:val="267"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0"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36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6"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43" w:type="dxa"/>
          <w:trHeight w:val="1022" w:hRule="atLeast"/>
        </w:trPr>
        <w:tc>
          <w:tcPr>
            <w:tcW w:w="40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69" w:type="dxa"/>
            <w:gridSpan w:val="5"/>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Cs w:val="21"/>
              </w:rPr>
              <w:t>根据少儿康复系统平台申请参加机构康复训练的南苑乡残疾儿童少年，财政给予拨款进行补助。</w:t>
            </w:r>
          </w:p>
        </w:tc>
        <w:tc>
          <w:tcPr>
            <w:tcW w:w="3774" w:type="dxa"/>
            <w:gridSpan w:val="7"/>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Cs w:val="21"/>
              </w:rPr>
              <w:t>根据年度总体目标对5名进行机构康复的残疾儿童给予康复训练补助总计10.96万元。</w:t>
            </w:r>
          </w:p>
        </w:tc>
      </w:tr>
      <w:tr>
        <w:tblPrEx>
          <w:tblCellMar>
            <w:top w:w="0" w:type="dxa"/>
            <w:left w:w="108" w:type="dxa"/>
            <w:bottom w:w="0" w:type="dxa"/>
            <w:right w:w="108" w:type="dxa"/>
          </w:tblCellMar>
        </w:tblPrEx>
        <w:trPr>
          <w:gridAfter w:val="1"/>
          <w:wAfter w:w="4343" w:type="dxa"/>
          <w:trHeight w:val="737" w:hRule="atLeast"/>
        </w:trPr>
        <w:tc>
          <w:tcPr>
            <w:tcW w:w="40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7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6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8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7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343" w:type="dxa"/>
          <w:trHeight w:val="421" w:hRule="atLeast"/>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数量指标</w:t>
            </w:r>
          </w:p>
        </w:tc>
        <w:tc>
          <w:tcPr>
            <w:tcW w:w="1378"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 w:val="18"/>
                <w:szCs w:val="18"/>
              </w:rPr>
              <w:t>符合康复报销条件的5名残疾儿童</w:t>
            </w:r>
          </w:p>
        </w:tc>
        <w:tc>
          <w:tcPr>
            <w:tcW w:w="1365" w:type="dxa"/>
            <w:tcBorders>
              <w:top w:val="single" w:color="auto" w:sz="4" w:space="0"/>
              <w:left w:val="nil"/>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Cs w:val="21"/>
              </w:rPr>
              <w:t>5人</w:t>
            </w:r>
          </w:p>
        </w:tc>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756"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173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90" w:hRule="atLeast"/>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质量指标</w:t>
            </w:r>
          </w:p>
        </w:tc>
        <w:tc>
          <w:tcPr>
            <w:tcW w:w="137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 w:val="18"/>
                <w:szCs w:val="18"/>
              </w:rPr>
              <w:t>对符合条件的残疾儿童及时发放康复补助</w:t>
            </w:r>
          </w:p>
        </w:tc>
        <w:tc>
          <w:tcPr>
            <w:tcW w:w="1365"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完成发放100%</w:t>
            </w:r>
          </w:p>
        </w:tc>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75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419" w:hRule="atLeast"/>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进度指标</w:t>
            </w:r>
          </w:p>
        </w:tc>
        <w:tc>
          <w:tcPr>
            <w:tcW w:w="137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每6个月发放一次</w:t>
            </w:r>
          </w:p>
        </w:tc>
        <w:tc>
          <w:tcPr>
            <w:tcW w:w="1365"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发放100%</w:t>
            </w:r>
          </w:p>
        </w:tc>
        <w:tc>
          <w:tcPr>
            <w:tcW w:w="12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75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418"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成本指标</w:t>
            </w:r>
          </w:p>
        </w:tc>
        <w:tc>
          <w:tcPr>
            <w:tcW w:w="137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 w:val="18"/>
                <w:szCs w:val="18"/>
              </w:rPr>
              <w:t>10.96</w:t>
            </w:r>
            <w:r>
              <w:rPr>
                <w:rFonts w:hint="eastAsia" w:ascii="宋体" w:hAnsi="宋体" w:cs="宋体"/>
                <w:color w:val="000000"/>
                <w:kern w:val="0"/>
                <w:szCs w:val="21"/>
              </w:rPr>
              <w:t>万元</w:t>
            </w:r>
          </w:p>
        </w:tc>
        <w:tc>
          <w:tcPr>
            <w:tcW w:w="136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10.96</w:t>
            </w:r>
            <w:r>
              <w:rPr>
                <w:rFonts w:hint="eastAsia" w:ascii="宋体" w:hAnsi="宋体" w:cs="宋体"/>
                <w:color w:val="000000"/>
                <w:kern w:val="0"/>
                <w:szCs w:val="21"/>
              </w:rPr>
              <w:t>（万元）</w:t>
            </w:r>
          </w:p>
        </w:tc>
        <w:tc>
          <w:tcPr>
            <w:tcW w:w="128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75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974"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效益指标</w:t>
            </w:r>
          </w:p>
        </w:tc>
        <w:tc>
          <w:tcPr>
            <w:tcW w:w="1378"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帮助残疾儿童恢复或补偿功能，减轻功能障碍，增强生活自理和社会参与能力。缓解残疾儿童家庭经济负担。</w:t>
            </w:r>
          </w:p>
        </w:tc>
        <w:tc>
          <w:tcPr>
            <w:tcW w:w="1365"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较好完成目标</w:t>
            </w:r>
          </w:p>
        </w:tc>
        <w:tc>
          <w:tcPr>
            <w:tcW w:w="1284" w:type="dxa"/>
            <w:gridSpan w:val="4"/>
            <w:tcBorders>
              <w:top w:val="single" w:color="auto" w:sz="4" w:space="0"/>
              <w:left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756" w:type="dxa"/>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1068"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1378" w:type="dxa"/>
            <w:tcBorders>
              <w:top w:val="single" w:color="auto" w:sz="4" w:space="0"/>
              <w:left w:val="nil"/>
              <w:right w:val="single" w:color="auto" w:sz="4" w:space="0"/>
            </w:tcBorders>
            <w:noWrap/>
            <w:vAlign w:val="center"/>
          </w:tcPr>
          <w:p>
            <w:pPr>
              <w:widowControl/>
              <w:rPr>
                <w:rFonts w:ascii="宋体" w:hAnsi="宋体" w:cs="宋体"/>
                <w:color w:val="000000"/>
                <w:kern w:val="0"/>
                <w:sz w:val="15"/>
                <w:szCs w:val="15"/>
              </w:rPr>
            </w:pPr>
            <w:r>
              <w:rPr>
                <w:rFonts w:hint="eastAsia" w:ascii="宋体" w:hAnsi="宋体" w:cs="宋体"/>
                <w:color w:val="000000"/>
                <w:kern w:val="0"/>
                <w:sz w:val="15"/>
                <w:szCs w:val="15"/>
              </w:rPr>
              <w:t>1、社区、村全覆盖，应享尽享。</w:t>
            </w:r>
          </w:p>
          <w:p>
            <w:pPr>
              <w:widowControl/>
              <w:rPr>
                <w:rFonts w:ascii="宋体" w:hAnsi="宋体" w:cs="宋体"/>
                <w:color w:val="000000"/>
                <w:kern w:val="0"/>
                <w:sz w:val="18"/>
                <w:szCs w:val="18"/>
              </w:rPr>
            </w:pPr>
            <w:r>
              <w:rPr>
                <w:rFonts w:hint="eastAsia" w:ascii="宋体" w:hAnsi="宋体" w:cs="宋体"/>
                <w:color w:val="000000"/>
                <w:kern w:val="0"/>
                <w:sz w:val="15"/>
                <w:szCs w:val="15"/>
              </w:rPr>
              <w:t>2、报销额度家庭满意度。</w:t>
            </w:r>
          </w:p>
        </w:tc>
        <w:tc>
          <w:tcPr>
            <w:tcW w:w="1365" w:type="dxa"/>
            <w:tcBorders>
              <w:top w:val="single" w:color="auto" w:sz="4" w:space="0"/>
              <w:left w:val="nil"/>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满意度80%</w:t>
            </w:r>
          </w:p>
        </w:tc>
        <w:tc>
          <w:tcPr>
            <w:tcW w:w="1284" w:type="dxa"/>
            <w:gridSpan w:val="4"/>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756" w:type="dxa"/>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4343" w:type="dxa"/>
          <w:trHeight w:val="353" w:hRule="atLeast"/>
        </w:trPr>
        <w:tc>
          <w:tcPr>
            <w:tcW w:w="8316" w:type="dxa"/>
            <w:gridSpan w:val="11"/>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总分：94</w:t>
            </w:r>
          </w:p>
        </w:tc>
        <w:tc>
          <w:tcPr>
            <w:tcW w:w="1734"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620" w:header="851" w:footer="992" w:gutter="0"/>
          <w:cols w:space="720" w:num="1"/>
          <w:docGrid w:type="lines" w:linePitch="312" w:charSpace="0"/>
        </w:sectPr>
      </w:pPr>
    </w:p>
    <w:tbl>
      <w:tblPr>
        <w:tblStyle w:val="14"/>
        <w:tblpPr w:leftFromText="180" w:rightFromText="180" w:horzAnchor="margin" w:tblpX="470" w:tblpY="-1800"/>
        <w:tblW w:w="14363" w:type="dxa"/>
        <w:tblInd w:w="0" w:type="dxa"/>
        <w:tblLayout w:type="fixed"/>
        <w:tblCellMar>
          <w:top w:w="0" w:type="dxa"/>
          <w:left w:w="108" w:type="dxa"/>
          <w:bottom w:w="0" w:type="dxa"/>
          <w:right w:w="108" w:type="dxa"/>
        </w:tblCellMar>
      </w:tblPr>
      <w:tblGrid>
        <w:gridCol w:w="495"/>
        <w:gridCol w:w="1165"/>
        <w:gridCol w:w="1381"/>
        <w:gridCol w:w="189"/>
        <w:gridCol w:w="1407"/>
        <w:gridCol w:w="247"/>
        <w:gridCol w:w="1212"/>
        <w:gridCol w:w="518"/>
        <w:gridCol w:w="236"/>
        <w:gridCol w:w="236"/>
        <w:gridCol w:w="87"/>
        <w:gridCol w:w="121"/>
        <w:gridCol w:w="992"/>
        <w:gridCol w:w="992"/>
        <w:gridCol w:w="787"/>
        <w:gridCol w:w="4298"/>
      </w:tblGrid>
      <w:tr>
        <w:tblPrEx>
          <w:tblCellMar>
            <w:top w:w="0" w:type="dxa"/>
            <w:left w:w="108" w:type="dxa"/>
            <w:bottom w:w="0" w:type="dxa"/>
            <w:right w:w="108" w:type="dxa"/>
          </w:tblCellMar>
        </w:tblPrEx>
        <w:trPr>
          <w:gridAfter w:val="1"/>
          <w:wAfter w:w="4298" w:type="dxa"/>
          <w:trHeight w:val="484" w:hRule="atLeast"/>
        </w:trPr>
        <w:tc>
          <w:tcPr>
            <w:tcW w:w="10065" w:type="dxa"/>
            <w:gridSpan w:val="15"/>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（表33）</w:t>
            </w:r>
          </w:p>
        </w:tc>
      </w:tr>
      <w:tr>
        <w:tblPrEx>
          <w:tblCellMar>
            <w:top w:w="0" w:type="dxa"/>
            <w:left w:w="108" w:type="dxa"/>
            <w:bottom w:w="0" w:type="dxa"/>
            <w:right w:w="108" w:type="dxa"/>
          </w:tblCellMar>
        </w:tblPrEx>
        <w:trPr>
          <w:gridAfter w:val="1"/>
          <w:wAfter w:w="4298" w:type="dxa"/>
          <w:trHeight w:val="311" w:hRule="atLeast"/>
        </w:trPr>
        <w:tc>
          <w:tcPr>
            <w:tcW w:w="10065"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9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6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298" w:type="dxa"/>
          <w:trHeight w:val="370" w:hRule="atLeast"/>
        </w:trPr>
        <w:tc>
          <w:tcPr>
            <w:tcW w:w="304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024"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街乡镇残联工作经费</w:t>
            </w:r>
          </w:p>
        </w:tc>
      </w:tr>
      <w:tr>
        <w:tblPrEx>
          <w:tblCellMar>
            <w:top w:w="0" w:type="dxa"/>
            <w:left w:w="108" w:type="dxa"/>
            <w:bottom w:w="0" w:type="dxa"/>
            <w:right w:w="108" w:type="dxa"/>
          </w:tblCellMar>
        </w:tblPrEx>
        <w:trPr>
          <w:gridAfter w:val="1"/>
          <w:wAfter w:w="4298" w:type="dxa"/>
          <w:trHeight w:val="370" w:hRule="atLeast"/>
        </w:trPr>
        <w:tc>
          <w:tcPr>
            <w:tcW w:w="304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055"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19177000612</w:t>
            </w:r>
          </w:p>
        </w:tc>
        <w:tc>
          <w:tcPr>
            <w:tcW w:w="1198"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77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南苑乡残联</w:t>
            </w:r>
          </w:p>
        </w:tc>
      </w:tr>
      <w:tr>
        <w:tblPrEx>
          <w:tblCellMar>
            <w:top w:w="0" w:type="dxa"/>
            <w:left w:w="108" w:type="dxa"/>
            <w:bottom w:w="0" w:type="dxa"/>
            <w:right w:w="108" w:type="dxa"/>
          </w:tblCellMar>
        </w:tblPrEx>
        <w:trPr>
          <w:gridAfter w:val="1"/>
          <w:wAfter w:w="4298" w:type="dxa"/>
          <w:trHeight w:val="674" w:hRule="atLeast"/>
        </w:trPr>
        <w:tc>
          <w:tcPr>
            <w:tcW w:w="3041"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2576" behindDoc="0" locked="0" layoutInCell="1" allowOverlap="1">
                      <wp:simplePos x="0" y="0"/>
                      <wp:positionH relativeFrom="column">
                        <wp:posOffset>-53340</wp:posOffset>
                      </wp:positionH>
                      <wp:positionV relativeFrom="paragraph">
                        <wp:posOffset>59055</wp:posOffset>
                      </wp:positionV>
                      <wp:extent cx="1133475" cy="554990"/>
                      <wp:effectExtent l="1905" t="4445" r="7620" b="12065"/>
                      <wp:wrapNone/>
                      <wp:docPr id="16" name="直接箭头连接符 16"/>
                      <wp:cNvGraphicFramePr/>
                      <a:graphic xmlns:a="http://schemas.openxmlformats.org/drawingml/2006/main">
                        <a:graphicData uri="http://schemas.microsoft.com/office/word/2010/wordprocessingShape">
                          <wps:wsp>
                            <wps:cNvCnPr/>
                            <wps:spPr>
                              <a:xfrm>
                                <a:off x="0" y="0"/>
                                <a:ext cx="1133475" cy="5549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4.65pt;height:43.7pt;width:89.25pt;z-index:251672576;mso-width-relative:page;mso-height-relative:page;" filled="f" stroked="t" coordsize="21600,21600" o:gfxdata="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7SnrzWAAAABwEAAA8AAAAAAAAAAQAgAAAAIgAAAGRycy9k&#10;b3ducmV2LnhtbFBLAQIUABQAAAAIAIdO4kBtMApeBAIAAPMDAAAOAAAAAAAAAAEAIAAAACUBAABk&#10;cnMvZTJvRG9jLnhtbFBLBQYAAAAABgAGAFkBAACbBQAAAAA=&#10;">
                      <v:fill on="f" focussize="0,0"/>
                      <v:stroke color="#000000" joinstyle="round"/>
                      <v:imagedata o:title=""/>
                      <o:lock v:ext="edit" aspectratio="f"/>
                    </v:shape>
                  </w:pict>
                </mc:Fallback>
              </mc:AlternateContent>
            </w:r>
          </w:p>
        </w:tc>
        <w:tc>
          <w:tcPr>
            <w:tcW w:w="1212"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98"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8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298" w:type="dxa"/>
          <w:trHeight w:val="370" w:hRule="atLeast"/>
        </w:trPr>
        <w:tc>
          <w:tcPr>
            <w:tcW w:w="304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21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5.47</w:t>
            </w:r>
          </w:p>
        </w:tc>
        <w:tc>
          <w:tcPr>
            <w:tcW w:w="119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2.28</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41.71%</w:t>
            </w:r>
          </w:p>
        </w:tc>
        <w:tc>
          <w:tcPr>
            <w:tcW w:w="78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4.17</w:t>
            </w:r>
          </w:p>
        </w:tc>
      </w:tr>
      <w:tr>
        <w:tblPrEx>
          <w:tblCellMar>
            <w:top w:w="0" w:type="dxa"/>
            <w:left w:w="108" w:type="dxa"/>
            <w:bottom w:w="0" w:type="dxa"/>
            <w:right w:w="108" w:type="dxa"/>
          </w:tblCellMar>
        </w:tblPrEx>
        <w:trPr>
          <w:gridAfter w:val="1"/>
          <w:wAfter w:w="4298" w:type="dxa"/>
          <w:trHeight w:val="370" w:hRule="atLeast"/>
        </w:trPr>
        <w:tc>
          <w:tcPr>
            <w:tcW w:w="304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21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5.47</w:t>
            </w:r>
          </w:p>
        </w:tc>
        <w:tc>
          <w:tcPr>
            <w:tcW w:w="119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2.28</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41.71%</w:t>
            </w:r>
          </w:p>
        </w:tc>
        <w:tc>
          <w:tcPr>
            <w:tcW w:w="78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4.17</w:t>
            </w:r>
          </w:p>
        </w:tc>
      </w:tr>
      <w:tr>
        <w:tblPrEx>
          <w:tblCellMar>
            <w:top w:w="0" w:type="dxa"/>
            <w:left w:w="108" w:type="dxa"/>
            <w:bottom w:w="0" w:type="dxa"/>
            <w:right w:w="108" w:type="dxa"/>
          </w:tblCellMar>
        </w:tblPrEx>
        <w:trPr>
          <w:gridAfter w:val="1"/>
          <w:wAfter w:w="4298" w:type="dxa"/>
          <w:trHeight w:val="370" w:hRule="atLeast"/>
        </w:trPr>
        <w:tc>
          <w:tcPr>
            <w:tcW w:w="304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212"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98"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8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298" w:type="dxa"/>
          <w:trHeight w:val="1172" w:hRule="atLeast"/>
        </w:trPr>
        <w:tc>
          <w:tcPr>
            <w:tcW w:w="495"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01" w:type="dxa"/>
            <w:gridSpan w:val="6"/>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Cs w:val="21"/>
              </w:rPr>
            </w:pPr>
            <w:r>
              <w:rPr>
                <w:rFonts w:hint="eastAsia" w:ascii="宋体" w:hAnsi="宋体" w:cs="宋体"/>
                <w:color w:val="000000"/>
                <w:kern w:val="0"/>
                <w:szCs w:val="21"/>
              </w:rPr>
              <w:t>年初设定目标：</w:t>
            </w:r>
          </w:p>
          <w:p>
            <w:pPr>
              <w:widowControl/>
              <w:rPr>
                <w:rFonts w:ascii="宋体" w:hAnsi="宋体" w:cs="宋体"/>
                <w:color w:val="000000"/>
                <w:kern w:val="0"/>
                <w:sz w:val="24"/>
              </w:rPr>
            </w:pPr>
            <w:r>
              <w:rPr>
                <w:rFonts w:hint="eastAsia" w:ascii="宋体" w:hAnsi="宋体" w:cs="宋体"/>
                <w:color w:val="000000"/>
                <w:kern w:val="0"/>
                <w:szCs w:val="21"/>
              </w:rPr>
              <w:t>根据区残联工作要求，开展残疾人关爱及各类宣传活动。</w:t>
            </w:r>
          </w:p>
        </w:tc>
        <w:tc>
          <w:tcPr>
            <w:tcW w:w="3969"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Cs w:val="21"/>
              </w:rPr>
            </w:pPr>
            <w:r>
              <w:rPr>
                <w:rFonts w:hint="eastAsia" w:ascii="宋体" w:hAnsi="宋体" w:cs="宋体"/>
                <w:color w:val="000000"/>
                <w:kern w:val="0"/>
                <w:szCs w:val="21"/>
              </w:rPr>
              <w:t>年度总体目标完成情况综述：</w:t>
            </w:r>
          </w:p>
          <w:p>
            <w:pPr>
              <w:widowControl/>
              <w:rPr>
                <w:rFonts w:ascii="宋体" w:hAnsi="宋体" w:cs="宋体"/>
                <w:color w:val="000000"/>
                <w:kern w:val="0"/>
                <w:sz w:val="24"/>
              </w:rPr>
            </w:pPr>
            <w:r>
              <w:rPr>
                <w:rFonts w:hint="eastAsia" w:ascii="宋体" w:hAnsi="宋体" w:cs="宋体"/>
                <w:color w:val="000000"/>
                <w:kern w:val="0"/>
                <w:szCs w:val="21"/>
              </w:rPr>
              <w:t>按年度总体目标计划，运用街乡镇残联工作经费，开展主题宣传活动，走访残疾儿童，营造全社会关爱残疾人的良好氛围。</w:t>
            </w:r>
          </w:p>
        </w:tc>
      </w:tr>
      <w:tr>
        <w:tblPrEx>
          <w:tblCellMar>
            <w:top w:w="0" w:type="dxa"/>
            <w:left w:w="108" w:type="dxa"/>
            <w:bottom w:w="0" w:type="dxa"/>
            <w:right w:w="108" w:type="dxa"/>
          </w:tblCellMar>
        </w:tblPrEx>
        <w:trPr>
          <w:gridAfter w:val="1"/>
          <w:wAfter w:w="4298" w:type="dxa"/>
          <w:trHeight w:val="737" w:hRule="atLeast"/>
        </w:trPr>
        <w:tc>
          <w:tcPr>
            <w:tcW w:w="495"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6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7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0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298" w:type="dxa"/>
          <w:trHeight w:val="1383" w:hRule="atLeast"/>
        </w:trPr>
        <w:tc>
          <w:tcPr>
            <w:tcW w:w="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70" w:type="dxa"/>
            <w:gridSpan w:val="2"/>
            <w:vMerge w:val="restart"/>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18"/>
                <w:szCs w:val="18"/>
              </w:rPr>
              <w:t>数量指标</w:t>
            </w:r>
          </w:p>
        </w:tc>
        <w:tc>
          <w:tcPr>
            <w:tcW w:w="1407" w:type="dxa"/>
            <w:tcBorders>
              <w:top w:val="single" w:color="auto" w:sz="4" w:space="0"/>
              <w:left w:val="nil"/>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在乡域内每个社区、村残协每年至少开一场主题宣传活动</w:t>
            </w:r>
          </w:p>
        </w:tc>
        <w:tc>
          <w:tcPr>
            <w:tcW w:w="1459" w:type="dxa"/>
            <w:gridSpan w:val="2"/>
            <w:tcBorders>
              <w:top w:val="single" w:color="auto" w:sz="4" w:space="0"/>
              <w:left w:val="nil"/>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开展全国</w:t>
            </w:r>
            <w:bookmarkStart w:id="31" w:name="_GoBack"/>
            <w:bookmarkEnd w:id="31"/>
            <w:r>
              <w:rPr>
                <w:rFonts w:hint="eastAsia" w:ascii="宋体" w:hAnsi="宋体" w:cs="宋体"/>
                <w:color w:val="000000"/>
                <w:kern w:val="0"/>
                <w:sz w:val="18"/>
                <w:szCs w:val="18"/>
              </w:rPr>
              <w:t>爱耳日、“助残日”，“残疾残疾预防日”主题宣传</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77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临近社区联合开展主题活动</w:t>
            </w:r>
          </w:p>
        </w:tc>
      </w:tr>
      <w:tr>
        <w:tblPrEx>
          <w:tblCellMar>
            <w:top w:w="0" w:type="dxa"/>
            <w:left w:w="108" w:type="dxa"/>
            <w:bottom w:w="0" w:type="dxa"/>
            <w:right w:w="108" w:type="dxa"/>
          </w:tblCellMar>
        </w:tblPrEx>
        <w:trPr>
          <w:gridAfter w:val="1"/>
          <w:wAfter w:w="4298" w:type="dxa"/>
          <w:trHeight w:val="1008" w:hRule="atLeast"/>
        </w:trPr>
        <w:tc>
          <w:tcPr>
            <w:tcW w:w="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570" w:type="dxa"/>
            <w:gridSpan w:val="2"/>
            <w:vMerge w:val="continue"/>
            <w:tcBorders>
              <w:left w:val="nil"/>
              <w:right w:val="single" w:color="auto" w:sz="4" w:space="0"/>
            </w:tcBorders>
            <w:noWrap/>
            <w:vAlign w:val="center"/>
          </w:tcPr>
          <w:p>
            <w:pPr>
              <w:widowControl/>
              <w:jc w:val="center"/>
              <w:rPr>
                <w:rFonts w:ascii="宋体" w:hAnsi="宋体" w:cs="宋体"/>
                <w:kern w:val="0"/>
                <w:sz w:val="18"/>
                <w:szCs w:val="18"/>
              </w:rPr>
            </w:pPr>
          </w:p>
        </w:tc>
        <w:tc>
          <w:tcPr>
            <w:tcW w:w="1407" w:type="dxa"/>
            <w:tcBorders>
              <w:top w:val="single" w:color="auto" w:sz="4" w:space="0"/>
              <w:left w:val="nil"/>
              <w:right w:val="single" w:color="auto" w:sz="4" w:space="0"/>
            </w:tcBorders>
            <w:noWrap/>
            <w:vAlign w:val="center"/>
          </w:tcPr>
          <w:p>
            <w:pPr>
              <w:rPr>
                <w:rFonts w:ascii="宋体" w:hAnsi="宋体" w:cs="宋体"/>
                <w:color w:val="000000"/>
                <w:kern w:val="0"/>
                <w:sz w:val="18"/>
                <w:szCs w:val="18"/>
              </w:rPr>
            </w:pPr>
            <w:r>
              <w:rPr>
                <w:rFonts w:hint="eastAsia" w:ascii="宋体" w:hAnsi="宋体" w:cs="宋体"/>
                <w:color w:val="000000"/>
                <w:kern w:val="0"/>
                <w:sz w:val="18"/>
                <w:szCs w:val="18"/>
              </w:rPr>
              <w:t>“六一”国际儿童节走访慰问残疾儿童16位</w:t>
            </w:r>
          </w:p>
        </w:tc>
        <w:tc>
          <w:tcPr>
            <w:tcW w:w="1459" w:type="dxa"/>
            <w:gridSpan w:val="2"/>
            <w:tcBorders>
              <w:top w:val="single" w:color="auto" w:sz="4" w:space="0"/>
              <w:left w:val="nil"/>
              <w:right w:val="single" w:color="auto" w:sz="4" w:space="0"/>
            </w:tcBorders>
            <w:noWrap/>
            <w:vAlign w:val="center"/>
          </w:tcPr>
          <w:p>
            <w:pPr>
              <w:ind w:firstLine="360" w:firstLineChars="200"/>
              <w:rPr>
                <w:rFonts w:ascii="宋体" w:hAnsi="宋体" w:cs="宋体"/>
                <w:color w:val="000000"/>
                <w:kern w:val="0"/>
                <w:sz w:val="18"/>
                <w:szCs w:val="18"/>
              </w:rPr>
            </w:pPr>
            <w:r>
              <w:rPr>
                <w:rFonts w:hint="eastAsia" w:ascii="宋体" w:hAnsi="宋体" w:cs="宋体"/>
                <w:color w:val="000000"/>
                <w:kern w:val="0"/>
                <w:sz w:val="18"/>
                <w:szCs w:val="18"/>
              </w:rPr>
              <w:t>16位</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77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15"/>
                <w:szCs w:val="15"/>
              </w:rPr>
            </w:pPr>
          </w:p>
        </w:tc>
      </w:tr>
      <w:tr>
        <w:tblPrEx>
          <w:tblCellMar>
            <w:top w:w="0" w:type="dxa"/>
            <w:left w:w="108" w:type="dxa"/>
            <w:bottom w:w="0" w:type="dxa"/>
            <w:right w:w="108" w:type="dxa"/>
          </w:tblCellMar>
        </w:tblPrEx>
        <w:trPr>
          <w:gridAfter w:val="1"/>
          <w:wAfter w:w="4298" w:type="dxa"/>
          <w:trHeight w:val="413" w:hRule="atLeast"/>
        </w:trPr>
        <w:tc>
          <w:tcPr>
            <w:tcW w:w="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7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18"/>
                <w:szCs w:val="18"/>
              </w:rPr>
              <w:t>质量指标</w:t>
            </w:r>
          </w:p>
        </w:tc>
        <w:tc>
          <w:tcPr>
            <w:tcW w:w="140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承接区残联宣传活动、工作并及时开展相关宣传活动、工作</w:t>
            </w:r>
          </w:p>
        </w:tc>
        <w:tc>
          <w:tcPr>
            <w:tcW w:w="1459"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所有宣传活动、工作按部就班及时开展。</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1"/>
          <w:wAfter w:w="4298" w:type="dxa"/>
          <w:trHeight w:val="419" w:hRule="atLeast"/>
        </w:trPr>
        <w:tc>
          <w:tcPr>
            <w:tcW w:w="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70" w:type="dxa"/>
            <w:gridSpan w:val="2"/>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18"/>
                <w:szCs w:val="18"/>
              </w:rPr>
              <w:t>进度指标</w:t>
            </w:r>
          </w:p>
        </w:tc>
        <w:tc>
          <w:tcPr>
            <w:tcW w:w="140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12月底前完成</w:t>
            </w:r>
          </w:p>
        </w:tc>
        <w:tc>
          <w:tcPr>
            <w:tcW w:w="145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按期完成</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1"/>
          <w:wAfter w:w="4298" w:type="dxa"/>
          <w:trHeight w:val="358" w:hRule="atLeast"/>
        </w:trPr>
        <w:tc>
          <w:tcPr>
            <w:tcW w:w="4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7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kern w:val="0"/>
                <w:sz w:val="18"/>
                <w:szCs w:val="18"/>
              </w:rPr>
              <w:t>成本指标</w:t>
            </w:r>
          </w:p>
        </w:tc>
        <w:tc>
          <w:tcPr>
            <w:tcW w:w="140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5.4659万元</w:t>
            </w:r>
          </w:p>
        </w:tc>
        <w:tc>
          <w:tcPr>
            <w:tcW w:w="145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2.28万元</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1"/>
          <w:wAfter w:w="4298" w:type="dxa"/>
          <w:trHeight w:val="416" w:hRule="atLeast"/>
        </w:trPr>
        <w:tc>
          <w:tcPr>
            <w:tcW w:w="4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7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szCs w:val="18"/>
              </w:rPr>
              <w:t>效益指标</w:t>
            </w:r>
          </w:p>
        </w:tc>
        <w:tc>
          <w:tcPr>
            <w:tcW w:w="140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关爱残疾人士，营造良好社会氛围</w:t>
            </w:r>
          </w:p>
        </w:tc>
        <w:tc>
          <w:tcPr>
            <w:tcW w:w="145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达到预期目标</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　</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gridAfter w:val="1"/>
          <w:wAfter w:w="4298" w:type="dxa"/>
          <w:trHeight w:val="409" w:hRule="atLeast"/>
        </w:trPr>
        <w:tc>
          <w:tcPr>
            <w:tcW w:w="4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7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szCs w:val="18"/>
              </w:rPr>
              <w:t>满意度指标</w:t>
            </w:r>
          </w:p>
        </w:tc>
        <w:tc>
          <w:tcPr>
            <w:tcW w:w="1407" w:type="dxa"/>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对参与活动群众随机进行满意度调查</w:t>
            </w:r>
          </w:p>
        </w:tc>
        <w:tc>
          <w:tcPr>
            <w:tcW w:w="1459"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好评率95%</w:t>
            </w:r>
          </w:p>
        </w:tc>
        <w:tc>
          <w:tcPr>
            <w:tcW w:w="107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77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gridAfter w:val="1"/>
          <w:wAfter w:w="4298" w:type="dxa"/>
          <w:trHeight w:val="353" w:hRule="atLeast"/>
        </w:trPr>
        <w:tc>
          <w:tcPr>
            <w:tcW w:w="8286"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总分：82.17</w:t>
            </w:r>
          </w:p>
        </w:tc>
        <w:tc>
          <w:tcPr>
            <w:tcW w:w="17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63" w:right="166" w:bottom="1123" w:left="620" w:header="851" w:footer="992" w:gutter="0"/>
          <w:cols w:space="720" w:num="1"/>
          <w:docGrid w:type="lines" w:linePitch="312" w:charSpace="0"/>
        </w:sectPr>
      </w:pPr>
    </w:p>
    <w:tbl>
      <w:tblPr>
        <w:tblStyle w:val="14"/>
        <w:tblpPr w:leftFromText="180" w:rightFromText="180" w:horzAnchor="margin" w:tblpX="440" w:tblpY="-1800"/>
        <w:tblW w:w="14393" w:type="dxa"/>
        <w:tblInd w:w="0" w:type="dxa"/>
        <w:tblLayout w:type="fixed"/>
        <w:tblCellMar>
          <w:top w:w="0" w:type="dxa"/>
          <w:left w:w="108" w:type="dxa"/>
          <w:bottom w:w="0" w:type="dxa"/>
          <w:right w:w="108" w:type="dxa"/>
        </w:tblCellMar>
      </w:tblPr>
      <w:tblGrid>
        <w:gridCol w:w="407"/>
        <w:gridCol w:w="1283"/>
        <w:gridCol w:w="1381"/>
        <w:gridCol w:w="1843"/>
        <w:gridCol w:w="1134"/>
        <w:gridCol w:w="596"/>
        <w:gridCol w:w="236"/>
        <w:gridCol w:w="236"/>
        <w:gridCol w:w="208"/>
        <w:gridCol w:w="992"/>
        <w:gridCol w:w="992"/>
        <w:gridCol w:w="757"/>
        <w:gridCol w:w="4328"/>
      </w:tblGrid>
      <w:tr>
        <w:tblPrEx>
          <w:tblCellMar>
            <w:top w:w="0" w:type="dxa"/>
            <w:left w:w="108" w:type="dxa"/>
            <w:bottom w:w="0" w:type="dxa"/>
            <w:right w:w="108" w:type="dxa"/>
          </w:tblCellMar>
        </w:tblPrEx>
        <w:trPr>
          <w:gridAfter w:val="1"/>
          <w:wAfter w:w="4328" w:type="dxa"/>
          <w:trHeight w:val="484" w:hRule="atLeast"/>
        </w:trPr>
        <w:tc>
          <w:tcPr>
            <w:tcW w:w="10065"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仿宋_GB2312" w:eastAsia="仿宋_GB2312"/>
                <w:sz w:val="32"/>
                <w:szCs w:val="32"/>
              </w:rPr>
            </w:pPr>
            <w:r>
              <w:rPr>
                <w:rFonts w:hint="eastAsia" w:ascii="仿宋_GB2312" w:eastAsia="仿宋_GB2312"/>
                <w:sz w:val="32"/>
                <w:szCs w:val="32"/>
              </w:rPr>
              <w:t xml:space="preserve"> </w:t>
            </w: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（表34）</w:t>
            </w:r>
          </w:p>
        </w:tc>
      </w:tr>
      <w:tr>
        <w:tblPrEx>
          <w:tblCellMar>
            <w:top w:w="0" w:type="dxa"/>
            <w:left w:w="108" w:type="dxa"/>
            <w:bottom w:w="0" w:type="dxa"/>
            <w:right w:w="108" w:type="dxa"/>
          </w:tblCellMar>
        </w:tblPrEx>
        <w:trPr>
          <w:gridAfter w:val="1"/>
          <w:wAfter w:w="4328" w:type="dxa"/>
          <w:trHeight w:val="311" w:hRule="atLeast"/>
        </w:trPr>
        <w:tc>
          <w:tcPr>
            <w:tcW w:w="10065"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407"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4328" w:type="dxa"/>
          <w:trHeight w:val="370" w:hRule="atLeast"/>
        </w:trPr>
        <w:tc>
          <w:tcPr>
            <w:tcW w:w="307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6994"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就业补助专项资金-灵活就业社会保险补贴</w:t>
            </w:r>
          </w:p>
        </w:tc>
      </w:tr>
      <w:tr>
        <w:tblPrEx>
          <w:tblCellMar>
            <w:top w:w="0" w:type="dxa"/>
            <w:left w:w="108" w:type="dxa"/>
            <w:bottom w:w="0" w:type="dxa"/>
            <w:right w:w="108" w:type="dxa"/>
          </w:tblCellMar>
        </w:tblPrEx>
        <w:trPr>
          <w:gridAfter w:val="1"/>
          <w:wAfter w:w="4328" w:type="dxa"/>
          <w:trHeight w:val="370" w:hRule="atLeast"/>
        </w:trPr>
        <w:tc>
          <w:tcPr>
            <w:tcW w:w="307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741"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gridAfter w:val="1"/>
          <w:wAfter w:w="4328" w:type="dxa"/>
          <w:trHeight w:val="674" w:hRule="atLeast"/>
        </w:trPr>
        <w:tc>
          <w:tcPr>
            <w:tcW w:w="3071"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3600" behindDoc="0" locked="0" layoutInCell="1" allowOverlap="1">
                      <wp:simplePos x="0" y="0"/>
                      <wp:positionH relativeFrom="column">
                        <wp:posOffset>-68580</wp:posOffset>
                      </wp:positionH>
                      <wp:positionV relativeFrom="paragraph">
                        <wp:posOffset>14605</wp:posOffset>
                      </wp:positionV>
                      <wp:extent cx="1171575" cy="575310"/>
                      <wp:effectExtent l="1905" t="4445" r="7620" b="10795"/>
                      <wp:wrapNone/>
                      <wp:docPr id="7" name="直接箭头连接符 7"/>
                      <wp:cNvGraphicFramePr/>
                      <a:graphic xmlns:a="http://schemas.openxmlformats.org/drawingml/2006/main">
                        <a:graphicData uri="http://schemas.microsoft.com/office/word/2010/wordprocessingShape">
                          <wps:wsp>
                            <wps:cNvCnPr/>
                            <wps:spPr>
                              <a:xfrm>
                                <a:off x="0" y="0"/>
                                <a:ext cx="1171575" cy="5753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4pt;margin-top:1.15pt;height:45.3pt;width:92.25pt;z-index:251673600;mso-width-relative:page;mso-height-relative:page;" filled="f" stroked="t" coordsize="21600,21600" o:gfxdata="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XhiDXAAAACAEAAA8AAAAAAAAAAQAgAAAAIgAAAGRycy9kb3du&#10;cmV2LnhtbFBLAQIUABQAAAAIAIdO4kCF3Xt0AAIAAPEDAAAOAAAAAAAAAAEAIAAAACY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75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4328" w:type="dxa"/>
          <w:trHeight w:val="370"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85.45%　</w:t>
            </w:r>
          </w:p>
        </w:tc>
        <w:tc>
          <w:tcPr>
            <w:tcW w:w="7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8.54</w:t>
            </w:r>
          </w:p>
        </w:tc>
      </w:tr>
      <w:tr>
        <w:tblPrEx>
          <w:tblCellMar>
            <w:top w:w="0" w:type="dxa"/>
            <w:left w:w="108" w:type="dxa"/>
            <w:bottom w:w="0" w:type="dxa"/>
            <w:right w:w="108" w:type="dxa"/>
          </w:tblCellMar>
        </w:tblPrEx>
        <w:trPr>
          <w:gridAfter w:val="1"/>
          <w:wAfter w:w="4328" w:type="dxa"/>
          <w:trHeight w:val="370"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85.45%　</w:t>
            </w:r>
          </w:p>
        </w:tc>
        <w:tc>
          <w:tcPr>
            <w:tcW w:w="7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8.54</w:t>
            </w:r>
          </w:p>
        </w:tc>
      </w:tr>
      <w:tr>
        <w:tblPrEx>
          <w:tblCellMar>
            <w:top w:w="0" w:type="dxa"/>
            <w:left w:w="108" w:type="dxa"/>
            <w:bottom w:w="0" w:type="dxa"/>
            <w:right w:w="108" w:type="dxa"/>
          </w:tblCellMar>
        </w:tblPrEx>
        <w:trPr>
          <w:gridAfter w:val="1"/>
          <w:wAfter w:w="4328" w:type="dxa"/>
          <w:trHeight w:val="370" w:hRule="atLeast"/>
        </w:trPr>
        <w:tc>
          <w:tcPr>
            <w:tcW w:w="307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5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4328" w:type="dxa"/>
          <w:trHeight w:val="1172" w:hRule="atLeast"/>
        </w:trPr>
        <w:tc>
          <w:tcPr>
            <w:tcW w:w="40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为符合条件的区级灵活就业人员申请社会保险补贴，促进劳动力就业，提高就业人员积极性。</w:t>
            </w:r>
          </w:p>
        </w:tc>
        <w:tc>
          <w:tcPr>
            <w:tcW w:w="4017" w:type="dxa"/>
            <w:gridSpan w:val="7"/>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为符合条件的区级灵活就业人员申请社会保险补贴，2019年全年符合享受区级灵活人员社保补贴15人。</w:t>
            </w:r>
          </w:p>
        </w:tc>
      </w:tr>
      <w:tr>
        <w:tblPrEx>
          <w:tblCellMar>
            <w:top w:w="0" w:type="dxa"/>
            <w:left w:w="108" w:type="dxa"/>
            <w:bottom w:w="0" w:type="dxa"/>
            <w:right w:w="108" w:type="dxa"/>
          </w:tblCellMar>
        </w:tblPrEx>
        <w:trPr>
          <w:gridAfter w:val="1"/>
          <w:wAfter w:w="4328" w:type="dxa"/>
          <w:trHeight w:val="737" w:hRule="atLeast"/>
        </w:trPr>
        <w:tc>
          <w:tcPr>
            <w:tcW w:w="40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4328" w:type="dxa"/>
          <w:trHeight w:val="421" w:hRule="atLeast"/>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843" w:type="dxa"/>
            <w:tcBorders>
              <w:top w:val="single" w:color="auto" w:sz="4" w:space="0"/>
              <w:left w:val="nil"/>
              <w:right w:val="single" w:color="auto" w:sz="4" w:space="0"/>
            </w:tcBorders>
            <w:noWrap/>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区级灵活就业社会保险补贴标准上半年863.67元/月，下半年930.93元/月</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全年申请人数15人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74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328" w:type="dxa"/>
          <w:trHeight w:val="416"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严格审核申请人员资格</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完成预期指标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328" w:type="dxa"/>
          <w:trHeight w:val="416"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843" w:type="dxa"/>
            <w:tcBorders>
              <w:top w:val="single" w:color="auto" w:sz="4" w:space="0"/>
              <w:left w:val="nil"/>
              <w:bottom w:val="single" w:color="auto" w:sz="4" w:space="0"/>
              <w:right w:val="single" w:color="auto" w:sz="4" w:space="0"/>
            </w:tcBorders>
            <w:noWrap/>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12月前完成</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12月完成</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328" w:type="dxa"/>
          <w:trHeight w:val="416"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项目预算控制数11万元</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完成85.45%</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8.54</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根据实际申请人数发放</w:t>
            </w:r>
          </w:p>
        </w:tc>
      </w:tr>
      <w:tr>
        <w:tblPrEx>
          <w:tblCellMar>
            <w:top w:w="0" w:type="dxa"/>
            <w:left w:w="108" w:type="dxa"/>
            <w:bottom w:w="0" w:type="dxa"/>
            <w:right w:w="108" w:type="dxa"/>
          </w:tblCellMar>
        </w:tblPrEx>
        <w:trPr>
          <w:gridAfter w:val="1"/>
          <w:wAfter w:w="4328" w:type="dxa"/>
          <w:trHeight w:val="416"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提高劳动力就业积极性</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328" w:type="dxa"/>
          <w:trHeight w:val="416" w:hRule="atLeast"/>
        </w:trPr>
        <w:tc>
          <w:tcPr>
            <w:tcW w:w="4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服务对象满意度</w:t>
            </w:r>
          </w:p>
        </w:tc>
        <w:tc>
          <w:tcPr>
            <w:tcW w:w="184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服务对象满意度指标</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好评率98%　</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19.6</w:t>
            </w:r>
          </w:p>
        </w:tc>
        <w:tc>
          <w:tcPr>
            <w:tcW w:w="17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4328" w:type="dxa"/>
          <w:trHeight w:val="353" w:hRule="atLeast"/>
        </w:trPr>
        <w:tc>
          <w:tcPr>
            <w:tcW w:w="8316"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总分：96.68</w:t>
            </w:r>
          </w:p>
        </w:tc>
        <w:tc>
          <w:tcPr>
            <w:tcW w:w="174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pPr>
    </w:p>
    <w:p>
      <w:pPr>
        <w:pStyle w:val="2"/>
        <w:sectPr>
          <w:pgSz w:w="11906" w:h="16838"/>
          <w:pgMar w:top="1463" w:right="166" w:bottom="1123" w:left="618" w:header="851" w:footer="992" w:gutter="0"/>
          <w:cols w:space="720" w:num="1"/>
          <w:docGrid w:type="lines" w:linePitch="312" w:charSpace="0"/>
        </w:sectPr>
      </w:pPr>
    </w:p>
    <w:tbl>
      <w:tblPr>
        <w:tblStyle w:val="14"/>
        <w:tblpPr w:leftFromText="180" w:rightFromText="180" w:vertAnchor="page" w:horzAnchor="page" w:tblpX="103" w:tblpY="1"/>
        <w:tblW w:w="14222" w:type="dxa"/>
        <w:tblInd w:w="0" w:type="dxa"/>
        <w:tblLayout w:type="fixed"/>
        <w:tblCellMar>
          <w:top w:w="0" w:type="dxa"/>
          <w:left w:w="108" w:type="dxa"/>
          <w:bottom w:w="0" w:type="dxa"/>
          <w:right w:w="108" w:type="dxa"/>
        </w:tblCellMar>
      </w:tblPr>
      <w:tblGrid>
        <w:gridCol w:w="236"/>
        <w:gridCol w:w="1253"/>
        <w:gridCol w:w="1183"/>
        <w:gridCol w:w="1833"/>
        <w:gridCol w:w="1550"/>
        <w:gridCol w:w="417"/>
        <w:gridCol w:w="236"/>
        <w:gridCol w:w="236"/>
        <w:gridCol w:w="295"/>
        <w:gridCol w:w="850"/>
        <w:gridCol w:w="994"/>
        <w:gridCol w:w="1384"/>
        <w:gridCol w:w="3755"/>
      </w:tblGrid>
      <w:tr>
        <w:tblPrEx>
          <w:tblCellMar>
            <w:top w:w="0" w:type="dxa"/>
            <w:left w:w="108" w:type="dxa"/>
            <w:bottom w:w="0" w:type="dxa"/>
            <w:right w:w="108" w:type="dxa"/>
          </w:tblCellMar>
        </w:tblPrEx>
        <w:trPr>
          <w:gridAfter w:val="1"/>
          <w:wAfter w:w="3755" w:type="dxa"/>
          <w:trHeight w:val="484" w:hRule="atLeast"/>
        </w:trPr>
        <w:tc>
          <w:tcPr>
            <w:tcW w:w="10467" w:type="dxa"/>
            <w:gridSpan w:val="12"/>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w:t>
            </w:r>
            <w:r>
              <w:rPr>
                <w:rFonts w:hint="eastAsia" w:ascii="宋体" w:hAnsi="宋体" w:cs="宋体"/>
                <w:color w:val="000000"/>
                <w:kern w:val="0"/>
                <w:sz w:val="32"/>
                <w:szCs w:val="32"/>
              </w:rPr>
              <w:t>（表35）</w:t>
            </w:r>
          </w:p>
        </w:tc>
      </w:tr>
      <w:tr>
        <w:tblPrEx>
          <w:tblCellMar>
            <w:top w:w="0" w:type="dxa"/>
            <w:left w:w="108" w:type="dxa"/>
            <w:bottom w:w="0" w:type="dxa"/>
            <w:right w:w="108" w:type="dxa"/>
          </w:tblCellMar>
        </w:tblPrEx>
        <w:trPr>
          <w:gridAfter w:val="1"/>
          <w:wAfter w:w="3755" w:type="dxa"/>
          <w:trHeight w:val="311" w:hRule="atLeast"/>
        </w:trPr>
        <w:tc>
          <w:tcPr>
            <w:tcW w:w="10467"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54"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3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67"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4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4"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138"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755" w:type="dxa"/>
          <w:trHeight w:val="370" w:hRule="atLeast"/>
        </w:trPr>
        <w:tc>
          <w:tcPr>
            <w:tcW w:w="267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95"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社区青年汇经费</w:t>
            </w:r>
          </w:p>
        </w:tc>
      </w:tr>
      <w:tr>
        <w:tblPrEx>
          <w:tblCellMar>
            <w:top w:w="0" w:type="dxa"/>
            <w:left w:w="108" w:type="dxa"/>
            <w:bottom w:w="0" w:type="dxa"/>
            <w:right w:w="108" w:type="dxa"/>
          </w:tblCellMar>
        </w:tblPrEx>
        <w:trPr>
          <w:gridAfter w:val="1"/>
          <w:wAfter w:w="3755" w:type="dxa"/>
          <w:trHeight w:val="370" w:hRule="atLeast"/>
        </w:trPr>
        <w:tc>
          <w:tcPr>
            <w:tcW w:w="267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38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462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17" name="直接箭头连接符 1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7462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XKAoLAQIAAPMDAAAOAAAAZHJzL2Uyb0RvYy54bWytU82O&#10;0zAQviPxDpbvNGklCh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hTnjCmQVD&#10;N37z/urHu083375+/3j18/pDsr98ZuQnsQaPFcWs7CYcV+g3ITHft8GkmTixfRb4cBJY7iMTtDmd&#10;Pp7Rz5kg37w8m5f5BorbaB8wPpfOsGTUHGMA1fVx5aylu3RhmlWG3QuMlJ8Cfwek1NqyoeZnYwag&#10;3mypJyiZ8cQPbZdj0WnVXCitUwSGbrvSge0g9Uf+EkvC/etYSrIG7Mdz2TV2Ti+heWYbFg+ehLP0&#10;YHgqwciGMy3pfSWLAKGKoPR9TlJqbamCJPQobbK2rjlkxfM+9UKu8di3qdn+XOfo2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1ygKC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1南苑乡人民政府177000</w:t>
            </w:r>
          </w:p>
        </w:tc>
        <w:tc>
          <w:tcPr>
            <w:tcW w:w="1184"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28"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南苑乡团委</w:t>
            </w:r>
          </w:p>
        </w:tc>
      </w:tr>
      <w:tr>
        <w:tblPrEx>
          <w:tblCellMar>
            <w:top w:w="0" w:type="dxa"/>
            <w:left w:w="108" w:type="dxa"/>
            <w:bottom w:w="0" w:type="dxa"/>
            <w:right w:w="108" w:type="dxa"/>
          </w:tblCellMar>
        </w:tblPrEx>
        <w:trPr>
          <w:gridAfter w:val="1"/>
          <w:wAfter w:w="3755" w:type="dxa"/>
          <w:trHeight w:val="919" w:hRule="atLeast"/>
        </w:trPr>
        <w:tc>
          <w:tcPr>
            <w:tcW w:w="2672"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3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55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184"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5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38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755" w:type="dxa"/>
          <w:trHeight w:val="310" w:hRule="atLeast"/>
        </w:trPr>
        <w:tc>
          <w:tcPr>
            <w:tcW w:w="267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3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55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30000</w:t>
            </w:r>
          </w:p>
        </w:tc>
        <w:tc>
          <w:tcPr>
            <w:tcW w:w="11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29890</w:t>
            </w:r>
          </w:p>
        </w:tc>
        <w:tc>
          <w:tcPr>
            <w:tcW w:w="85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　</w:t>
            </w:r>
          </w:p>
        </w:tc>
        <w:tc>
          <w:tcPr>
            <w:tcW w:w="13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9.9</w:t>
            </w:r>
          </w:p>
        </w:tc>
      </w:tr>
      <w:tr>
        <w:tblPrEx>
          <w:tblCellMar>
            <w:top w:w="0" w:type="dxa"/>
            <w:left w:w="108" w:type="dxa"/>
            <w:bottom w:w="0" w:type="dxa"/>
            <w:right w:w="108" w:type="dxa"/>
          </w:tblCellMar>
        </w:tblPrEx>
        <w:trPr>
          <w:gridAfter w:val="1"/>
          <w:wAfter w:w="3755" w:type="dxa"/>
          <w:trHeight w:val="280" w:hRule="atLeast"/>
        </w:trPr>
        <w:tc>
          <w:tcPr>
            <w:tcW w:w="267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3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55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30000</w:t>
            </w:r>
          </w:p>
        </w:tc>
        <w:tc>
          <w:tcPr>
            <w:tcW w:w="11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29890</w:t>
            </w:r>
          </w:p>
        </w:tc>
        <w:tc>
          <w:tcPr>
            <w:tcW w:w="85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99.6%　</w:t>
            </w:r>
          </w:p>
        </w:tc>
        <w:tc>
          <w:tcPr>
            <w:tcW w:w="13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9.9</w:t>
            </w:r>
          </w:p>
        </w:tc>
      </w:tr>
      <w:tr>
        <w:tblPrEx>
          <w:tblCellMar>
            <w:top w:w="0" w:type="dxa"/>
            <w:left w:w="108" w:type="dxa"/>
            <w:bottom w:w="0" w:type="dxa"/>
            <w:right w:w="108" w:type="dxa"/>
          </w:tblCellMar>
        </w:tblPrEx>
        <w:trPr>
          <w:gridAfter w:val="1"/>
          <w:wAfter w:w="3755" w:type="dxa"/>
          <w:trHeight w:val="235" w:hRule="atLeast"/>
        </w:trPr>
        <w:tc>
          <w:tcPr>
            <w:tcW w:w="267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3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55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84"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754" w:type="dxa"/>
          <w:trHeight w:val="1172" w:hRule="atLeast"/>
        </w:trPr>
        <w:tc>
          <w:tcPr>
            <w:tcW w:w="23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20"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ascii="宋体" w:hAnsi="宋体" w:cs="宋体"/>
                <w:color w:val="000000"/>
                <w:kern w:val="0"/>
                <w:sz w:val="24"/>
              </w:rPr>
            </w:pPr>
            <w:r>
              <w:rPr>
                <w:rFonts w:hint="eastAsia" w:ascii="宋体" w:hAnsi="宋体" w:cs="宋体"/>
                <w:color w:val="000000"/>
                <w:kern w:val="0"/>
                <w:sz w:val="24"/>
              </w:rPr>
              <w:t>通过组织开展形式多样的活动，吸引青少年参与,进一步凝聚社区青年，培养青年与社区的亲密度，提升青年对社区的归属感，共同构建“一个好玩儿的俱乐部，一个靠谱儿的朋友圈”。</w:t>
            </w:r>
          </w:p>
        </w:tc>
        <w:tc>
          <w:tcPr>
            <w:tcW w:w="4412" w:type="dxa"/>
            <w:gridSpan w:val="7"/>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Cs w:val="21"/>
              </w:rPr>
            </w:pPr>
            <w:r>
              <w:rPr>
                <w:rFonts w:hint="eastAsia" w:ascii="宋体" w:hAnsi="宋体" w:cs="宋体"/>
                <w:color w:val="000000"/>
                <w:kern w:val="0"/>
                <w:szCs w:val="21"/>
              </w:rPr>
              <w:t>1.加强社区青年传统文化教育；</w:t>
            </w:r>
          </w:p>
          <w:p>
            <w:pPr>
              <w:widowControl/>
              <w:jc w:val="left"/>
              <w:rPr>
                <w:rFonts w:ascii="宋体" w:hAnsi="宋体" w:cs="宋体"/>
                <w:color w:val="000000"/>
                <w:kern w:val="0"/>
                <w:szCs w:val="21"/>
              </w:rPr>
            </w:pPr>
            <w:r>
              <w:rPr>
                <w:rFonts w:hint="eastAsia" w:ascii="宋体" w:hAnsi="宋体" w:cs="宋体"/>
                <w:color w:val="000000"/>
                <w:kern w:val="0"/>
                <w:szCs w:val="21"/>
              </w:rPr>
              <w:t>2.增强社区青年爱国主义教育；</w:t>
            </w:r>
          </w:p>
          <w:p>
            <w:pPr>
              <w:widowControl/>
              <w:jc w:val="left"/>
              <w:rPr>
                <w:rFonts w:ascii="宋体" w:hAnsi="宋体" w:cs="宋体"/>
                <w:color w:val="000000"/>
                <w:kern w:val="0"/>
                <w:szCs w:val="21"/>
              </w:rPr>
            </w:pPr>
            <w:r>
              <w:rPr>
                <w:rFonts w:hint="eastAsia" w:ascii="宋体" w:hAnsi="宋体" w:cs="宋体"/>
                <w:color w:val="000000"/>
                <w:kern w:val="0"/>
                <w:szCs w:val="21"/>
              </w:rPr>
              <w:t>3.提升青年对社区的认同感和归属感。</w:t>
            </w:r>
          </w:p>
        </w:tc>
      </w:tr>
      <w:tr>
        <w:tblPrEx>
          <w:tblCellMar>
            <w:top w:w="0" w:type="dxa"/>
            <w:left w:w="108" w:type="dxa"/>
            <w:bottom w:w="0" w:type="dxa"/>
            <w:right w:w="108" w:type="dxa"/>
          </w:tblCellMar>
        </w:tblPrEx>
        <w:trPr>
          <w:gridAfter w:val="1"/>
          <w:wAfter w:w="3754" w:type="dxa"/>
          <w:trHeight w:val="314" w:hRule="atLeast"/>
        </w:trPr>
        <w:tc>
          <w:tcPr>
            <w:tcW w:w="23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5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18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3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754" w:type="dxa"/>
          <w:trHeight w:val="107" w:hRule="atLeast"/>
        </w:trPr>
        <w:tc>
          <w:tcPr>
            <w:tcW w:w="2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w:t>
            </w:r>
          </w:p>
        </w:tc>
        <w:tc>
          <w:tcPr>
            <w:tcW w:w="125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18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数量指标</w:t>
            </w:r>
          </w:p>
        </w:tc>
        <w:tc>
          <w:tcPr>
            <w:tcW w:w="1833" w:type="dxa"/>
            <w:tcBorders>
              <w:top w:val="single" w:color="auto" w:sz="4" w:space="0"/>
              <w:left w:val="nil"/>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活动场次不少于20场　</w:t>
            </w:r>
          </w:p>
        </w:tc>
        <w:tc>
          <w:tcPr>
            <w:tcW w:w="1550" w:type="dxa"/>
            <w:tcBorders>
              <w:top w:val="single" w:color="auto" w:sz="4" w:space="0"/>
              <w:left w:val="nil"/>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开展29场</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20</w:t>
            </w:r>
          </w:p>
        </w:tc>
        <w:tc>
          <w:tcPr>
            <w:tcW w:w="237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3754" w:type="dxa"/>
          <w:trHeight w:val="631" w:hRule="atLeast"/>
        </w:trPr>
        <w:tc>
          <w:tcPr>
            <w:tcW w:w="2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8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质量指标</w:t>
            </w:r>
          </w:p>
        </w:tc>
        <w:tc>
          <w:tcPr>
            <w:tcW w:w="1833"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社区青年覆盖率90%</w:t>
            </w:r>
          </w:p>
        </w:tc>
        <w:tc>
          <w:tcPr>
            <w:tcW w:w="15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覆盖95%</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3754" w:type="dxa"/>
          <w:trHeight w:val="90" w:hRule="atLeast"/>
        </w:trPr>
        <w:tc>
          <w:tcPr>
            <w:tcW w:w="2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8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进度指标</w:t>
            </w:r>
          </w:p>
        </w:tc>
        <w:tc>
          <w:tcPr>
            <w:tcW w:w="183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12月前完成</w:t>
            </w:r>
          </w:p>
        </w:tc>
        <w:tc>
          <w:tcPr>
            <w:tcW w:w="155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12月完成</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3754" w:type="dxa"/>
          <w:trHeight w:val="257" w:hRule="atLeast"/>
        </w:trPr>
        <w:tc>
          <w:tcPr>
            <w:tcW w:w="23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5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18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kern w:val="0"/>
                <w:szCs w:val="21"/>
              </w:rPr>
              <w:t>成本指标</w:t>
            </w:r>
          </w:p>
        </w:tc>
        <w:tc>
          <w:tcPr>
            <w:tcW w:w="183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项目预算控制数3万元</w:t>
            </w:r>
          </w:p>
        </w:tc>
        <w:tc>
          <w:tcPr>
            <w:tcW w:w="155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29890元，完成99.6%</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Cs w:val="21"/>
              </w:rPr>
            </w:pPr>
            <w:r>
              <w:rPr>
                <w:rFonts w:hint="eastAsia" w:ascii="宋体" w:hAnsi="宋体" w:cs="宋体"/>
                <w:color w:val="000000"/>
                <w:kern w:val="0"/>
                <w:szCs w:val="21"/>
              </w:rPr>
              <w:t>10</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Cs w:val="21"/>
              </w:rPr>
            </w:pPr>
          </w:p>
        </w:tc>
      </w:tr>
      <w:tr>
        <w:tblPrEx>
          <w:tblCellMar>
            <w:top w:w="0" w:type="dxa"/>
            <w:left w:w="108" w:type="dxa"/>
            <w:bottom w:w="0" w:type="dxa"/>
            <w:right w:w="108" w:type="dxa"/>
          </w:tblCellMar>
        </w:tblPrEx>
        <w:trPr>
          <w:gridAfter w:val="1"/>
          <w:wAfter w:w="3754" w:type="dxa"/>
          <w:trHeight w:val="274" w:hRule="atLeast"/>
        </w:trPr>
        <w:tc>
          <w:tcPr>
            <w:tcW w:w="23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5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18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效益指标</w:t>
            </w:r>
          </w:p>
        </w:tc>
        <w:tc>
          <w:tcPr>
            <w:tcW w:w="183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Cs w:val="21"/>
              </w:rPr>
              <w:t>增强青年与社区的密切联系</w:t>
            </w:r>
          </w:p>
        </w:tc>
        <w:tc>
          <w:tcPr>
            <w:tcW w:w="155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Cs w:val="21"/>
              </w:rPr>
              <w:t>达到预期目标</w:t>
            </w:r>
            <w:r>
              <w:rPr>
                <w:rFonts w:hint="eastAsia" w:ascii="宋体" w:hAnsi="宋体" w:cs="宋体"/>
                <w:color w:val="000000"/>
                <w:kern w:val="0"/>
                <w:sz w:val="24"/>
              </w:rPr>
              <w:t>　</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19.5</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754" w:type="dxa"/>
          <w:trHeight w:val="426" w:hRule="atLeast"/>
        </w:trPr>
        <w:tc>
          <w:tcPr>
            <w:tcW w:w="23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5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18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服务对象</w:t>
            </w:r>
          </w:p>
          <w:p>
            <w:pPr>
              <w:widowControl/>
              <w:jc w:val="center"/>
              <w:rPr>
                <w:rFonts w:ascii="宋体" w:hAnsi="宋体" w:cs="宋体"/>
                <w:kern w:val="0"/>
                <w:szCs w:val="21"/>
              </w:rPr>
            </w:pPr>
            <w:r>
              <w:rPr>
                <w:rFonts w:hint="eastAsia" w:ascii="宋体" w:hAnsi="宋体" w:cs="宋体"/>
                <w:kern w:val="0"/>
                <w:szCs w:val="21"/>
              </w:rPr>
              <w:t>满意度指标</w:t>
            </w:r>
          </w:p>
        </w:tc>
        <w:tc>
          <w:tcPr>
            <w:tcW w:w="183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Cs w:val="21"/>
              </w:rPr>
              <w:t>活动得到青年好评</w:t>
            </w:r>
          </w:p>
        </w:tc>
        <w:tc>
          <w:tcPr>
            <w:tcW w:w="155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好评率达95%</w:t>
            </w:r>
            <w:r>
              <w:rPr>
                <w:rFonts w:hint="eastAsia" w:ascii="宋体" w:hAnsi="宋体" w:cs="宋体"/>
                <w:color w:val="000000"/>
                <w:kern w:val="0"/>
                <w:sz w:val="24"/>
              </w:rPr>
              <w:t>　</w:t>
            </w:r>
          </w:p>
        </w:tc>
        <w:tc>
          <w:tcPr>
            <w:tcW w:w="11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85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19.5</w:t>
            </w:r>
          </w:p>
        </w:tc>
        <w:tc>
          <w:tcPr>
            <w:tcW w:w="237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755" w:type="dxa"/>
          <w:trHeight w:val="353" w:hRule="atLeast"/>
        </w:trPr>
        <w:tc>
          <w:tcPr>
            <w:tcW w:w="8089"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总分：98.9</w:t>
            </w:r>
          </w:p>
        </w:tc>
        <w:tc>
          <w:tcPr>
            <w:tcW w:w="237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pPr>
    </w:p>
    <w:p>
      <w:pPr>
        <w:pStyle w:val="2"/>
        <w:sectPr>
          <w:pgSz w:w="11906" w:h="16838"/>
          <w:pgMar w:top="1519" w:right="703" w:bottom="1519" w:left="986" w:header="851" w:footer="992" w:gutter="0"/>
          <w:cols w:space="720" w:num="1"/>
          <w:docGrid w:type="lines" w:linePitch="312" w:charSpace="0"/>
        </w:sectPr>
      </w:pPr>
    </w:p>
    <w:tbl>
      <w:tblPr>
        <w:tblStyle w:val="14"/>
        <w:tblpPr w:leftFromText="180" w:rightFromText="180" w:horzAnchor="margin" w:tblpY="-1800"/>
        <w:tblW w:w="10715" w:type="dxa"/>
        <w:tblInd w:w="0" w:type="dxa"/>
        <w:tblLayout w:type="fixed"/>
        <w:tblCellMar>
          <w:top w:w="0" w:type="dxa"/>
          <w:left w:w="108" w:type="dxa"/>
          <w:bottom w:w="0" w:type="dxa"/>
          <w:right w:w="108" w:type="dxa"/>
        </w:tblCellMar>
      </w:tblPr>
      <w:tblGrid>
        <w:gridCol w:w="846"/>
        <w:gridCol w:w="1283"/>
        <w:gridCol w:w="1381"/>
        <w:gridCol w:w="59"/>
        <w:gridCol w:w="1719"/>
        <w:gridCol w:w="65"/>
        <w:gridCol w:w="1134"/>
        <w:gridCol w:w="1155"/>
        <w:gridCol w:w="121"/>
        <w:gridCol w:w="992"/>
        <w:gridCol w:w="992"/>
        <w:gridCol w:w="968"/>
      </w:tblGrid>
      <w:tr>
        <w:tblPrEx>
          <w:tblCellMar>
            <w:top w:w="0" w:type="dxa"/>
            <w:left w:w="108" w:type="dxa"/>
            <w:bottom w:w="0" w:type="dxa"/>
            <w:right w:w="108" w:type="dxa"/>
          </w:tblCellMar>
        </w:tblPrEx>
        <w:trPr>
          <w:trHeight w:val="484" w:hRule="atLeast"/>
        </w:trPr>
        <w:tc>
          <w:tcPr>
            <w:tcW w:w="10715" w:type="dxa"/>
            <w:gridSpan w:val="12"/>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南苑乡第二批自评表</w:t>
            </w: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0715"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205"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2019年基层体育经费</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2952"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96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25.07</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968"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25.07</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968"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通过组织开展形式多样的体育活动，加强</w:t>
            </w:r>
            <w:r>
              <w:rPr>
                <w:rFonts w:ascii="宋体" w:hAnsi="宋体" w:cs="宋体"/>
                <w:color w:val="000000"/>
                <w:kern w:val="0"/>
                <w:sz w:val="24"/>
              </w:rPr>
              <w:t>宣传</w:t>
            </w:r>
            <w:r>
              <w:rPr>
                <w:rFonts w:hint="eastAsia" w:ascii="宋体" w:hAnsi="宋体" w:cs="宋体"/>
                <w:color w:val="000000"/>
                <w:kern w:val="0"/>
                <w:sz w:val="24"/>
              </w:rPr>
              <w:t>力度</w:t>
            </w:r>
            <w:r>
              <w:rPr>
                <w:rFonts w:ascii="宋体" w:hAnsi="宋体" w:cs="宋体"/>
                <w:color w:val="000000"/>
                <w:kern w:val="0"/>
                <w:sz w:val="24"/>
              </w:rPr>
              <w:t>，</w:t>
            </w:r>
            <w:r>
              <w:rPr>
                <w:rFonts w:hint="eastAsia" w:ascii="宋体" w:hAnsi="宋体" w:cs="宋体"/>
                <w:color w:val="000000"/>
                <w:kern w:val="0"/>
                <w:sz w:val="24"/>
              </w:rPr>
              <w:t>开展南苑乡</w:t>
            </w:r>
            <w:r>
              <w:rPr>
                <w:rFonts w:ascii="宋体" w:hAnsi="宋体" w:cs="宋体"/>
                <w:color w:val="000000"/>
                <w:kern w:val="0"/>
                <w:sz w:val="24"/>
              </w:rPr>
              <w:t>全民健身工作</w:t>
            </w:r>
            <w:r>
              <w:rPr>
                <w:rFonts w:hint="eastAsia" w:ascii="宋体" w:hAnsi="宋体" w:cs="宋体"/>
                <w:color w:val="000000"/>
                <w:kern w:val="0"/>
                <w:sz w:val="24"/>
              </w:rPr>
              <w:t>,提高全乡体育</w:t>
            </w:r>
            <w:r>
              <w:rPr>
                <w:rFonts w:ascii="宋体" w:hAnsi="宋体" w:cs="宋体"/>
                <w:color w:val="000000"/>
                <w:kern w:val="0"/>
                <w:sz w:val="24"/>
              </w:rPr>
              <w:t>水平</w:t>
            </w:r>
            <w:r>
              <w:rPr>
                <w:rFonts w:hint="eastAsia" w:ascii="宋体" w:hAnsi="宋体" w:cs="宋体"/>
                <w:color w:val="000000"/>
                <w:kern w:val="0"/>
                <w:sz w:val="24"/>
              </w:rPr>
              <w:t>。</w:t>
            </w:r>
          </w:p>
        </w:tc>
        <w:tc>
          <w:tcPr>
            <w:tcW w:w="4228"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w:t>
            </w:r>
            <w:r>
              <w:rPr>
                <w:rFonts w:hint="eastAsia" w:ascii="宋体" w:hAnsi="宋体" w:cs="宋体"/>
                <w:color w:val="000000"/>
                <w:kern w:val="0"/>
                <w:sz w:val="24"/>
              </w:rPr>
              <w:t>开展全民体育活动，丰富群众体育供给</w:t>
            </w:r>
            <w:r>
              <w:rPr>
                <w:rFonts w:ascii="宋体" w:hAnsi="宋体" w:cs="宋体"/>
                <w:color w:val="000000"/>
                <w:kern w:val="0"/>
                <w:sz w:val="24"/>
              </w:rPr>
              <w:t>。</w:t>
            </w:r>
          </w:p>
          <w:p>
            <w:pPr>
              <w:widowControl/>
              <w:rPr>
                <w:rFonts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.加强宣传力度，带领群众广泛参与。</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4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1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40"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71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参加上级</w:t>
            </w:r>
            <w:r>
              <w:rPr>
                <w:rFonts w:ascii="宋体" w:hAnsi="宋体"/>
                <w:sz w:val="24"/>
              </w:rPr>
              <w:t>比赛活动</w:t>
            </w:r>
            <w:r>
              <w:rPr>
                <w:rFonts w:hint="eastAsia" w:ascii="宋体" w:hAnsi="宋体"/>
                <w:sz w:val="24"/>
              </w:rPr>
              <w:t>20场</w:t>
            </w:r>
            <w:r>
              <w:rPr>
                <w:rFonts w:ascii="宋体" w:hAnsi="宋体"/>
                <w:sz w:val="24"/>
              </w:rPr>
              <w:t>，</w:t>
            </w:r>
            <w:r>
              <w:rPr>
                <w:rFonts w:hint="eastAsia" w:ascii="宋体" w:hAnsi="宋体"/>
                <w:sz w:val="24"/>
              </w:rPr>
              <w:t>每季度进行</w:t>
            </w:r>
            <w:r>
              <w:rPr>
                <w:rFonts w:ascii="宋体" w:hAnsi="宋体"/>
                <w:sz w:val="24"/>
              </w:rPr>
              <w:t>一次宣传栏更新</w:t>
            </w:r>
            <w:r>
              <w:rPr>
                <w:rFonts w:hint="eastAsia" w:ascii="宋体" w:hAnsi="宋体"/>
                <w:sz w:val="24"/>
              </w:rPr>
              <w:t>。</w:t>
            </w:r>
            <w:r>
              <w:rPr>
                <w:rFonts w:ascii="宋体" w:hAnsi="宋体" w:cs="宋体"/>
                <w:color w:val="000000"/>
                <w:kern w:val="0"/>
                <w:sz w:val="24"/>
              </w:rPr>
              <w:t xml:space="preserve"> </w:t>
            </w:r>
          </w:p>
        </w:tc>
        <w:tc>
          <w:tcPr>
            <w:tcW w:w="1199"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960"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71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活动参与度≥</w:t>
            </w:r>
            <w:r>
              <w:rPr>
                <w:rFonts w:ascii="宋体" w:hAnsi="宋体"/>
                <w:sz w:val="24"/>
              </w:rPr>
              <w:t>100</w:t>
            </w:r>
            <w:r>
              <w:rPr>
                <w:rFonts w:hint="eastAsia" w:ascii="宋体" w:hAnsi="宋体"/>
                <w:sz w:val="24"/>
              </w:rPr>
              <w:t xml:space="preserve">%； </w:t>
            </w:r>
          </w:p>
        </w:tc>
        <w:tc>
          <w:tcPr>
            <w:tcW w:w="1199"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71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工作</w:t>
            </w:r>
            <w:r>
              <w:rPr>
                <w:rFonts w:ascii="宋体" w:hAnsi="宋体"/>
                <w:sz w:val="24"/>
              </w:rPr>
              <w:t>12</w:t>
            </w:r>
            <w:r>
              <w:rPr>
                <w:rFonts w:hint="eastAsia" w:ascii="宋体" w:hAnsi="宋体"/>
                <w:sz w:val="24"/>
              </w:rPr>
              <w:t>月前完成</w:t>
            </w:r>
          </w:p>
        </w:tc>
        <w:tc>
          <w:tcPr>
            <w:tcW w:w="119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71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25.07</w:t>
            </w:r>
            <w:r>
              <w:rPr>
                <w:rFonts w:hint="eastAsia" w:ascii="宋体" w:hAnsi="宋体"/>
                <w:sz w:val="24"/>
              </w:rPr>
              <w:t>万元</w:t>
            </w:r>
          </w:p>
        </w:tc>
        <w:tc>
          <w:tcPr>
            <w:tcW w:w="119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4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719" w:type="dxa"/>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丰富地区人民体育生活，传达健康生活理念</w:t>
            </w:r>
          </w:p>
        </w:tc>
        <w:tc>
          <w:tcPr>
            <w:tcW w:w="119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18</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活动形式有待丰富</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71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组织管理体育活动质量得到好评</w:t>
            </w:r>
          </w:p>
        </w:tc>
        <w:tc>
          <w:tcPr>
            <w:tcW w:w="119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好评率90%以上</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19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w:t>
            </w:r>
            <w:r>
              <w:rPr>
                <w:rFonts w:ascii="宋体" w:hAnsi="宋体" w:cs="宋体"/>
                <w:b/>
                <w:bCs/>
                <w:color w:val="000000"/>
                <w:kern w:val="0"/>
                <w:sz w:val="24"/>
              </w:rPr>
              <w:t>9</w:t>
            </w:r>
            <w:r>
              <w:rPr>
                <w:rFonts w:hint="eastAsia" w:ascii="宋体" w:hAnsi="宋体" w:cs="宋体"/>
                <w:b/>
                <w:bCs/>
                <w:color w:val="000000"/>
                <w:kern w:val="0"/>
                <w:sz w:val="24"/>
              </w:rPr>
              <w:t>3</w:t>
            </w:r>
          </w:p>
        </w:tc>
        <w:tc>
          <w:tcPr>
            <w:tcW w:w="1960"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896" w:header="851" w:footer="992" w:gutter="0"/>
          <w:cols w:space="425" w:num="1"/>
          <w:docGrid w:type="line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电影公益放映补贴</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4.9</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4.9</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通过组织开展电影公益</w:t>
            </w:r>
            <w:r>
              <w:rPr>
                <w:rFonts w:ascii="宋体" w:hAnsi="宋体" w:cs="宋体"/>
                <w:color w:val="000000"/>
                <w:kern w:val="0"/>
                <w:sz w:val="24"/>
              </w:rPr>
              <w:t>放映活动</w:t>
            </w:r>
            <w:r>
              <w:rPr>
                <w:rFonts w:hint="eastAsia" w:ascii="宋体" w:hAnsi="宋体" w:cs="宋体"/>
                <w:color w:val="000000"/>
                <w:kern w:val="0"/>
                <w:sz w:val="24"/>
              </w:rPr>
              <w:t>，满足群众</w:t>
            </w:r>
            <w:r>
              <w:rPr>
                <w:rFonts w:ascii="宋体" w:hAnsi="宋体" w:cs="宋体"/>
                <w:color w:val="000000"/>
                <w:kern w:val="0"/>
                <w:sz w:val="24"/>
              </w:rPr>
              <w:t>文化需求</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年度总体目标完成情况综述：1</w:t>
            </w:r>
            <w:r>
              <w:rPr>
                <w:rFonts w:ascii="宋体" w:hAnsi="宋体" w:cs="宋体"/>
                <w:color w:val="000000"/>
                <w:kern w:val="0"/>
                <w:sz w:val="24"/>
              </w:rPr>
              <w:t>.</w:t>
            </w:r>
            <w:r>
              <w:rPr>
                <w:rFonts w:hint="eastAsia" w:ascii="宋体" w:hAnsi="宋体" w:cs="宋体"/>
                <w:color w:val="000000"/>
                <w:kern w:val="0"/>
                <w:sz w:val="24"/>
              </w:rPr>
              <w:t>完成电影</w:t>
            </w:r>
            <w:r>
              <w:rPr>
                <w:rFonts w:ascii="宋体" w:hAnsi="宋体" w:cs="宋体"/>
                <w:color w:val="000000"/>
                <w:kern w:val="0"/>
                <w:sz w:val="24"/>
              </w:rPr>
              <w:t>放映65</w:t>
            </w:r>
            <w:r>
              <w:rPr>
                <w:rFonts w:hint="eastAsia" w:ascii="宋体" w:hAnsi="宋体" w:cs="宋体"/>
                <w:color w:val="000000"/>
                <w:kern w:val="0"/>
                <w:sz w:val="24"/>
              </w:rPr>
              <w:t>0场</w:t>
            </w:r>
            <w:r>
              <w:rPr>
                <w:rFonts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完成电影</w:t>
            </w:r>
            <w:r>
              <w:rPr>
                <w:rFonts w:ascii="宋体" w:hAnsi="宋体" w:cs="宋体"/>
                <w:color w:val="000000"/>
                <w:kern w:val="0"/>
                <w:sz w:val="24"/>
              </w:rPr>
              <w:t>放映65</w:t>
            </w:r>
            <w:r>
              <w:rPr>
                <w:rFonts w:hint="eastAsia" w:ascii="宋体" w:hAnsi="宋体" w:cs="宋体"/>
                <w:color w:val="000000"/>
                <w:kern w:val="0"/>
                <w:sz w:val="24"/>
              </w:rPr>
              <w:t>0场</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村公益</w:t>
            </w:r>
            <w:r>
              <w:rPr>
                <w:rFonts w:ascii="宋体" w:hAnsi="宋体"/>
                <w:sz w:val="24"/>
              </w:rPr>
              <w:t>放映覆盖</w:t>
            </w:r>
            <w:r>
              <w:rPr>
                <w:rFonts w:hint="eastAsia" w:ascii="宋体" w:hAnsi="宋体"/>
                <w:sz w:val="24"/>
              </w:rPr>
              <w:t>率≥9</w:t>
            </w:r>
            <w:r>
              <w:rPr>
                <w:rFonts w:ascii="宋体" w:hAnsi="宋体"/>
                <w:sz w:val="24"/>
              </w:rPr>
              <w:t>0</w:t>
            </w:r>
            <w:r>
              <w:rPr>
                <w:rFonts w:hint="eastAsia" w:ascii="宋体" w:hAnsi="宋体"/>
                <w:sz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覆盖单位实现全覆盖，人员未实现全覆盖</w:t>
            </w: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4.9</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4.9</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丰富群众精神文化生活</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影片种类有限，部分群众兴趣不高</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公益电影</w:t>
            </w:r>
            <w:r>
              <w:rPr>
                <w:rFonts w:ascii="宋体" w:hAnsi="宋体"/>
                <w:sz w:val="24"/>
              </w:rPr>
              <w:t>放映活动</w:t>
            </w:r>
            <w:r>
              <w:rPr>
                <w:rFonts w:hint="eastAsia" w:ascii="宋体" w:hAnsi="宋体"/>
                <w:sz w:val="24"/>
              </w:rPr>
              <w:t>质量得到村民好评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234"/>
        <w:gridCol w:w="1467"/>
        <w:gridCol w:w="142"/>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基层文化活动</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12.5</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12.49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99%</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12.5</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12.49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99%</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强化</w:t>
            </w:r>
            <w:r>
              <w:rPr>
                <w:rFonts w:ascii="宋体" w:hAnsi="宋体" w:cs="宋体"/>
                <w:color w:val="000000"/>
                <w:kern w:val="0"/>
                <w:sz w:val="24"/>
              </w:rPr>
              <w:t>文化队伍建设，</w:t>
            </w:r>
            <w:r>
              <w:rPr>
                <w:rFonts w:hint="eastAsia" w:ascii="宋体" w:hAnsi="宋体" w:cs="宋体"/>
                <w:color w:val="000000"/>
                <w:kern w:val="0"/>
                <w:sz w:val="24"/>
              </w:rPr>
              <w:t>挖掘文化</w:t>
            </w:r>
            <w:r>
              <w:rPr>
                <w:rFonts w:ascii="宋体" w:hAnsi="宋体" w:cs="宋体"/>
                <w:color w:val="000000"/>
                <w:kern w:val="0"/>
                <w:sz w:val="24"/>
              </w:rPr>
              <w:t>遗产，</w:t>
            </w:r>
            <w:r>
              <w:rPr>
                <w:rFonts w:hint="eastAsia" w:ascii="宋体" w:hAnsi="宋体" w:cs="宋体"/>
                <w:color w:val="000000"/>
                <w:kern w:val="0"/>
                <w:sz w:val="24"/>
              </w:rPr>
              <w:t>开展丰富</w:t>
            </w:r>
            <w:r>
              <w:rPr>
                <w:rFonts w:ascii="宋体" w:hAnsi="宋体" w:cs="宋体"/>
                <w:color w:val="000000"/>
                <w:kern w:val="0"/>
                <w:sz w:val="24"/>
              </w:rPr>
              <w:t>的</w:t>
            </w:r>
            <w:r>
              <w:rPr>
                <w:rFonts w:hint="eastAsia" w:ascii="宋体" w:hAnsi="宋体" w:cs="宋体"/>
                <w:color w:val="000000"/>
                <w:kern w:val="0"/>
                <w:sz w:val="24"/>
              </w:rPr>
              <w:t>文化活动，以群众需求为导向，丰富群众文化需求。</w:t>
            </w:r>
            <w:r>
              <w:rPr>
                <w:rFonts w:ascii="宋体" w:hAnsi="宋体" w:cs="宋体"/>
                <w:color w:val="000000"/>
                <w:kern w:val="0"/>
                <w:sz w:val="24"/>
              </w:rPr>
              <w:t xml:space="preserve"> </w:t>
            </w:r>
          </w:p>
        </w:tc>
        <w:tc>
          <w:tcPr>
            <w:tcW w:w="4536"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年度总体目标完成情况综述：1</w:t>
            </w:r>
            <w:r>
              <w:rPr>
                <w:rFonts w:ascii="宋体" w:hAnsi="宋体" w:cs="宋体"/>
                <w:color w:val="000000"/>
                <w:kern w:val="0"/>
                <w:sz w:val="24"/>
              </w:rPr>
              <w:t>.</w:t>
            </w:r>
            <w:r>
              <w:rPr>
                <w:rFonts w:hint="eastAsia" w:ascii="宋体" w:hAnsi="宋体" w:cs="宋体"/>
                <w:color w:val="000000"/>
                <w:kern w:val="0"/>
                <w:sz w:val="24"/>
              </w:rPr>
              <w:t>推进文化设施监管，提高惠民服务水平。</w:t>
            </w:r>
          </w:p>
          <w:p>
            <w:pPr>
              <w:widowControl/>
              <w:jc w:val="center"/>
              <w:rPr>
                <w:rFonts w:ascii="宋体" w:hAnsi="宋体" w:cs="宋体"/>
                <w:color w:val="000000"/>
                <w:kern w:val="0"/>
                <w:sz w:val="24"/>
              </w:rPr>
            </w:pPr>
            <w:r>
              <w:rPr>
                <w:rFonts w:hint="eastAsia" w:ascii="宋体" w:hAnsi="宋体" w:cs="宋体"/>
                <w:color w:val="000000"/>
                <w:kern w:val="0"/>
                <w:sz w:val="24"/>
              </w:rPr>
              <w:t>2.开展文化惠民活动，丰富群众文化供给</w:t>
            </w:r>
            <w:r>
              <w:rPr>
                <w:rFonts w:ascii="宋体" w:hAnsi="宋体" w:cs="宋体"/>
                <w:color w:val="000000"/>
                <w:kern w:val="0"/>
                <w:sz w:val="24"/>
              </w:rPr>
              <w:t>。</w:t>
            </w:r>
          </w:p>
          <w:p>
            <w:pPr>
              <w:widowControl/>
              <w:jc w:val="center"/>
              <w:rPr>
                <w:rFonts w:ascii="宋体" w:hAnsi="宋体" w:cs="宋体"/>
                <w:color w:val="000000"/>
                <w:kern w:val="0"/>
                <w:sz w:val="24"/>
              </w:rPr>
            </w:pPr>
            <w:r>
              <w:rPr>
                <w:rFonts w:hint="eastAsia" w:ascii="宋体" w:hAnsi="宋体" w:cs="宋体"/>
                <w:color w:val="000000"/>
                <w:kern w:val="0"/>
                <w:sz w:val="24"/>
              </w:rPr>
              <w:t>3.加强文化遗产保护，做好历史文化传承。</w:t>
            </w:r>
          </w:p>
          <w:p>
            <w:pPr>
              <w:widowControl/>
              <w:jc w:val="center"/>
              <w:rPr>
                <w:rFonts w:ascii="宋体" w:hAnsi="宋体" w:cs="宋体"/>
                <w:color w:val="000000"/>
                <w:kern w:val="0"/>
                <w:sz w:val="24"/>
              </w:rPr>
            </w:pPr>
            <w:r>
              <w:rPr>
                <w:rFonts w:hint="eastAsia" w:ascii="宋体" w:hAnsi="宋体" w:cs="宋体"/>
                <w:color w:val="000000"/>
                <w:kern w:val="0"/>
                <w:sz w:val="24"/>
              </w:rPr>
              <w:t>4</w:t>
            </w:r>
            <w:r>
              <w:rPr>
                <w:rFonts w:ascii="宋体" w:hAnsi="宋体" w:cs="宋体"/>
                <w:color w:val="000000"/>
                <w:kern w:val="0"/>
                <w:sz w:val="24"/>
              </w:rPr>
              <w:t>.</w:t>
            </w:r>
            <w:r>
              <w:rPr>
                <w:rFonts w:hint="eastAsia" w:ascii="宋体" w:hAnsi="宋体" w:cs="宋体"/>
                <w:color w:val="000000"/>
                <w:kern w:val="0"/>
                <w:sz w:val="24"/>
              </w:rPr>
              <w:t>强化文化骨干</w:t>
            </w:r>
            <w:r>
              <w:rPr>
                <w:rFonts w:ascii="宋体" w:hAnsi="宋体" w:cs="宋体"/>
                <w:color w:val="000000"/>
                <w:kern w:val="0"/>
                <w:sz w:val="24"/>
              </w:rPr>
              <w:t>培养</w:t>
            </w:r>
            <w:r>
              <w:rPr>
                <w:rFonts w:hint="eastAsia" w:ascii="宋体" w:hAnsi="宋体" w:cs="宋体"/>
                <w:color w:val="000000"/>
                <w:kern w:val="0"/>
                <w:sz w:val="24"/>
              </w:rPr>
              <w:t>，打造文化队伍。</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61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615"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467"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全年完成100课时</w:t>
            </w:r>
            <w:r>
              <w:rPr>
                <w:rFonts w:ascii="宋体" w:hAnsi="宋体"/>
                <w:sz w:val="24"/>
              </w:rPr>
              <w:t>的</w:t>
            </w:r>
            <w:r>
              <w:rPr>
                <w:rFonts w:hint="eastAsia" w:ascii="宋体" w:hAnsi="宋体"/>
                <w:sz w:val="24"/>
              </w:rPr>
              <w:t>培训</w:t>
            </w:r>
            <w:r>
              <w:rPr>
                <w:rFonts w:ascii="宋体" w:hAnsi="宋体"/>
                <w:sz w:val="24"/>
              </w:rPr>
              <w:t>课程</w:t>
            </w:r>
            <w:r>
              <w:rPr>
                <w:rFonts w:hint="eastAsia" w:ascii="宋体" w:hAnsi="宋体"/>
                <w:sz w:val="24"/>
              </w:rPr>
              <w:t>。</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4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培训参与度≥95%；培训合格率≥95%；</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培训</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46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12.5</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49万元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提高了文化组织</w:t>
            </w:r>
            <w:r>
              <w:rPr>
                <w:rFonts w:ascii="宋体" w:hAnsi="宋体"/>
                <w:sz w:val="24"/>
              </w:rPr>
              <w:t>员</w:t>
            </w:r>
            <w:r>
              <w:rPr>
                <w:rFonts w:hint="eastAsia" w:ascii="宋体" w:hAnsi="宋体"/>
                <w:sz w:val="24"/>
              </w:rPr>
              <w:t>业务能力和工作技能</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内容设置简单，文化惠民成果展示不足，活动形式不够丰富</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组织管理及培训质量得到学员好评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w:t>
            </w:r>
            <w:r>
              <w:rPr>
                <w:rFonts w:ascii="宋体" w:hAnsi="宋体"/>
                <w:sz w:val="24"/>
              </w:rPr>
              <w:t>98</w:t>
            </w:r>
            <w:r>
              <w:rPr>
                <w:rFonts w:hint="eastAsia" w:ascii="宋体" w:hAnsi="宋体"/>
                <w:sz w:val="24"/>
              </w:rPr>
              <w:t>%</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总分：86.8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585"/>
        <w:gridCol w:w="838"/>
        <w:gridCol w:w="894"/>
        <w:gridCol w:w="268"/>
        <w:gridCol w:w="812"/>
        <w:gridCol w:w="84"/>
        <w:gridCol w:w="752"/>
        <w:gridCol w:w="345"/>
        <w:gridCol w:w="236"/>
        <w:gridCol w:w="236"/>
        <w:gridCol w:w="52"/>
        <w:gridCol w:w="72"/>
        <w:gridCol w:w="670"/>
        <w:gridCol w:w="670"/>
        <w:gridCol w:w="834"/>
        <w:gridCol w:w="3675"/>
      </w:tblGrid>
      <w:tr>
        <w:tblPrEx>
          <w:tblCellMar>
            <w:top w:w="0" w:type="dxa"/>
            <w:left w:w="108" w:type="dxa"/>
            <w:bottom w:w="0" w:type="dxa"/>
            <w:right w:w="108" w:type="dxa"/>
          </w:tblCellMar>
        </w:tblPrEx>
        <w:trPr>
          <w:gridAfter w:val="1"/>
          <w:wAfter w:w="3809" w:type="dxa"/>
          <w:trHeight w:val="484"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32"/>
                <w:szCs w:val="32"/>
              </w:rPr>
            </w:pPr>
          </w:p>
        </w:tc>
      </w:tr>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三馆免费开放补助</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20</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19.98</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99%</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20</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19.98</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99%</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通过购置</w:t>
            </w:r>
            <w:r>
              <w:rPr>
                <w:rFonts w:ascii="宋体" w:hAnsi="宋体" w:cs="宋体"/>
                <w:color w:val="000000"/>
                <w:kern w:val="0"/>
                <w:sz w:val="24"/>
              </w:rPr>
              <w:t>书籍</w:t>
            </w:r>
            <w:r>
              <w:rPr>
                <w:rFonts w:hint="eastAsia" w:ascii="宋体" w:hAnsi="宋体" w:cs="宋体"/>
                <w:color w:val="000000"/>
                <w:kern w:val="0"/>
                <w:sz w:val="24"/>
              </w:rPr>
              <w:t>增加</w:t>
            </w:r>
            <w:r>
              <w:rPr>
                <w:rFonts w:ascii="宋体" w:hAnsi="宋体" w:cs="宋体"/>
                <w:color w:val="000000"/>
                <w:kern w:val="0"/>
                <w:sz w:val="24"/>
              </w:rPr>
              <w:t>图书馆藏书量，</w:t>
            </w:r>
            <w:r>
              <w:rPr>
                <w:rFonts w:hint="eastAsia" w:ascii="宋体" w:hAnsi="宋体" w:cs="宋体"/>
                <w:color w:val="000000"/>
                <w:kern w:val="0"/>
                <w:sz w:val="24"/>
              </w:rPr>
              <w:t>开展图书馆活动，提高全乡文化</w:t>
            </w:r>
            <w:r>
              <w:rPr>
                <w:rFonts w:ascii="宋体" w:hAnsi="宋体" w:cs="宋体"/>
                <w:color w:val="000000"/>
                <w:kern w:val="0"/>
                <w:sz w:val="24"/>
              </w:rPr>
              <w:t>水平</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w:t>
            </w:r>
            <w:r>
              <w:rPr>
                <w:rFonts w:hint="eastAsia" w:ascii="宋体" w:hAnsi="宋体" w:cs="宋体"/>
                <w:color w:val="000000"/>
                <w:kern w:val="0"/>
                <w:sz w:val="24"/>
              </w:rPr>
              <w:t>围绕我乡</w:t>
            </w:r>
            <w:r>
              <w:rPr>
                <w:rFonts w:ascii="宋体" w:hAnsi="宋体" w:cs="宋体"/>
                <w:color w:val="000000"/>
                <w:kern w:val="0"/>
                <w:sz w:val="24"/>
              </w:rPr>
              <w:t>历史开展文化活动</w:t>
            </w:r>
            <w:r>
              <w:rPr>
                <w:rFonts w:hint="eastAsia" w:ascii="宋体" w:hAnsi="宋体" w:cs="宋体"/>
                <w:color w:val="000000"/>
                <w:kern w:val="0"/>
                <w:sz w:val="24"/>
              </w:rPr>
              <w:t>。</w:t>
            </w:r>
          </w:p>
          <w:p>
            <w:pPr>
              <w:widowControl/>
              <w:jc w:val="left"/>
              <w:rPr>
                <w:rFonts w:ascii="宋体" w:hAnsi="宋体" w:cs="宋体"/>
                <w:color w:val="000000"/>
                <w:kern w:val="0"/>
                <w:sz w:val="24"/>
              </w:rPr>
            </w:pPr>
            <w:r>
              <w:rPr>
                <w:rFonts w:hint="eastAsia" w:ascii="宋体" w:hAnsi="宋体" w:cs="宋体"/>
                <w:color w:val="000000"/>
                <w:kern w:val="0"/>
                <w:sz w:val="24"/>
              </w:rPr>
              <w:t>2.购置书籍增加</w:t>
            </w:r>
            <w:r>
              <w:rPr>
                <w:rFonts w:ascii="宋体" w:hAnsi="宋体" w:cs="宋体"/>
                <w:color w:val="000000"/>
                <w:kern w:val="0"/>
                <w:sz w:val="24"/>
              </w:rPr>
              <w:t>藏书量</w:t>
            </w: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购置书籍2000册。</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文化活动村</w:t>
            </w:r>
            <w:r>
              <w:rPr>
                <w:rFonts w:ascii="宋体" w:hAnsi="宋体"/>
                <w:sz w:val="24"/>
              </w:rPr>
              <w:t>覆盖</w:t>
            </w:r>
            <w:r>
              <w:rPr>
                <w:rFonts w:hint="eastAsia" w:ascii="宋体" w:hAnsi="宋体"/>
                <w:sz w:val="24"/>
              </w:rPr>
              <w:t>率</w:t>
            </w:r>
            <w:r>
              <w:rPr>
                <w:rFonts w:ascii="宋体" w:hAnsi="宋体"/>
                <w:sz w:val="24"/>
              </w:rPr>
              <w:t>100</w:t>
            </w:r>
            <w:r>
              <w:rPr>
                <w:rFonts w:hint="eastAsia" w:ascii="宋体" w:hAnsi="宋体"/>
                <w:sz w:val="24"/>
              </w:rPr>
              <w:t>%；</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活动</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20</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20</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提高图书馆藏书量</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实现馆藏图书数量提高，但其他设备维护等未见成效</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书籍种类得到读者好评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口头评价，无书面材料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总分：88.8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r>
        <w:rPr>
          <w:rFonts w:hint="eastAsia"/>
        </w:rPr>
        <w:br w:type="page"/>
      </w: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3809"/>
        <w:gridCol w:w="2584"/>
      </w:tblGrid>
      <w:tr>
        <w:tblPrEx>
          <w:tblCellMar>
            <w:top w:w="0" w:type="dxa"/>
            <w:left w:w="108" w:type="dxa"/>
            <w:bottom w:w="0" w:type="dxa"/>
            <w:right w:w="108" w:type="dxa"/>
          </w:tblCellMar>
        </w:tblPrEx>
        <w:trPr>
          <w:gridAfter w:val="2"/>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84"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基层体育经费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2"/>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25.07</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25.07</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2"/>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通过组织开展形式多样的</w:t>
            </w:r>
            <w:r>
              <w:rPr>
                <w:rFonts w:ascii="宋体" w:hAnsi="宋体" w:cs="宋体"/>
                <w:color w:val="000000"/>
                <w:kern w:val="0"/>
                <w:sz w:val="24"/>
              </w:rPr>
              <w:t>培训</w:t>
            </w:r>
            <w:r>
              <w:rPr>
                <w:rFonts w:hint="eastAsia" w:ascii="宋体" w:hAnsi="宋体" w:cs="宋体"/>
                <w:color w:val="000000"/>
                <w:kern w:val="0"/>
                <w:sz w:val="24"/>
              </w:rPr>
              <w:t>，培养造就高素质人才队伍，加强体育惠民</w:t>
            </w:r>
            <w:r>
              <w:rPr>
                <w:rFonts w:ascii="宋体" w:hAnsi="宋体" w:cs="宋体"/>
                <w:color w:val="000000"/>
                <w:kern w:val="0"/>
                <w:sz w:val="24"/>
              </w:rPr>
              <w:t>服务，</w:t>
            </w:r>
            <w:r>
              <w:rPr>
                <w:rFonts w:hint="eastAsia" w:ascii="宋体" w:hAnsi="宋体" w:cs="宋体"/>
                <w:color w:val="000000"/>
                <w:kern w:val="0"/>
                <w:sz w:val="24"/>
              </w:rPr>
              <w:t>提高全乡体育</w:t>
            </w:r>
            <w:r>
              <w:rPr>
                <w:rFonts w:ascii="宋体" w:hAnsi="宋体" w:cs="宋体"/>
                <w:color w:val="000000"/>
                <w:kern w:val="0"/>
                <w:sz w:val="24"/>
              </w:rPr>
              <w:t>水平</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年度总体目标完成情况综述：1</w:t>
            </w:r>
            <w:r>
              <w:rPr>
                <w:rFonts w:ascii="宋体" w:hAnsi="宋体" w:cs="宋体"/>
                <w:color w:val="000000"/>
                <w:kern w:val="0"/>
                <w:sz w:val="24"/>
              </w:rPr>
              <w:t>.</w:t>
            </w:r>
            <w:r>
              <w:rPr>
                <w:rFonts w:hint="eastAsia" w:ascii="宋体" w:hAnsi="宋体" w:cs="宋体"/>
                <w:color w:val="000000"/>
                <w:kern w:val="0"/>
                <w:sz w:val="24"/>
              </w:rPr>
              <w:t>围绕全民健身“三边”工程提高惠民服务水平。</w:t>
            </w:r>
          </w:p>
          <w:p>
            <w:pPr>
              <w:widowControl/>
              <w:jc w:val="center"/>
              <w:rPr>
                <w:rFonts w:ascii="宋体" w:hAnsi="宋体" w:cs="宋体"/>
                <w:color w:val="000000"/>
                <w:kern w:val="0"/>
                <w:sz w:val="24"/>
              </w:rPr>
            </w:pPr>
            <w:r>
              <w:rPr>
                <w:rFonts w:hint="eastAsia" w:ascii="宋体" w:hAnsi="宋体" w:cs="宋体"/>
                <w:color w:val="000000"/>
                <w:kern w:val="0"/>
                <w:sz w:val="24"/>
              </w:rPr>
              <w:t>2.强化体育骨干</w:t>
            </w:r>
            <w:r>
              <w:rPr>
                <w:rFonts w:ascii="宋体" w:hAnsi="宋体" w:cs="宋体"/>
                <w:color w:val="000000"/>
                <w:kern w:val="0"/>
                <w:sz w:val="24"/>
              </w:rPr>
              <w:t>培养</w:t>
            </w:r>
            <w:r>
              <w:rPr>
                <w:rFonts w:hint="eastAsia" w:ascii="宋体" w:hAnsi="宋体" w:cs="宋体"/>
                <w:color w:val="000000"/>
                <w:kern w:val="0"/>
                <w:sz w:val="24"/>
              </w:rPr>
              <w:t>，打造体育团队。</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2"/>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完成培训</w:t>
            </w:r>
            <w:r>
              <w:rPr>
                <w:rFonts w:ascii="宋体" w:hAnsi="宋体"/>
                <w:sz w:val="24"/>
              </w:rPr>
              <w:t>4</w:t>
            </w:r>
            <w:r>
              <w:rPr>
                <w:rFonts w:hint="eastAsia" w:ascii="宋体" w:hAnsi="宋体"/>
                <w:sz w:val="24"/>
              </w:rPr>
              <w:t>次，社会体育指导员</w:t>
            </w:r>
            <w:r>
              <w:rPr>
                <w:rFonts w:ascii="宋体" w:hAnsi="宋体"/>
                <w:sz w:val="24"/>
              </w:rPr>
              <w:t>培训</w:t>
            </w:r>
            <w:r>
              <w:rPr>
                <w:rFonts w:hint="eastAsia" w:ascii="宋体" w:hAnsi="宋体"/>
                <w:sz w:val="24"/>
              </w:rPr>
              <w:t>100人。</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培训参与度≥</w:t>
            </w:r>
            <w:r>
              <w:rPr>
                <w:rFonts w:ascii="宋体" w:hAnsi="宋体"/>
                <w:sz w:val="24"/>
              </w:rPr>
              <w:t>100</w:t>
            </w:r>
            <w:r>
              <w:rPr>
                <w:rFonts w:hint="eastAsia" w:ascii="宋体" w:hAnsi="宋体"/>
                <w:sz w:val="24"/>
              </w:rPr>
              <w:t>%；培训合格率≥100%；</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培训</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25.07</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25.07</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2"/>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提高了体育组织</w:t>
            </w:r>
            <w:r>
              <w:rPr>
                <w:rFonts w:ascii="宋体" w:hAnsi="宋体"/>
                <w:sz w:val="24"/>
              </w:rPr>
              <w:t>员</w:t>
            </w:r>
            <w:r>
              <w:rPr>
                <w:rFonts w:hint="eastAsia" w:ascii="宋体" w:hAnsi="宋体"/>
                <w:sz w:val="24"/>
              </w:rPr>
              <w:t>业务能力和工作技能</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培训目标实现，但从资金使用范围来说覆盖面不够广</w:t>
            </w:r>
          </w:p>
        </w:tc>
      </w:tr>
      <w:tr>
        <w:tblPrEx>
          <w:tblCellMar>
            <w:top w:w="0" w:type="dxa"/>
            <w:left w:w="108" w:type="dxa"/>
            <w:bottom w:w="0" w:type="dxa"/>
            <w:right w:w="108" w:type="dxa"/>
          </w:tblCellMar>
        </w:tblPrEx>
        <w:trPr>
          <w:gridAfter w:val="2"/>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组织管理及培训质量得到学员好评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口头反馈，无书面评价材料</w:t>
            </w:r>
          </w:p>
        </w:tc>
      </w:tr>
      <w:tr>
        <w:tblPrEx>
          <w:tblCellMar>
            <w:top w:w="0" w:type="dxa"/>
            <w:left w:w="108" w:type="dxa"/>
            <w:bottom w:w="0" w:type="dxa"/>
            <w:right w:w="108" w:type="dxa"/>
          </w:tblCellMar>
        </w:tblPrEx>
        <w:trPr>
          <w:gridAfter w:val="2"/>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rPr>
          <w:rFonts w:ascii="仿宋_GB2312" w:eastAsia="仿宋_GB2312"/>
          <w:sz w:val="32"/>
          <w:szCs w:val="32"/>
        </w:rPr>
        <w:sectPr>
          <w:pgSz w:w="11907" w:h="16840"/>
          <w:pgMar w:top="720" w:right="720" w:bottom="720" w:left="720" w:header="851" w:footer="992" w:gutter="0"/>
          <w:cols w:space="720" w:num="1"/>
          <w:docGrid w:type="linesAndChar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首都公共文化示范区创建经费</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4.99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5</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4.99</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9.9</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通过组织开展形式多样的文化活动及</w:t>
            </w:r>
            <w:r>
              <w:rPr>
                <w:rFonts w:ascii="宋体" w:hAnsi="宋体" w:cs="宋体"/>
                <w:color w:val="000000"/>
                <w:kern w:val="0"/>
                <w:sz w:val="24"/>
              </w:rPr>
              <w:t>培训</w:t>
            </w:r>
            <w:r>
              <w:rPr>
                <w:rFonts w:hint="eastAsia" w:ascii="宋体" w:hAnsi="宋体" w:cs="宋体"/>
                <w:color w:val="000000"/>
                <w:kern w:val="0"/>
                <w:sz w:val="24"/>
              </w:rPr>
              <w:t>，提高全乡文化</w:t>
            </w:r>
            <w:r>
              <w:rPr>
                <w:rFonts w:ascii="宋体" w:hAnsi="宋体" w:cs="宋体"/>
                <w:color w:val="000000"/>
                <w:kern w:val="0"/>
                <w:sz w:val="24"/>
              </w:rPr>
              <w:t>水平</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年度总体目标完成情况综述：1</w:t>
            </w:r>
            <w:r>
              <w:rPr>
                <w:rFonts w:ascii="宋体" w:hAnsi="宋体" w:cs="宋体"/>
                <w:color w:val="000000"/>
                <w:kern w:val="0"/>
                <w:sz w:val="24"/>
              </w:rPr>
              <w:t>.</w:t>
            </w:r>
            <w:r>
              <w:rPr>
                <w:rFonts w:hint="eastAsia" w:ascii="宋体" w:hAnsi="宋体" w:cs="宋体"/>
                <w:color w:val="000000"/>
                <w:kern w:val="0"/>
                <w:sz w:val="24"/>
              </w:rPr>
              <w:t>开展形式</w:t>
            </w:r>
            <w:r>
              <w:rPr>
                <w:rFonts w:ascii="宋体" w:hAnsi="宋体" w:cs="宋体"/>
                <w:color w:val="000000"/>
                <w:kern w:val="0"/>
                <w:sz w:val="24"/>
              </w:rPr>
              <w:t>多样的文化活动</w:t>
            </w:r>
            <w:r>
              <w:rPr>
                <w:rFonts w:hint="eastAsia" w:ascii="宋体" w:hAnsi="宋体" w:cs="宋体"/>
                <w:color w:val="000000"/>
                <w:kern w:val="0"/>
                <w:sz w:val="24"/>
              </w:rPr>
              <w:t>。</w:t>
            </w:r>
          </w:p>
          <w:p>
            <w:pPr>
              <w:widowControl/>
              <w:rPr>
                <w:rFonts w:ascii="宋体" w:hAnsi="宋体" w:cs="宋体"/>
                <w:color w:val="000000"/>
                <w:kern w:val="0"/>
                <w:sz w:val="24"/>
              </w:rPr>
            </w:pPr>
            <w:r>
              <w:rPr>
                <w:rFonts w:hint="eastAsia" w:ascii="宋体" w:hAnsi="宋体" w:cs="宋体"/>
                <w:color w:val="000000"/>
                <w:kern w:val="0"/>
                <w:sz w:val="24"/>
              </w:rPr>
              <w:t>2.开展</w:t>
            </w:r>
            <w:r>
              <w:rPr>
                <w:rFonts w:ascii="宋体" w:hAnsi="宋体" w:cs="宋体"/>
                <w:color w:val="000000"/>
                <w:kern w:val="0"/>
                <w:sz w:val="24"/>
              </w:rPr>
              <w:t>文化培训活动。</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开展4场文化阅读</w:t>
            </w:r>
            <w:r>
              <w:rPr>
                <w:rFonts w:ascii="宋体" w:hAnsi="宋体"/>
                <w:sz w:val="24"/>
              </w:rPr>
              <w:t>活动</w:t>
            </w:r>
            <w:r>
              <w:rPr>
                <w:rFonts w:hint="eastAsia" w:ascii="宋体" w:hAnsi="宋体"/>
                <w:sz w:val="24"/>
              </w:rPr>
              <w:t>，</w:t>
            </w:r>
            <w:r>
              <w:rPr>
                <w:rFonts w:ascii="宋体" w:hAnsi="宋体"/>
                <w:sz w:val="24"/>
              </w:rPr>
              <w:t>参与人数达</w:t>
            </w:r>
            <w:r>
              <w:rPr>
                <w:rFonts w:hint="eastAsia" w:ascii="宋体" w:hAnsi="宋体"/>
                <w:sz w:val="24"/>
              </w:rPr>
              <w:t>200人。</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活动村参与度</w:t>
            </w:r>
            <w:r>
              <w:rPr>
                <w:rFonts w:ascii="宋体" w:hAnsi="宋体"/>
                <w:sz w:val="24"/>
              </w:rPr>
              <w:t>100</w:t>
            </w:r>
            <w:r>
              <w:rPr>
                <w:rFonts w:hint="eastAsia" w:ascii="宋体" w:hAnsi="宋体"/>
                <w:sz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活动</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5</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5</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提高了文化组织</w:t>
            </w:r>
            <w:r>
              <w:rPr>
                <w:rFonts w:ascii="宋体" w:hAnsi="宋体"/>
                <w:sz w:val="24"/>
              </w:rPr>
              <w:t>员</w:t>
            </w:r>
            <w:r>
              <w:rPr>
                <w:rFonts w:hint="eastAsia" w:ascii="宋体" w:hAnsi="宋体"/>
                <w:sz w:val="24"/>
              </w:rPr>
              <w:t>业务能力和工作技能</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完成效果与年度总体目标有出入</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活动</w:t>
            </w:r>
            <w:r>
              <w:rPr>
                <w:rFonts w:ascii="宋体" w:hAnsi="宋体"/>
                <w:sz w:val="24"/>
              </w:rPr>
              <w:t>开展</w:t>
            </w:r>
            <w:r>
              <w:rPr>
                <w:rFonts w:hint="eastAsia" w:ascii="宋体" w:hAnsi="宋体"/>
                <w:sz w:val="24"/>
              </w:rPr>
              <w:t>质量得到好评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文化设备维护与更新运维</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1</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1</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对文化设备进行维护与更新运维，提高文化</w:t>
            </w:r>
            <w:r>
              <w:rPr>
                <w:rFonts w:ascii="宋体" w:hAnsi="宋体" w:cs="宋体"/>
                <w:color w:val="000000"/>
                <w:kern w:val="0"/>
                <w:sz w:val="24"/>
              </w:rPr>
              <w:t>设备</w:t>
            </w:r>
            <w:r>
              <w:rPr>
                <w:rFonts w:hint="eastAsia" w:ascii="宋体" w:hAnsi="宋体" w:cs="宋体"/>
                <w:color w:val="000000"/>
                <w:kern w:val="0"/>
                <w:sz w:val="24"/>
              </w:rPr>
              <w:t>质量。</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w:t>
            </w:r>
            <w:r>
              <w:rPr>
                <w:rFonts w:hint="eastAsia" w:ascii="宋体" w:hAnsi="宋体" w:cs="宋体"/>
                <w:color w:val="000000"/>
                <w:kern w:val="0"/>
                <w:sz w:val="24"/>
              </w:rPr>
              <w:t>对文化设备维护与更新。</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文化设备维护预更新</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维护合格率≥100%；</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维护工作</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1</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提高了文化设备</w:t>
            </w:r>
            <w:r>
              <w:rPr>
                <w:rFonts w:ascii="宋体" w:hAnsi="宋体"/>
                <w:sz w:val="24"/>
              </w:rPr>
              <w:t>的服务质量</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未明确文化设备的使用情况、维护前后对比情况</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文化服务</w:t>
            </w:r>
            <w:r>
              <w:rPr>
                <w:rFonts w:ascii="宋体" w:hAnsi="宋体"/>
                <w:sz w:val="24"/>
              </w:rPr>
              <w:t>质量</w:t>
            </w:r>
            <w:r>
              <w:rPr>
                <w:rFonts w:hint="eastAsia" w:ascii="宋体" w:hAnsi="宋体"/>
                <w:sz w:val="24"/>
              </w:rPr>
              <w:t>得到好评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对象不明确，无书面材料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文化信息资源共享工程运维</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2.4</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2.4</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2.4</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2.4</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通过对共享工程</w:t>
            </w:r>
            <w:r>
              <w:rPr>
                <w:rFonts w:ascii="宋体" w:hAnsi="宋体" w:cs="宋体"/>
                <w:color w:val="000000"/>
                <w:kern w:val="0"/>
                <w:sz w:val="24"/>
              </w:rPr>
              <w:t>进行维护，提升服务质量</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w:t>
            </w:r>
            <w:r>
              <w:rPr>
                <w:rFonts w:hint="eastAsia" w:ascii="宋体" w:hAnsi="宋体" w:cs="宋体"/>
                <w:color w:val="000000"/>
                <w:kern w:val="0"/>
                <w:sz w:val="24"/>
              </w:rPr>
              <w:t>对共享</w:t>
            </w:r>
            <w:r>
              <w:rPr>
                <w:rFonts w:ascii="宋体" w:hAnsi="宋体" w:cs="宋体"/>
                <w:color w:val="000000"/>
                <w:kern w:val="0"/>
                <w:sz w:val="24"/>
              </w:rPr>
              <w:t>工程进行</w:t>
            </w:r>
            <w:r>
              <w:rPr>
                <w:rFonts w:hint="eastAsia" w:ascii="宋体" w:hAnsi="宋体" w:cs="宋体"/>
                <w:color w:val="000000"/>
                <w:kern w:val="0"/>
                <w:sz w:val="24"/>
              </w:rPr>
              <w:t>网络</w:t>
            </w:r>
            <w:r>
              <w:rPr>
                <w:rFonts w:ascii="宋体" w:hAnsi="宋体" w:cs="宋体"/>
                <w:color w:val="000000"/>
                <w:kern w:val="0"/>
                <w:sz w:val="24"/>
              </w:rPr>
              <w:t>检测、维</w:t>
            </w:r>
            <w:r>
              <w:rPr>
                <w:rFonts w:hint="eastAsia" w:ascii="宋体" w:hAnsi="宋体" w:cs="宋体"/>
                <w:color w:val="000000"/>
                <w:kern w:val="0"/>
                <w:sz w:val="24"/>
              </w:rPr>
              <w:t>修</w:t>
            </w:r>
            <w:r>
              <w:rPr>
                <w:rFonts w:ascii="宋体" w:hAnsi="宋体" w:cs="宋体"/>
                <w:color w:val="000000"/>
                <w:kern w:val="0"/>
                <w:sz w:val="24"/>
              </w:rPr>
              <w:t>、维护</w:t>
            </w: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对所有</w:t>
            </w:r>
            <w:r>
              <w:rPr>
                <w:rFonts w:ascii="宋体" w:hAnsi="宋体"/>
                <w:sz w:val="24"/>
              </w:rPr>
              <w:t>共享工程</w:t>
            </w:r>
            <w:r>
              <w:rPr>
                <w:rFonts w:hint="eastAsia" w:ascii="宋体" w:hAnsi="宋体"/>
                <w:sz w:val="24"/>
              </w:rPr>
              <w:t>设备</w:t>
            </w:r>
            <w:r>
              <w:rPr>
                <w:rFonts w:ascii="宋体" w:hAnsi="宋体"/>
                <w:sz w:val="24"/>
              </w:rPr>
              <w:t>进行维护</w:t>
            </w:r>
            <w:r>
              <w:rPr>
                <w:rFonts w:hint="eastAsia" w:ascii="宋体" w:hAnsi="宋体"/>
                <w:sz w:val="24"/>
              </w:rPr>
              <w:t>。</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维护合格率≥100%；</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工作</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2.4</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2.4</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提高了共享工程</w:t>
            </w:r>
            <w:r>
              <w:rPr>
                <w:rFonts w:ascii="宋体" w:hAnsi="宋体"/>
                <w:sz w:val="24"/>
              </w:rPr>
              <w:t>设备服务质量</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数量指标不明确，实际效果展现不具体</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共享</w:t>
            </w:r>
            <w:r>
              <w:rPr>
                <w:rFonts w:ascii="宋体" w:hAnsi="宋体"/>
                <w:sz w:val="24"/>
              </w:rPr>
              <w:t>工程</w:t>
            </w:r>
            <w:r>
              <w:rPr>
                <w:rFonts w:hint="eastAsia" w:ascii="宋体" w:hAnsi="宋体"/>
                <w:sz w:val="24"/>
              </w:rPr>
              <w:t>得到受众好评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总分：87</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596"/>
        <w:gridCol w:w="236"/>
        <w:gridCol w:w="236"/>
        <w:gridCol w:w="87"/>
        <w:gridCol w:w="121"/>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5"/>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周末百姓大舞台</w:t>
            </w:r>
          </w:p>
        </w:tc>
      </w:tr>
      <w:tr>
        <w:tblPrEx>
          <w:tblCellMar>
            <w:top w:w="0" w:type="dxa"/>
            <w:left w:w="108" w:type="dxa"/>
            <w:bottom w:w="0" w:type="dxa"/>
            <w:right w:w="108" w:type="dxa"/>
          </w:tblCellMar>
        </w:tblPrEx>
        <w:trPr>
          <w:gridAfter w:val="1"/>
          <w:wAfter w:w="6393"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南苑乡文化</w:t>
            </w:r>
            <w:r>
              <w:rPr>
                <w:rFonts w:ascii="宋体" w:hAnsi="宋体" w:cs="宋体"/>
                <w:color w:val="000000"/>
                <w:kern w:val="0"/>
                <w:sz w:val="24"/>
              </w:rPr>
              <w:t>服务中心</w:t>
            </w:r>
          </w:p>
        </w:tc>
      </w:tr>
      <w:tr>
        <w:tblPrEx>
          <w:tblCellMar>
            <w:top w:w="0" w:type="dxa"/>
            <w:left w:w="108" w:type="dxa"/>
            <w:bottom w:w="0" w:type="dxa"/>
            <w:right w:w="108" w:type="dxa"/>
          </w:tblCellMar>
        </w:tblPrEx>
        <w:trPr>
          <w:gridAfter w:val="1"/>
          <w:wAfter w:w="6393"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4.62</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4.62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ascii="宋体" w:hAnsi="宋体"/>
                <w:sz w:val="24"/>
              </w:rPr>
              <w:t>4.62</w:t>
            </w:r>
          </w:p>
        </w:tc>
        <w:tc>
          <w:tcPr>
            <w:tcW w:w="1276" w:type="dxa"/>
            <w:gridSpan w:val="5"/>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4.62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gridAfter w:val="1"/>
          <w:wAfter w:w="6393"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通过组织开展</w:t>
            </w:r>
            <w:r>
              <w:rPr>
                <w:rFonts w:hint="eastAsia" w:ascii="宋体" w:hAnsi="宋体"/>
                <w:sz w:val="24"/>
              </w:rPr>
              <w:t>周末</w:t>
            </w:r>
            <w:r>
              <w:rPr>
                <w:rFonts w:ascii="宋体" w:hAnsi="宋体"/>
                <w:sz w:val="24"/>
              </w:rPr>
              <w:t>百姓大舞台</w:t>
            </w:r>
            <w:r>
              <w:rPr>
                <w:rFonts w:hint="eastAsia" w:ascii="宋体" w:hAnsi="宋体" w:cs="宋体"/>
                <w:color w:val="000000"/>
                <w:kern w:val="0"/>
                <w:sz w:val="24"/>
              </w:rPr>
              <w:t>，满足群众</w:t>
            </w:r>
            <w:r>
              <w:rPr>
                <w:rFonts w:ascii="宋体" w:hAnsi="宋体" w:cs="宋体"/>
                <w:color w:val="000000"/>
                <w:kern w:val="0"/>
                <w:sz w:val="24"/>
              </w:rPr>
              <w:t>文化需求</w:t>
            </w:r>
            <w:r>
              <w:rPr>
                <w:rFonts w:hint="eastAsia" w:ascii="宋体" w:hAnsi="宋体" w:cs="宋体"/>
                <w:color w:val="000000"/>
                <w:kern w:val="0"/>
                <w:sz w:val="24"/>
              </w:rPr>
              <w:t>。</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w:t>
            </w:r>
            <w:r>
              <w:rPr>
                <w:rFonts w:hint="eastAsia" w:ascii="宋体" w:hAnsi="宋体"/>
                <w:sz w:val="24"/>
              </w:rPr>
              <w:t>开展周末</w:t>
            </w:r>
            <w:r>
              <w:rPr>
                <w:rFonts w:ascii="宋体" w:hAnsi="宋体"/>
                <w:sz w:val="24"/>
              </w:rPr>
              <w:t>百姓大舞台</w:t>
            </w:r>
            <w:r>
              <w:rPr>
                <w:rFonts w:hint="eastAsia" w:ascii="宋体" w:hAnsi="宋体"/>
                <w:sz w:val="24"/>
              </w:rPr>
              <w:t>活动</w:t>
            </w: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完成20场文化</w:t>
            </w:r>
            <w:r>
              <w:rPr>
                <w:rFonts w:ascii="宋体" w:hAnsi="宋体"/>
                <w:sz w:val="24"/>
              </w:rPr>
              <w:t>演出活动</w:t>
            </w:r>
            <w:r>
              <w:rPr>
                <w:rFonts w:hint="eastAsia" w:ascii="宋体" w:hAnsi="宋体"/>
                <w:sz w:val="24"/>
              </w:rPr>
              <w:t>。</w:t>
            </w:r>
            <w:r>
              <w:rPr>
                <w:rFonts w:ascii="宋体" w:hAnsi="宋体" w:cs="宋体"/>
                <w:color w:val="000000"/>
                <w:kern w:val="0"/>
                <w:sz w:val="24"/>
              </w:rPr>
              <w:t xml:space="preserve"> </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演出合格率≥100%；</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活动</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4.62</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4.62</w:t>
            </w:r>
            <w:r>
              <w:rPr>
                <w:rFonts w:hint="eastAsia" w:ascii="宋体" w:hAnsi="宋体"/>
                <w:sz w:val="24"/>
              </w:rPr>
              <w:t>万元，完成</w:t>
            </w:r>
            <w:r>
              <w:rPr>
                <w:rFonts w:ascii="宋体" w:hAnsi="宋体"/>
                <w:sz w:val="24"/>
              </w:rPr>
              <w:t>100</w:t>
            </w:r>
            <w:r>
              <w:rPr>
                <w:rFonts w:hint="eastAsia" w:ascii="宋体" w:hAnsi="宋体"/>
                <w:sz w:val="24"/>
              </w:rPr>
              <w:t>%</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ascii="宋体" w:hAnsi="宋体" w:cs="宋体"/>
                <w:color w:val="000000"/>
                <w:kern w:val="0"/>
                <w:sz w:val="24"/>
              </w:rPr>
              <w:t>100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满足了群众</w:t>
            </w:r>
            <w:r>
              <w:rPr>
                <w:rFonts w:ascii="宋体" w:hAnsi="宋体"/>
                <w:sz w:val="24"/>
              </w:rPr>
              <w:t>的文化需求</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受众覆盖率有待提升</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文化演出得到好评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6393"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330"/>
        <w:gridCol w:w="1371"/>
        <w:gridCol w:w="142"/>
        <w:gridCol w:w="1134"/>
        <w:gridCol w:w="1155"/>
        <w:gridCol w:w="121"/>
        <w:gridCol w:w="849"/>
        <w:gridCol w:w="1135"/>
        <w:gridCol w:w="1276"/>
      </w:tblGrid>
      <w:tr>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项目支出事后绩效自评简表（表10）</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2017年“两新”党组织连续2年提供启动经费</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北京市丰台区南苑乡人民政府，177000</w:t>
            </w:r>
          </w:p>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5648" behindDoc="0" locked="0" layoutInCell="1" allowOverlap="1">
                      <wp:simplePos x="0" y="0"/>
                      <wp:positionH relativeFrom="column">
                        <wp:posOffset>-62230</wp:posOffset>
                      </wp:positionH>
                      <wp:positionV relativeFrom="paragraph">
                        <wp:posOffset>184150</wp:posOffset>
                      </wp:positionV>
                      <wp:extent cx="1152525" cy="609600"/>
                      <wp:effectExtent l="2540" t="4445" r="6985" b="14605"/>
                      <wp:wrapNone/>
                      <wp:docPr id="19" name="直接箭头连接符 1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pt;margin-top:14.5pt;height:48pt;width:90.75pt;z-index:251675648;mso-width-relative:page;mso-height-relative:page;" filled="f" stroked="t" coordsize="21600,21600" o:gfxdata="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wY6O/2AAAAAkBAAAPAAAAAAAAAAEAIAAAACIAAABkcnMvZG93&#10;bnJldi54bWxQSwECFAAUAAAACACHTuJA3nLCvwACAADzAwAADgAAAAAAAAABACAAAAAnAQAAZHJz&#10;L2Uyb0RvYy54bWxQSwUGAAAAAAYABgBZAQAAmQUAAAAA&#10;">
                      <v:fill on="f" focussize="0,0"/>
                      <v:stroke color="#000000" joinstyle="round"/>
                      <v:imagedata o:title=""/>
                      <o:lock v:ext="edit" aspectratio="f"/>
                    </v:shape>
                  </w:pict>
                </mc:Fallback>
              </mc:AlternateConten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4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3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w:t>
            </w:r>
          </w:p>
        </w:tc>
        <w:tc>
          <w:tcPr>
            <w:tcW w:w="849"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13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w:t>
            </w:r>
          </w:p>
        </w:tc>
        <w:tc>
          <w:tcPr>
            <w:tcW w:w="849"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1135"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49"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3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提升“两新”党组织书记抓党建管业务水平，提高党员党性修养和综合素质。</w:t>
            </w:r>
          </w:p>
          <w:p>
            <w:pPr>
              <w:widowControl/>
              <w:jc w:val="center"/>
              <w:rPr>
                <w:rFonts w:ascii="宋体" w:hAnsi="宋体" w:cs="宋体"/>
                <w:color w:val="000000"/>
                <w:kern w:val="0"/>
                <w:sz w:val="24"/>
              </w:rPr>
            </w:pP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年度总体目标完成情况综述：1.组织2019年开展“两新”党组织学习教育,开展 “三会一课”、主题党日活动。2.订阅或购买用于开展党员教育的报刊、资料、音像制品和电教设备,进行党内宣传,摄制党员电教片;3.流动党员管理、组织关系接转、党旗党徽配备、党建工作调查研究等产生的会议费用、印刷费用、服务费等各类费用;</w:t>
            </w:r>
          </w:p>
        </w:tc>
      </w:tr>
      <w:tr>
        <w:tblPrEx>
          <w:tblCellMar>
            <w:top w:w="0" w:type="dxa"/>
            <w:left w:w="108" w:type="dxa"/>
            <w:bottom w:w="0" w:type="dxa"/>
            <w:right w:w="108" w:type="dxa"/>
          </w:tblCellMar>
        </w:tblPrEx>
        <w:trPr>
          <w:trHeight w:val="622"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71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7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7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711"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371"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按照要求开展3大类活动</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70"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411"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71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37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培训参与度≥98%；</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7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7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371"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培训</w:t>
            </w: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7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7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37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项目预算1万元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使用1万元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97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7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371"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提高了党组织工作水平</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97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14</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数量指标、质量指标设置不细化，反映工作开展的效果指标无法对应进行考核</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7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371"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组织管理及培训质量得到党员好评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好评率达70%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97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14</w:t>
            </w:r>
          </w:p>
        </w:tc>
        <w:tc>
          <w:tcPr>
            <w:tcW w:w="241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通过测评显示“两新”书记工作能力有待于加强</w:t>
            </w:r>
          </w:p>
        </w:tc>
      </w:tr>
      <w:tr>
        <w:tblPrEx>
          <w:tblCellMar>
            <w:top w:w="0" w:type="dxa"/>
            <w:left w:w="108" w:type="dxa"/>
            <w:bottom w:w="0" w:type="dxa"/>
            <w:right w:w="108" w:type="dxa"/>
          </w:tblCellMar>
        </w:tblPrEx>
        <w:trPr>
          <w:trHeight w:val="353" w:hRule="atLeast"/>
        </w:trPr>
        <w:tc>
          <w:tcPr>
            <w:tcW w:w="8612"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总分：88</w:t>
            </w:r>
          </w:p>
        </w:tc>
        <w:tc>
          <w:tcPr>
            <w:tcW w:w="2411"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112"/>
        <w:gridCol w:w="1472"/>
        <w:gridCol w:w="259"/>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2018年“两新”党组织连续2年提供启动经费</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北京市丰台区南苑乡人民政府，177000</w:t>
            </w:r>
          </w:p>
          <w:p>
            <w:pPr>
              <w:widowControl/>
              <w:jc w:val="left"/>
              <w:rPr>
                <w:rFonts w:ascii="宋体" w:hAnsi="宋体" w:cs="宋体"/>
                <w:color w:val="000000"/>
                <w:kern w:val="0"/>
                <w:sz w:val="24"/>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6672" behindDoc="0" locked="0" layoutInCell="1" allowOverlap="1">
                      <wp:simplePos x="0" y="0"/>
                      <wp:positionH relativeFrom="column">
                        <wp:posOffset>-19050</wp:posOffset>
                      </wp:positionH>
                      <wp:positionV relativeFrom="paragraph">
                        <wp:posOffset>22860</wp:posOffset>
                      </wp:positionV>
                      <wp:extent cx="1152525" cy="609600"/>
                      <wp:effectExtent l="2540" t="4445" r="6985" b="14605"/>
                      <wp:wrapNone/>
                      <wp:docPr id="20" name="直接箭头连接符 2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5pt;margin-top:1.8pt;height:48pt;width:90.75pt;z-index:251676672;mso-width-relative:page;mso-height-relative:page;" filled="f" stroked="t" coordsize="21600,21600" o:gfxdata="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P4bOPXAAAABwEAAA8AAAAAAAAAAQAgAAAAIgAAAGRycy9kb3du&#10;cmV2LnhtbFBLAQIUABQAAAAIAIdO4kCzn1njAAIAAPMDAAAOAAAAAAAAAAEAIAAAACY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3</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1.5</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1.5</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5</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党费1.5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提升“两新”党组织书记抓党建及业务管理水平，提高党员党性修养和综合素质。</w:t>
            </w:r>
          </w:p>
          <w:p>
            <w:pPr>
              <w:widowControl/>
              <w:jc w:val="center"/>
              <w:rPr>
                <w:rFonts w:ascii="宋体" w:hAnsi="宋体" w:cs="宋体"/>
                <w:color w:val="000000"/>
                <w:kern w:val="0"/>
                <w:sz w:val="24"/>
              </w:rPr>
            </w:pP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年度总体目标完成情况综述：1. 组织2019年开展“两新”党组织学习教育,开展 “三会一课”、主题党日活动。2.订阅或购买用于开展党员教育的报刊、资料、音像制品和电教设备,进行党内宣传,摄制党员电教片;3.流动党员管理、组织关系接转、党旗党徽配备、党建工作调查研究等产生的会议费用、印刷费用、服务费等各类费用;</w:t>
            </w:r>
          </w:p>
        </w:tc>
      </w:tr>
      <w:tr>
        <w:tblPrEx>
          <w:tblCellMar>
            <w:top w:w="0" w:type="dxa"/>
            <w:left w:w="108" w:type="dxa"/>
            <w:bottom w:w="0" w:type="dxa"/>
            <w:right w:w="108" w:type="dxa"/>
          </w:tblCellMar>
        </w:tblPrEx>
        <w:trPr>
          <w:trHeight w:val="622"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9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7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9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9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47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按照要求开展3大类活动</w:t>
            </w:r>
          </w:p>
        </w:tc>
        <w:tc>
          <w:tcPr>
            <w:tcW w:w="1393"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47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培训参与度≥98%；</w:t>
            </w:r>
          </w:p>
        </w:tc>
        <w:tc>
          <w:tcPr>
            <w:tcW w:w="139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47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培训</w:t>
            </w:r>
            <w:r>
              <w:rPr>
                <w:rFonts w:ascii="宋体" w:hAnsi="宋体"/>
                <w:sz w:val="24"/>
              </w:rPr>
              <w:t>12</w:t>
            </w:r>
            <w:r>
              <w:rPr>
                <w:rFonts w:hint="eastAsia" w:ascii="宋体" w:hAnsi="宋体"/>
                <w:sz w:val="24"/>
              </w:rPr>
              <w:t>月前完成</w:t>
            </w:r>
          </w:p>
        </w:tc>
        <w:tc>
          <w:tcPr>
            <w:tcW w:w="139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47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项目预算3万元</w:t>
            </w:r>
          </w:p>
        </w:tc>
        <w:tc>
          <w:tcPr>
            <w:tcW w:w="139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使用3万元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9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47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提高了党组织工作水平</w:t>
            </w:r>
          </w:p>
        </w:tc>
        <w:tc>
          <w:tcPr>
            <w:tcW w:w="139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数量指标、质量指标设置不细化，反映工作开展的效果指标无法对应进行考核</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9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47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组织管理及培训质量得到党员好评</w:t>
            </w:r>
          </w:p>
        </w:tc>
        <w:tc>
          <w:tcPr>
            <w:tcW w:w="139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好评率达70%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通过测评显示“两新”书记工作能力有待于加强</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67"/>
        <w:gridCol w:w="1295"/>
        <w:gridCol w:w="218"/>
        <w:gridCol w:w="1580"/>
        <w:gridCol w:w="247"/>
        <w:gridCol w:w="887"/>
        <w:gridCol w:w="843"/>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67"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95"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045"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3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15"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第一书记专项经费</w:t>
            </w:r>
          </w:p>
        </w:tc>
      </w:tr>
      <w:tr>
        <w:tblPrEx>
          <w:tblCellMar>
            <w:top w:w="0" w:type="dxa"/>
            <w:left w:w="108" w:type="dxa"/>
            <w:bottom w:w="0" w:type="dxa"/>
            <w:right w:w="108" w:type="dxa"/>
          </w:tblCellMar>
        </w:tblPrEx>
        <w:trPr>
          <w:gridAfter w:val="1"/>
          <w:wAfter w:w="3809" w:type="dxa"/>
          <w:trHeight w:val="370" w:hRule="atLeast"/>
        </w:trPr>
        <w:tc>
          <w:tcPr>
            <w:tcW w:w="3308"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32"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18"/>
                <w:szCs w:val="18"/>
              </w:rPr>
            </w:pPr>
            <w:r>
              <w:rPr>
                <w:rFonts w:hint="eastAsia" w:ascii="仿宋" w:hAnsi="仿宋" w:eastAsia="仿宋" w:cs="仿宋"/>
                <w:color w:val="000000"/>
                <w:kern w:val="0"/>
                <w:sz w:val="24"/>
              </w:rPr>
              <w:t>北京市丰台区南苑乡人民政府，177000</w:t>
            </w:r>
          </w:p>
        </w:tc>
        <w:tc>
          <w:tcPr>
            <w:tcW w:w="1523"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gridAfter w:val="1"/>
          <w:wAfter w:w="3809" w:type="dxa"/>
          <w:trHeight w:val="674" w:hRule="atLeast"/>
        </w:trPr>
        <w:tc>
          <w:tcPr>
            <w:tcW w:w="3308"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045"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887"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523"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308"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45"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88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p>
        </w:tc>
        <w:tc>
          <w:tcPr>
            <w:tcW w:w="1523"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1.553395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77.7%　</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7.77</w:t>
            </w:r>
          </w:p>
        </w:tc>
      </w:tr>
      <w:tr>
        <w:tblPrEx>
          <w:tblCellMar>
            <w:top w:w="0" w:type="dxa"/>
            <w:left w:w="108" w:type="dxa"/>
            <w:bottom w:w="0" w:type="dxa"/>
            <w:right w:w="108" w:type="dxa"/>
          </w:tblCellMar>
        </w:tblPrEx>
        <w:trPr>
          <w:gridAfter w:val="1"/>
          <w:wAfter w:w="3809" w:type="dxa"/>
          <w:trHeight w:val="370" w:hRule="atLeast"/>
        </w:trPr>
        <w:tc>
          <w:tcPr>
            <w:tcW w:w="3308"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45"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88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w:t>
            </w:r>
          </w:p>
        </w:tc>
        <w:tc>
          <w:tcPr>
            <w:tcW w:w="1523"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1.553395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77.7%　</w:t>
            </w:r>
          </w:p>
        </w:tc>
        <w:tc>
          <w:tcPr>
            <w:tcW w:w="1276" w:type="dxa"/>
            <w:tcBorders>
              <w:top w:val="nil"/>
              <w:left w:val="nil"/>
              <w:bottom w:val="single" w:color="auto" w:sz="4" w:space="0"/>
              <w:right w:val="single" w:color="auto" w:sz="4" w:space="0"/>
            </w:tcBorders>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7.77</w:t>
            </w:r>
          </w:p>
        </w:tc>
      </w:tr>
      <w:tr>
        <w:tblPrEx>
          <w:tblCellMar>
            <w:top w:w="0" w:type="dxa"/>
            <w:left w:w="108" w:type="dxa"/>
            <w:bottom w:w="0" w:type="dxa"/>
            <w:right w:w="108" w:type="dxa"/>
          </w:tblCellMar>
        </w:tblPrEx>
        <w:trPr>
          <w:gridAfter w:val="1"/>
          <w:wAfter w:w="3809" w:type="dxa"/>
          <w:trHeight w:val="370" w:hRule="atLeast"/>
        </w:trPr>
        <w:tc>
          <w:tcPr>
            <w:tcW w:w="3308"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45"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88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23"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394" w:type="dxa"/>
            <w:gridSpan w:val="6"/>
            <w:tcBorders>
              <w:top w:val="single" w:color="auto" w:sz="4" w:space="0"/>
              <w:left w:val="nil"/>
              <w:bottom w:val="single" w:color="auto" w:sz="4" w:space="0"/>
              <w:right w:val="single" w:color="000000" w:sz="4" w:space="0"/>
            </w:tcBorders>
            <w:vAlign w:val="center"/>
          </w:tcPr>
          <w:p>
            <w:pPr>
              <w:widowControl/>
              <w:jc w:val="left"/>
              <w:rPr>
                <w:rFonts w:ascii="仿宋_GB2312" w:eastAsia="仿宋_GB2312"/>
                <w:szCs w:val="21"/>
              </w:rPr>
            </w:pPr>
            <w:r>
              <w:rPr>
                <w:rFonts w:hint="eastAsia" w:ascii="仿宋_GB2312" w:eastAsia="仿宋_GB2312"/>
                <w:szCs w:val="21"/>
              </w:rPr>
              <w:t>年初设定目标：</w:t>
            </w:r>
          </w:p>
          <w:p>
            <w:pPr>
              <w:widowControl/>
              <w:jc w:val="left"/>
              <w:rPr>
                <w:rFonts w:ascii="仿宋_GB2312" w:eastAsia="仿宋_GB2312"/>
                <w:szCs w:val="21"/>
              </w:rPr>
            </w:pPr>
            <w:r>
              <w:rPr>
                <w:rFonts w:hint="eastAsia" w:ascii="仿宋_GB2312" w:eastAsia="仿宋_GB2312"/>
                <w:szCs w:val="21"/>
              </w:rPr>
              <w:t>为贯彻落实市委组织部、市委农工委《关于做好选派机关优秀干部到村担任第一书记的意见》精神，完善投入保障机制，用好村党组织第一书记专项工作经费，按照每人每年2万元的标准核定，由区财政统筹解决，每年初以一般性转移支付方式足额拨付到村党组织第一书记所在乡镇。</w:t>
            </w:r>
          </w:p>
        </w:tc>
        <w:tc>
          <w:tcPr>
            <w:tcW w:w="4783"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仿宋_GB2312" w:eastAsia="仿宋_GB2312"/>
                <w:szCs w:val="21"/>
              </w:rPr>
              <w:t>年度总体目标完成情况综述：一是送学到家活动，购买《习近平在正定》书籍90本，发给党员；二是开展党员听党课主题教育活动，请区委党校李燕副教授做《不忘初心，砥砺奋进70年—新中国70年宏伟历程及经验启示》讲师授课费；三是组织开展“不忘初心、牢记使命”主题教育，组织党员到万达电影院观影《决胜时刻》。四是国庆期间制作各单位门口、各主要位置的五星红旗及党员先锋岗旗帜。</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13"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580" w:type="dxa"/>
            <w:tcBorders>
              <w:top w:val="single" w:color="auto" w:sz="4" w:space="0"/>
              <w:left w:val="nil"/>
              <w:right w:val="single" w:color="auto" w:sz="4" w:space="0"/>
            </w:tcBorders>
            <w:noWrap/>
            <w:vAlign w:val="center"/>
          </w:tcPr>
          <w:p>
            <w:pPr>
              <w:jc w:val="left"/>
              <w:rPr>
                <w:rFonts w:ascii="宋体" w:hAnsi="宋体" w:cs="宋体"/>
                <w:color w:val="000000"/>
                <w:kern w:val="0"/>
                <w:szCs w:val="21"/>
              </w:rPr>
            </w:pPr>
            <w:r>
              <w:rPr>
                <w:rFonts w:hint="eastAsia" w:ascii="宋体" w:hAnsi="宋体" w:cs="宋体"/>
                <w:color w:val="000000"/>
                <w:kern w:val="0"/>
                <w:szCs w:val="21"/>
              </w:rPr>
              <w:t>　购买书籍90本；讲党课；购买电影票；制作旗帜</w:t>
            </w:r>
          </w:p>
        </w:tc>
        <w:tc>
          <w:tcPr>
            <w:tcW w:w="1134"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3"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5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Cs w:val="21"/>
              </w:rPr>
              <w:t>所有活动围绕党建项目进行</w:t>
            </w:r>
            <w:r>
              <w:rPr>
                <w:rFonts w:hint="eastAsia" w:ascii="宋体" w:hAnsi="宋体" w:cs="宋体"/>
                <w:color w:val="000000"/>
                <w:kern w:val="0"/>
                <w:sz w:val="24"/>
              </w:rPr>
              <w:t>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实现预期指标</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5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12月前完成</w:t>
            </w:r>
          </w:p>
        </w:tc>
        <w:tc>
          <w:tcPr>
            <w:tcW w:w="113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12月前完成</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1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58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预算2万元</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1.553395万元</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7.77</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1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58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提高党员爱国意识，增强党性</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达到预期目标　</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“第一书记”所起作用不够凸显，经费使用不充足</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6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13"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服务对象满意度指标</w:t>
            </w:r>
          </w:p>
        </w:tc>
        <w:tc>
          <w:tcPr>
            <w:tcW w:w="1580"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活动得到党员同志好评</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好评率90%　</w:t>
            </w:r>
          </w:p>
        </w:tc>
        <w:tc>
          <w:tcPr>
            <w:tcW w:w="140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无书面评价材料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总分：86.54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207"/>
        <w:gridCol w:w="1389"/>
        <w:gridCol w:w="247"/>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项目支出事后绩效自评简表（表13）</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spacing w:line="560" w:lineRule="exact"/>
              <w:jc w:val="left"/>
              <w:rPr>
                <w:rFonts w:ascii="宋体" w:hAnsi="宋体" w:cs="宋体"/>
                <w:color w:val="000000"/>
                <w:kern w:val="0"/>
                <w:sz w:val="24"/>
              </w:rPr>
            </w:pPr>
            <w:r>
              <w:rPr>
                <w:rFonts w:hint="eastAsia" w:ascii="宋体" w:hAnsi="宋体" w:cs="宋体"/>
                <w:color w:val="000000"/>
                <w:kern w:val="0"/>
                <w:sz w:val="24"/>
              </w:rPr>
              <w:t>　区党代表任期制工作经费</w:t>
            </w:r>
          </w:p>
        </w:tc>
      </w:tr>
      <w:tr>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仿宋" w:hAnsi="仿宋" w:eastAsia="仿宋" w:cs="仿宋"/>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党建办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1.5984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67%</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6.7</w:t>
            </w:r>
          </w:p>
        </w:tc>
      </w:tr>
      <w:tr>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1.5984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67%</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ascii="宋体" w:hAnsi="宋体" w:cs="宋体"/>
                <w:color w:val="000000"/>
                <w:kern w:val="0"/>
                <w:sz w:val="24"/>
              </w:rPr>
            </w:pPr>
            <w:r>
              <w:rPr>
                <w:rFonts w:hint="eastAsia" w:ascii="宋体" w:hAnsi="宋体" w:cs="宋体"/>
                <w:color w:val="000000"/>
                <w:kern w:val="0"/>
                <w:sz w:val="24"/>
              </w:rPr>
              <w:t>围绕宣传贯彻落实党的十九届四中全会精神和习近平新时代中国特色社会主义思想，着眼如何发挥党代表参与献策、参与监督、参与党的自身建设和联系服务党员群众等方面进行学习，切实增强党代表履职能力,提高履职责任意识。</w:t>
            </w:r>
          </w:p>
        </w:tc>
        <w:tc>
          <w:tcPr>
            <w:tcW w:w="4536" w:type="dxa"/>
            <w:gridSpan w:val="5"/>
            <w:tcBorders>
              <w:top w:val="single" w:color="auto" w:sz="4" w:space="0"/>
              <w:left w:val="nil"/>
              <w:bottom w:val="single" w:color="auto" w:sz="4" w:space="0"/>
              <w:right w:val="single" w:color="000000" w:sz="4" w:space="0"/>
            </w:tcBorders>
          </w:tcPr>
          <w:p>
            <w:pPr>
              <w:spacing w:line="560" w:lineRule="exac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为每位党代表购买书籍、组织学习，提高党代表联系服务党员群众的能力和建言献策的水平。</w:t>
            </w:r>
          </w:p>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8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38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88"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数量指标</w:t>
            </w:r>
          </w:p>
        </w:tc>
        <w:tc>
          <w:tcPr>
            <w:tcW w:w="138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 xml:space="preserve">购买书籍每人16套 </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8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质量指标</w:t>
            </w:r>
          </w:p>
        </w:tc>
        <w:tc>
          <w:tcPr>
            <w:tcW w:w="138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学习参与度≥100%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8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进度指标</w:t>
            </w:r>
          </w:p>
        </w:tc>
        <w:tc>
          <w:tcPr>
            <w:tcW w:w="138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8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成本指标</w:t>
            </w:r>
          </w:p>
        </w:tc>
        <w:tc>
          <w:tcPr>
            <w:tcW w:w="138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项目预算控制数2.4万元</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1.5984万元，完成67%</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6.7</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8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效益指标</w:t>
            </w:r>
          </w:p>
        </w:tc>
        <w:tc>
          <w:tcPr>
            <w:tcW w:w="138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提高了党代表的履职能力和责任意识</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经费使用不充分</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88"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kern w:val="0"/>
                <w:sz w:val="24"/>
              </w:rPr>
              <w:t>服务对象满意度指标</w:t>
            </w:r>
          </w:p>
        </w:tc>
        <w:tc>
          <w:tcPr>
            <w:tcW w:w="138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学习内容和学习质量得到代表好评</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总分：84.4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X="1" w:tblpY="-1800"/>
        <w:tblW w:w="11023" w:type="dxa"/>
        <w:tblInd w:w="0" w:type="dxa"/>
        <w:tblLayout w:type="fixed"/>
        <w:tblCellMar>
          <w:top w:w="0" w:type="dxa"/>
          <w:left w:w="108" w:type="dxa"/>
          <w:bottom w:w="0" w:type="dxa"/>
          <w:right w:w="108" w:type="dxa"/>
        </w:tblCellMar>
      </w:tblPr>
      <w:tblGrid>
        <w:gridCol w:w="846"/>
        <w:gridCol w:w="1283"/>
        <w:gridCol w:w="1381"/>
        <w:gridCol w:w="462"/>
        <w:gridCol w:w="1239"/>
        <w:gridCol w:w="142"/>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r>
              <w:rPr>
                <w:rFonts w:hint="eastAsia" w:ascii="仿宋_GB2312" w:eastAsia="仿宋_GB2312"/>
                <w:sz w:val="32"/>
                <w:szCs w:val="32"/>
              </w:rPr>
              <w:t>附件4：</w:t>
            </w: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免费计划生育技术服务</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7696" behindDoc="0" locked="0" layoutInCell="1" allowOverlap="1">
                      <wp:simplePos x="0" y="0"/>
                      <wp:positionH relativeFrom="column">
                        <wp:posOffset>-53340</wp:posOffset>
                      </wp:positionH>
                      <wp:positionV relativeFrom="paragraph">
                        <wp:posOffset>365125</wp:posOffset>
                      </wp:positionV>
                      <wp:extent cx="1152525" cy="609600"/>
                      <wp:effectExtent l="2540" t="4445" r="6985" b="14605"/>
                      <wp:wrapNone/>
                      <wp:docPr id="21" name="直接箭头连接符 2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28.75pt;height:48pt;width:90.75pt;z-index:251677696;mso-width-relative:page;mso-height-relative:page;" filled="f" stroked="t" coordsize="21600,21600" o:gfxdata="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gp2bf2AAAAAkBAAAPAAAAAAAAAAEAIAAAACIAAABkcnMvZG93&#10;bnJldi54bWxQSwECFAAUAAAACACHTuJApKfWmgACAADzAwAADgAAAAAAAAABACAAAAAn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s="仿宋"/>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教科文体办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4.96</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99.2%</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9.92</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4.96</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99.2%</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9.92</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为计划生育手术人员按一定比例报销手术费</w:t>
            </w: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年度总体目标完成情况综述：区卫健委为我乡拨付50000元，结合我乡基层单位上报情况，为计划生育手术人员报销手术费，基本全部执行。</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843"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23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为符合条件的实施计划生育手术人员按规定报销手术费</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23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基层单位申请后及时发放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项目预算控制数50000元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完成99.2%</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推动计划生育政策落实</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数量指标不明确</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84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239"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申请后及时发放</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92%</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评价指标不明确，无书面材料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234"/>
        <w:gridCol w:w="1467"/>
        <w:gridCol w:w="142"/>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项目支出事后绩效自评简表（表15）</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严重精神障碍患者监护人看护管理补贴</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仿宋" w:hAnsi="仿宋" w:eastAsia="仿宋" w:cs="仿宋"/>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教科文体办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8720" behindDoc="0" locked="0" layoutInCell="1" allowOverlap="1">
                      <wp:simplePos x="0" y="0"/>
                      <wp:positionH relativeFrom="column">
                        <wp:posOffset>-44450</wp:posOffset>
                      </wp:positionH>
                      <wp:positionV relativeFrom="paragraph">
                        <wp:posOffset>22860</wp:posOffset>
                      </wp:positionV>
                      <wp:extent cx="1152525" cy="609600"/>
                      <wp:effectExtent l="2540" t="4445" r="6985" b="14605"/>
                      <wp:wrapNone/>
                      <wp:docPr id="22" name="直接箭头连接符 2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5pt;margin-top:1.8pt;height:48pt;width:90.75pt;z-index:251678720;mso-width-relative:page;mso-height-relative:page;" filled="f" stroked="t" coordsize="21600,21600" o:gfxdata="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cFtEDXAAAABwEAAA8AAAAAAAAAAQAgAAAAIgAAAGRycy9kb3du&#10;cmV2LnhtbFBLAQIUABQAAAAIAIdO4kCd70cQAAIAAPMDAAAOAAAAAAAAAAEAIAAAACY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36.29</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36.28</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9.99</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36.29</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36.28</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9.99</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通过对严重精神障碍患者看护人进行补贴，维护社会稳定。</w:t>
            </w: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年度总体目标完成情况综述：按照区卫健委工作部署，对于申请严重精神障碍患者看护补贴的监护人，每月200元补贴。我乡严格执行相关工作要求，对看护人按季度及时发放。</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61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615"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467"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对全乡严重精神障碍患者看护人进行补贴</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4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基层单位申请后及时发放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46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项目预算控制数362880元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362800元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加强对精神障碍患者补贴进行发放，维护社会稳定</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发放及时，但数量指标、质量指标有待细化</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615"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467"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申请后及时发放</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总分：91</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283"/>
        <w:gridCol w:w="1381"/>
        <w:gridCol w:w="139"/>
        <w:gridCol w:w="1562"/>
        <w:gridCol w:w="142"/>
        <w:gridCol w:w="1134"/>
        <w:gridCol w:w="1155"/>
        <w:gridCol w:w="121"/>
        <w:gridCol w:w="992"/>
        <w:gridCol w:w="992"/>
        <w:gridCol w:w="1276"/>
      </w:tblGrid>
      <w:tr>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9"/>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农村育龄妇女长效措施奖励费</w:t>
            </w:r>
          </w:p>
        </w:tc>
      </w:tr>
      <w:tr>
        <w:tblPrEx>
          <w:tblCellMar>
            <w:top w:w="0" w:type="dxa"/>
            <w:left w:w="108" w:type="dxa"/>
            <w:bottom w:w="0" w:type="dxa"/>
            <w:right w:w="108" w:type="dxa"/>
          </w:tblCellMar>
        </w:tblPrEx>
        <w:trPr>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仿宋" w:hAnsi="仿宋" w:eastAsia="仿宋" w:cs="仿宋"/>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教科文体办</w:t>
            </w:r>
          </w:p>
        </w:tc>
      </w:tr>
      <w:tr>
        <w:tblPrEx>
          <w:tblCellMar>
            <w:top w:w="0" w:type="dxa"/>
            <w:left w:w="108" w:type="dxa"/>
            <w:bottom w:w="0" w:type="dxa"/>
            <w:right w:w="108" w:type="dxa"/>
          </w:tblCellMar>
        </w:tblPrEx>
        <w:trPr>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79744" behindDoc="0" locked="0" layoutInCell="1" allowOverlap="1">
                      <wp:simplePos x="0" y="0"/>
                      <wp:positionH relativeFrom="column">
                        <wp:posOffset>-52705</wp:posOffset>
                      </wp:positionH>
                      <wp:positionV relativeFrom="paragraph">
                        <wp:posOffset>12700</wp:posOffset>
                      </wp:positionV>
                      <wp:extent cx="1152525" cy="609600"/>
                      <wp:effectExtent l="2540" t="4445" r="6985" b="14605"/>
                      <wp:wrapNone/>
                      <wp:docPr id="23" name="直接箭头连接符 2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15pt;margin-top:1pt;height:48pt;width:90.75pt;z-index:251679744;mso-width-relative:page;mso-height-relative:page;" filled="f" stroked="t" coordsize="21600,21600" o:gfxdata="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YXP7LWAAAABwEAAA8AAAAAAAAAAQAgAAAAIgAAAGRycy9kb3du&#10;cmV2LnhtbFBLAQIUABQAAAAIAIdO4kCK18hpAQIAAPMDAAAOAAAAAAAAAAEAIAAAACUBAABkcnMv&#10;ZTJvRG9jLnhtbFBLBQYAAAAABgAGAFkBAACYBQ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0.02</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0.02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0.02</w:t>
            </w:r>
          </w:p>
        </w:tc>
        <w:tc>
          <w:tcPr>
            <w:tcW w:w="1276" w:type="dxa"/>
            <w:gridSpan w:val="2"/>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0.02</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w:t>
            </w:r>
          </w:p>
        </w:tc>
        <w:tc>
          <w:tcPr>
            <w:tcW w:w="992" w:type="dxa"/>
            <w:tcBorders>
              <w:top w:val="nil"/>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tcBorders>
              <w:top w:val="nil"/>
              <w:left w:val="nil"/>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r>
      <w:tr>
        <w:trPr>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center"/>
              <w:rPr>
                <w:rFonts w:ascii="宋体" w:hAnsi="宋体" w:cs="宋体"/>
                <w:color w:val="000000"/>
                <w:kern w:val="0"/>
                <w:sz w:val="24"/>
              </w:rPr>
            </w:pPr>
            <w:r>
              <w:rPr>
                <w:rFonts w:hint="eastAsia" w:ascii="宋体" w:hAnsi="宋体" w:cs="宋体"/>
                <w:color w:val="000000"/>
                <w:kern w:val="0"/>
                <w:sz w:val="24"/>
              </w:rPr>
              <w:t>通过对农村地区妇女进行长效避孕措施奖励，推动计划生育政策落实。</w:t>
            </w: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年度总体目标完成情况综述：按照要求对进行长效避孕措施的妇女进行及时奖励。</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6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520" w:type="dxa"/>
            <w:gridSpan w:val="2"/>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56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对符合条件的农村育龄妇女长效措施奖励按200元/人标准发放</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56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基层单位申请后及时发放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562" w:type="dxa"/>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2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56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项目预算控制数200元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200元，完成100%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52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56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推动计划生育政策落实</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52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562" w:type="dxa"/>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申请后及时发放</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90%</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口头评价，无书面材料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X="1" w:tblpY="-1800"/>
        <w:tblW w:w="11023" w:type="dxa"/>
        <w:tblInd w:w="0" w:type="dxa"/>
        <w:tblLayout w:type="fixed"/>
        <w:tblCellMar>
          <w:top w:w="0" w:type="dxa"/>
          <w:left w:w="108" w:type="dxa"/>
          <w:bottom w:w="0" w:type="dxa"/>
          <w:right w:w="108" w:type="dxa"/>
        </w:tblCellMar>
      </w:tblPr>
      <w:tblGrid>
        <w:gridCol w:w="846"/>
        <w:gridCol w:w="978"/>
        <w:gridCol w:w="1457"/>
        <w:gridCol w:w="1825"/>
        <w:gridCol w:w="247"/>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vAlign w:val="center"/>
          </w:tcPr>
          <w:p>
            <w:pPr>
              <w:widowControl/>
              <w:jc w:val="center"/>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28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742"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2018年新型农民培养乡镇引导性培训补贴</w:t>
            </w:r>
          </w:p>
        </w:tc>
      </w:tr>
      <w:tr>
        <w:tblPrEx>
          <w:tblCellMar>
            <w:top w:w="0" w:type="dxa"/>
            <w:left w:w="108" w:type="dxa"/>
            <w:bottom w:w="0" w:type="dxa"/>
            <w:right w:w="108" w:type="dxa"/>
          </w:tblCellMar>
        </w:tblPrEx>
        <w:trPr>
          <w:trHeight w:val="370" w:hRule="atLeast"/>
        </w:trPr>
        <w:tc>
          <w:tcPr>
            <w:tcW w:w="328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206"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trHeight w:val="674" w:hRule="atLeast"/>
        </w:trPr>
        <w:tc>
          <w:tcPr>
            <w:tcW w:w="3281"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072"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28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72"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3.04</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2.15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70.72%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7.07</w:t>
            </w:r>
          </w:p>
        </w:tc>
      </w:tr>
      <w:tr>
        <w:tblPrEx>
          <w:tblCellMar>
            <w:top w:w="0" w:type="dxa"/>
            <w:left w:w="108" w:type="dxa"/>
            <w:bottom w:w="0" w:type="dxa"/>
            <w:right w:w="108" w:type="dxa"/>
          </w:tblCellMar>
        </w:tblPrEx>
        <w:trPr>
          <w:trHeight w:val="370" w:hRule="atLeast"/>
        </w:trPr>
        <w:tc>
          <w:tcPr>
            <w:tcW w:w="328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72"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3.04</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2.15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70.72%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7.07</w:t>
            </w:r>
          </w:p>
        </w:tc>
      </w:tr>
      <w:tr>
        <w:tblPrEx>
          <w:tblCellMar>
            <w:top w:w="0" w:type="dxa"/>
            <w:left w:w="108" w:type="dxa"/>
            <w:bottom w:w="0" w:type="dxa"/>
            <w:right w:w="108" w:type="dxa"/>
          </w:tblCellMar>
        </w:tblPrEx>
        <w:trPr>
          <w:trHeight w:val="370" w:hRule="atLeast"/>
        </w:trPr>
        <w:tc>
          <w:tcPr>
            <w:tcW w:w="3281"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072"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对乡域内企业人员培训最新社保政策。</w:t>
            </w: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2019年起新的社会保险政策正式实施，包括社保税管、断缴清零、程序简化、养老上浮、育险入医等问题，组织乡域内就业人员进行最新社保政策培训，参加培训人数100余人。</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7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5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57"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82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组织乡域内就业人员进行最新社保政策培，参与人数≥100</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100余人</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45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培训参与度≥98%；培训合格率≥98%</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45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培训12月前完成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控制在3.04万</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2.15</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7.07</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5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82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提高乡域内企业人员社保工作的能力</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覆盖人群有待扩大，培训内容有待丰富，经费使用不充足</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7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5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服务对象满意度指标</w:t>
            </w:r>
          </w:p>
        </w:tc>
        <w:tc>
          <w:tcPr>
            <w:tcW w:w="182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组织管理及培训质量得到接受培训人员好评≥98%</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好评率达98%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口头反馈，无书面材料</w:t>
            </w:r>
          </w:p>
        </w:tc>
      </w:tr>
      <w:tr>
        <w:tblPrEx>
          <w:tblCellMar>
            <w:top w:w="0" w:type="dxa"/>
            <w:left w:w="108" w:type="dxa"/>
            <w:bottom w:w="0" w:type="dxa"/>
            <w:right w:w="108" w:type="dxa"/>
          </w:tblCellMar>
        </w:tblPrEx>
        <w:trPr>
          <w:trHeight w:val="353" w:hRule="atLeast"/>
        </w:trPr>
        <w:tc>
          <w:tcPr>
            <w:tcW w:w="8755" w:type="dxa"/>
            <w:gridSpan w:val="9"/>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总分：84.14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173"/>
        <w:gridCol w:w="1410"/>
        <w:gridCol w:w="81"/>
        <w:gridCol w:w="1764"/>
        <w:gridCol w:w="79"/>
        <w:gridCol w:w="1134"/>
        <w:gridCol w:w="1155"/>
        <w:gridCol w:w="121"/>
        <w:gridCol w:w="1111"/>
        <w:gridCol w:w="1110"/>
        <w:gridCol w:w="1039"/>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公共就业服务机构推荐就业补贴</w:t>
            </w:r>
          </w:p>
        </w:tc>
      </w:tr>
      <w:tr>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rPr>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1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03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26.5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20.29</w:t>
            </w:r>
          </w:p>
        </w:tc>
        <w:tc>
          <w:tcPr>
            <w:tcW w:w="1111"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11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76.57%　</w:t>
            </w:r>
          </w:p>
        </w:tc>
        <w:tc>
          <w:tcPr>
            <w:tcW w:w="10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7.66</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26.5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20.29</w:t>
            </w:r>
          </w:p>
        </w:tc>
        <w:tc>
          <w:tcPr>
            <w:tcW w:w="1111"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11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76.57%　</w:t>
            </w:r>
          </w:p>
        </w:tc>
        <w:tc>
          <w:tcPr>
            <w:tcW w:w="10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7.66</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11"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1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3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促进我乡就业工作，加大就业政策宣传力度，对就业率优秀村进行奖励。</w:t>
            </w: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numPr>
                <w:ilvl w:val="0"/>
                <w:numId w:val="6"/>
              </w:numPr>
              <w:jc w:val="left"/>
              <w:rPr>
                <w:rFonts w:ascii="宋体" w:hAnsi="宋体" w:cs="宋体"/>
                <w:color w:val="000000"/>
                <w:kern w:val="0"/>
                <w:sz w:val="24"/>
              </w:rPr>
            </w:pPr>
            <w:r>
              <w:rPr>
                <w:rFonts w:hint="eastAsia" w:ascii="宋体" w:hAnsi="宋体" w:cs="宋体"/>
                <w:color w:val="000000"/>
                <w:kern w:val="0"/>
                <w:sz w:val="24"/>
              </w:rPr>
              <w:t>促进我乡就业工作，组织开展促进就业宣传。</w:t>
            </w:r>
          </w:p>
          <w:p>
            <w:pPr>
              <w:widowControl/>
              <w:numPr>
                <w:ilvl w:val="0"/>
                <w:numId w:val="6"/>
              </w:numPr>
              <w:jc w:val="left"/>
              <w:rPr>
                <w:rFonts w:ascii="宋体" w:hAnsi="宋体" w:cs="宋体"/>
                <w:color w:val="000000"/>
                <w:kern w:val="0"/>
                <w:sz w:val="24"/>
              </w:rPr>
            </w:pPr>
            <w:r>
              <w:rPr>
                <w:rFonts w:hint="eastAsia" w:ascii="宋体" w:hAnsi="宋体" w:cs="宋体"/>
                <w:color w:val="000000"/>
                <w:kern w:val="0"/>
                <w:sz w:val="24"/>
              </w:rPr>
              <w:t>对就业率优秀村进行奖励。</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3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10" w:type="dxa"/>
            <w:vMerge w:val="restart"/>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845"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对就业优秀2个村给予奖励</w:t>
            </w:r>
          </w:p>
        </w:tc>
        <w:tc>
          <w:tcPr>
            <w:tcW w:w="1213"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2个村</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3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4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410" w:type="dxa"/>
            <w:vMerge w:val="continue"/>
            <w:tcBorders>
              <w:left w:val="nil"/>
              <w:right w:val="single" w:color="auto" w:sz="4" w:space="0"/>
            </w:tcBorders>
            <w:noWrap/>
            <w:vAlign w:val="center"/>
          </w:tcPr>
          <w:p>
            <w:pPr>
              <w:widowControl/>
              <w:jc w:val="center"/>
              <w:rPr>
                <w:rFonts w:ascii="宋体" w:hAnsi="宋体" w:cs="宋体"/>
                <w:color w:val="000000"/>
                <w:kern w:val="0"/>
                <w:sz w:val="24"/>
              </w:rPr>
            </w:pPr>
          </w:p>
        </w:tc>
        <w:tc>
          <w:tcPr>
            <w:tcW w:w="1845"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增加就业宣传，对有就业需求的人员进行岗位推荐，人数大于30人</w:t>
            </w:r>
          </w:p>
        </w:tc>
        <w:tc>
          <w:tcPr>
            <w:tcW w:w="1213"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50人</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3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49"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845"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严格执行财务制度，按规定支出</w:t>
            </w:r>
          </w:p>
        </w:tc>
        <w:tc>
          <w:tcPr>
            <w:tcW w:w="12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达到预定目标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3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845"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12月底前完成</w:t>
            </w:r>
          </w:p>
        </w:tc>
        <w:tc>
          <w:tcPr>
            <w:tcW w:w="12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3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845" w:type="dxa"/>
            <w:gridSpan w:val="2"/>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控制在26.5万</w:t>
            </w:r>
          </w:p>
        </w:tc>
        <w:tc>
          <w:tcPr>
            <w:tcW w:w="12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20.29</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3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7.66</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1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84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促进我乡就业工作，提高转居人员推荐就业率</w:t>
            </w:r>
          </w:p>
        </w:tc>
        <w:tc>
          <w:tcPr>
            <w:tcW w:w="121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基本实现</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3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数量指标、质量指标不细化，经费使用不充足，</w:t>
            </w:r>
          </w:p>
        </w:tc>
      </w:tr>
      <w:tr>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41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服务对象满意度指标</w:t>
            </w:r>
          </w:p>
        </w:tc>
        <w:tc>
          <w:tcPr>
            <w:tcW w:w="184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享受就业推荐的人员好评</w:t>
            </w:r>
          </w:p>
        </w:tc>
        <w:tc>
          <w:tcPr>
            <w:tcW w:w="121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好评率达98%</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3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　</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口头反馈，无书面材料</w:t>
            </w:r>
          </w:p>
        </w:tc>
      </w:tr>
      <w:tr>
        <w:trPr>
          <w:trHeight w:val="353" w:hRule="atLeast"/>
        </w:trPr>
        <w:tc>
          <w:tcPr>
            <w:tcW w:w="8874"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总分：86.32</w:t>
            </w:r>
          </w:p>
        </w:tc>
        <w:tc>
          <w:tcPr>
            <w:tcW w:w="214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381"/>
        <w:gridCol w:w="114"/>
        <w:gridCol w:w="1482"/>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项目支出事后绩效自评简表（表19）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就业补助专项资金-外出就业补助</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4"/>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gridAfter w:val="1"/>
          <w:wAfter w:w="3809"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0768" behindDoc="0" locked="0" layoutInCell="1" allowOverlap="1">
                      <wp:simplePos x="0" y="0"/>
                      <wp:positionH relativeFrom="column">
                        <wp:posOffset>-68580</wp:posOffset>
                      </wp:positionH>
                      <wp:positionV relativeFrom="paragraph">
                        <wp:posOffset>14605</wp:posOffset>
                      </wp:positionV>
                      <wp:extent cx="1171575" cy="575310"/>
                      <wp:effectExtent l="1905" t="4445" r="7620" b="10795"/>
                      <wp:wrapNone/>
                      <wp:docPr id="24" name="直接箭头连接符 24"/>
                      <wp:cNvGraphicFramePr/>
                      <a:graphic xmlns:a="http://schemas.openxmlformats.org/drawingml/2006/main">
                        <a:graphicData uri="http://schemas.microsoft.com/office/word/2010/wordprocessingShape">
                          <wps:wsp>
                            <wps:cNvCnPr/>
                            <wps:spPr>
                              <a:xfrm>
                                <a:off x="0" y="0"/>
                                <a:ext cx="1171575" cy="5753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4pt;margin-top:1.15pt;height:45.3pt;width:92.25pt;z-index:251680768;mso-width-relative:page;mso-height-relative:page;" filled="f" stroked="t" coordsize="21600,21600" o:gfxdata="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NeGINcAAAAIAQAADwAAAAAAAAABACAAAAAiAAAAZHJzL2Rv&#10;d25yZXYueG1sUEsBAhQAFAAAAAgAh07iQJVeo1UCAgAA8wMAAA4AAAAAAAAAAQAgAAAAJgEAAGRy&#10;cy9lMm9Eb2MueG1sUEsFBgAAAAAGAAYAWQEAAJo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19.995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99.97%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19.995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99.97%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9.99</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鼓励乡域内有就业需求人员外出就业。</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鼓励乡域内有就业需求人员外出就业，符合条件西铁营村、新宫村共119人。</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9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48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9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48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按规定为符合条件的外出就业人员申请补助</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119人</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49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48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严格依据规定进行申报，经费发放到位</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达到预定目标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49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482" w:type="dxa"/>
            <w:tcBorders>
              <w:top w:val="single" w:color="auto" w:sz="4" w:space="0"/>
              <w:left w:val="nil"/>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12月前完成</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12月完成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49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48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0"/>
                <w:szCs w:val="20"/>
              </w:rPr>
              <w:t>控制在20万内</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19.995</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9.99</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30"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9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4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鼓励外出就业，保障相关人员民生</w:t>
            </w:r>
          </w:p>
        </w:tc>
        <w:tc>
          <w:tcPr>
            <w:tcW w:w="1381"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实现预定目标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数量指标设置不细化</w:t>
            </w: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49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w:t>
            </w:r>
          </w:p>
        </w:tc>
        <w:tc>
          <w:tcPr>
            <w:tcW w:w="148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服务对象满意度指标</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好评率98%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914"/>
        <w:gridCol w:w="1324"/>
        <w:gridCol w:w="2022"/>
        <w:gridCol w:w="247"/>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项目支出事后绩效自评简表（表20）</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08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939"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社区管理退休人员服务经费</w:t>
            </w:r>
          </w:p>
        </w:tc>
      </w:tr>
      <w:tr>
        <w:tblPrEx>
          <w:tblCellMar>
            <w:top w:w="0" w:type="dxa"/>
            <w:left w:w="108" w:type="dxa"/>
            <w:bottom w:w="0" w:type="dxa"/>
            <w:right w:w="108" w:type="dxa"/>
          </w:tblCellMar>
        </w:tblPrEx>
        <w:trPr>
          <w:trHeight w:val="370" w:hRule="atLeast"/>
        </w:trPr>
        <w:tc>
          <w:tcPr>
            <w:tcW w:w="308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40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trHeight w:val="674" w:hRule="atLeast"/>
        </w:trPr>
        <w:tc>
          <w:tcPr>
            <w:tcW w:w="3084"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1792" behindDoc="0" locked="0" layoutInCell="1" allowOverlap="1">
                      <wp:simplePos x="0" y="0"/>
                      <wp:positionH relativeFrom="column">
                        <wp:posOffset>-43815</wp:posOffset>
                      </wp:positionH>
                      <wp:positionV relativeFrom="paragraph">
                        <wp:posOffset>17780</wp:posOffset>
                      </wp:positionV>
                      <wp:extent cx="1423035" cy="582930"/>
                      <wp:effectExtent l="1905" t="4445" r="3810" b="22225"/>
                      <wp:wrapNone/>
                      <wp:docPr id="25" name="直接箭头连接符 25"/>
                      <wp:cNvGraphicFramePr/>
                      <a:graphic xmlns:a="http://schemas.openxmlformats.org/drawingml/2006/main">
                        <a:graphicData uri="http://schemas.microsoft.com/office/word/2010/wordprocessingShape">
                          <wps:wsp>
                            <wps:cNvCnPr/>
                            <wps:spPr>
                              <a:xfrm>
                                <a:off x="0" y="0"/>
                                <a:ext cx="1423035" cy="582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45pt;margin-top:1.4pt;height:45.9pt;width:112.05pt;z-index:251681792;mso-width-relative:page;mso-height-relative:page;" filled="f" stroked="t" coordsize="21600,21600" o:gfxdata="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ZWJ8tYAAAAHAQAADwAAAAAAAAABACAAAAAiAAAAZHJzL2Rv&#10;d25yZXYueG1sUEsBAhQAFAAAAAgAh07iQOw9mNEDAgAA8wMAAA4AAAAAAAAAAQAgAAAAJQEAAGRy&#10;cy9lMm9Eb2MueG1sUEsFBgAAAAAGAAYAWQEAAJo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0.895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0.86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96.4%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9.64</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0.895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0.86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96.4%</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9.64</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通过组织开展社区活动，丰富退休人员生活；对社会化退休人员中大病、生活困难人员进行走访慰问。</w:t>
            </w: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1.加强社会化退休人员的爱国主义思想教育，激发他们爱党爱国爱北京的政治热情，为退休人员宣传爱国主义教育。</w:t>
            </w:r>
          </w:p>
          <w:p>
            <w:pPr>
              <w:widowControl/>
              <w:jc w:val="left"/>
              <w:rPr>
                <w:rFonts w:ascii="宋体" w:hAnsi="宋体" w:cs="宋体"/>
                <w:color w:val="000000"/>
                <w:kern w:val="0"/>
                <w:sz w:val="24"/>
              </w:rPr>
            </w:pPr>
            <w:r>
              <w:rPr>
                <w:rFonts w:hint="eastAsia" w:ascii="宋体" w:hAnsi="宋体" w:cs="宋体"/>
                <w:color w:val="000000"/>
                <w:kern w:val="0"/>
                <w:sz w:val="24"/>
              </w:rPr>
              <w:t>2.对社会化退休人员中大病、生活困难人员进行走访慰问。</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02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24" w:type="dxa"/>
            <w:vMerge w:val="restart"/>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202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组织退休人员进行宣传爱国主义教育不少于1场</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1场</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324" w:type="dxa"/>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202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对生活困难退休人员走访慰问全覆盖</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全覆盖</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202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走访覆盖率≥98%，活动覆盖率≥98%</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20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12月底完成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8.63万</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9.64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加强对社区管理退休人员关爱，维护社会稳定</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达到预定目的</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数量指标、质量指标不细化，</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参加活动的退休人员好评98%</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好评率达98%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口头反馈，无书面材料</w:t>
            </w:r>
          </w:p>
        </w:tc>
      </w:tr>
      <w:tr>
        <w:tblPrEx>
          <w:tblCellMar>
            <w:top w:w="0" w:type="dxa"/>
            <w:left w:w="108" w:type="dxa"/>
            <w:bottom w:w="0" w:type="dxa"/>
            <w:right w:w="108" w:type="dxa"/>
          </w:tblCellMar>
        </w:tblPrEx>
        <w:trPr>
          <w:trHeight w:val="353" w:hRule="atLeast"/>
        </w:trPr>
        <w:tc>
          <w:tcPr>
            <w:tcW w:w="8755" w:type="dxa"/>
            <w:gridSpan w:val="9"/>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总分：88.18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914"/>
        <w:gridCol w:w="1324"/>
        <w:gridCol w:w="2022"/>
        <w:gridCol w:w="247"/>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08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939"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社区管理退休人员自采暖补贴</w:t>
            </w:r>
          </w:p>
        </w:tc>
      </w:tr>
      <w:tr>
        <w:tblPrEx>
          <w:tblCellMar>
            <w:top w:w="0" w:type="dxa"/>
            <w:left w:w="108" w:type="dxa"/>
            <w:bottom w:w="0" w:type="dxa"/>
            <w:right w:w="108" w:type="dxa"/>
          </w:tblCellMar>
        </w:tblPrEx>
        <w:trPr>
          <w:trHeight w:val="370" w:hRule="atLeast"/>
        </w:trPr>
        <w:tc>
          <w:tcPr>
            <w:tcW w:w="308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40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trHeight w:val="674" w:hRule="atLeast"/>
        </w:trPr>
        <w:tc>
          <w:tcPr>
            <w:tcW w:w="3084"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2816" behindDoc="0" locked="0" layoutInCell="1" allowOverlap="1">
                      <wp:simplePos x="0" y="0"/>
                      <wp:positionH relativeFrom="column">
                        <wp:posOffset>-43815</wp:posOffset>
                      </wp:positionH>
                      <wp:positionV relativeFrom="paragraph">
                        <wp:posOffset>17780</wp:posOffset>
                      </wp:positionV>
                      <wp:extent cx="1423035" cy="582930"/>
                      <wp:effectExtent l="1905" t="4445" r="3810" b="22225"/>
                      <wp:wrapNone/>
                      <wp:docPr id="26" name="直接箭头连接符 26"/>
                      <wp:cNvGraphicFramePr/>
                      <a:graphic xmlns:a="http://schemas.openxmlformats.org/drawingml/2006/main">
                        <a:graphicData uri="http://schemas.microsoft.com/office/word/2010/wordprocessingShape">
                          <wps:wsp>
                            <wps:cNvCnPr/>
                            <wps:spPr>
                              <a:xfrm>
                                <a:off x="0" y="0"/>
                                <a:ext cx="1423035" cy="5829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45pt;margin-top:1.4pt;height:45.9pt;width:112.05pt;z-index:251682816;mso-width-relative:page;mso-height-relative:page;" filled="f" stroked="t" coordsize="21600,21600" o:gfxdata="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llYny1gAAAAcBAAAPAAAAAAAAAAEAIAAAACIAAABkcnMv&#10;ZG93bnJldi54bWxQSwECFAAUAAAACACHTuJA1XUJWwUCAADzAwAADgAAAAAAAAABACAAAAAlAQAA&#10;ZHJzL2Uyb0RvYy54bWxQSwUGAAAAAAYABgBZAQAAnAU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r>
      <w:tr>
        <w:tblPrEx>
          <w:tblCellMar>
            <w:top w:w="0" w:type="dxa"/>
            <w:left w:w="108" w:type="dxa"/>
            <w:bottom w:w="0" w:type="dxa"/>
            <w:right w:w="108" w:type="dxa"/>
          </w:tblCellMar>
        </w:tblPrEx>
        <w:trPr>
          <w:trHeight w:val="370" w:hRule="atLeast"/>
        </w:trPr>
        <w:tc>
          <w:tcPr>
            <w:tcW w:w="308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269"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为符合要求的社区退休人员申领住宅清洁能源分户自采暖补贴。</w:t>
            </w: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通过发放社区管理退休人员自采暖补贴，为相关人员提供过冬保障，体现社会救助</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02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24"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2022"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为符合要求的社区退休人员申领住宅清洁能源分户自采暖补贴</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8人</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202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根据规定进行申报，应报尽报</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20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11月底完成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控制在9万内</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1.71</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加强对社区管理退休人员关爱，为其提供过冬保障</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达到预定目的</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预算测算不准确，数量质量、质量指标不细化</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1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2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服务对象满意度指标</w:t>
            </w:r>
          </w:p>
        </w:tc>
        <w:tc>
          <w:tcPr>
            <w:tcW w:w="2022"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发放人员好评98%</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好评率达98%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口头反馈，无书面材料</w:t>
            </w:r>
          </w:p>
        </w:tc>
      </w:tr>
      <w:tr>
        <w:tblPrEx>
          <w:tblCellMar>
            <w:top w:w="0" w:type="dxa"/>
            <w:left w:w="108" w:type="dxa"/>
            <w:bottom w:w="0" w:type="dxa"/>
            <w:right w:w="108" w:type="dxa"/>
          </w:tblCellMar>
        </w:tblPrEx>
        <w:trPr>
          <w:trHeight w:val="353" w:hRule="atLeast"/>
        </w:trPr>
        <w:tc>
          <w:tcPr>
            <w:tcW w:w="8755" w:type="dxa"/>
            <w:gridSpan w:val="9"/>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总分：76.8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381"/>
        <w:gridCol w:w="1779"/>
        <w:gridCol w:w="64"/>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优抚对象发放一次性医疗补助金</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gridAfter w:val="1"/>
          <w:wAfter w:w="3809"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0.61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0.61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0.61</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0.61</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为部分享受定期抚恤和生活补助优抚对象发放一次性医疗补助金。</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落实优抚政策，兜牢民生底线，体现社会对优抚人员关爱。</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1"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779"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为享受定期抚恤和生活补助优抚对象发放一次性医疗补助金</w:t>
            </w:r>
          </w:p>
        </w:tc>
        <w:tc>
          <w:tcPr>
            <w:tcW w:w="1198"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4人</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3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77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根据规定进行申报，应报尽报</w:t>
            </w:r>
          </w:p>
        </w:tc>
        <w:tc>
          <w:tcPr>
            <w:tcW w:w="1198"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77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11月底完成</w:t>
            </w:r>
          </w:p>
        </w:tc>
        <w:tc>
          <w:tcPr>
            <w:tcW w:w="119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按期完成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77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控制在0.61万内</w:t>
            </w:r>
          </w:p>
        </w:tc>
        <w:tc>
          <w:tcPr>
            <w:tcW w:w="119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0.61万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1"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77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体现社会对优抚人员关爱，对其医疗费用进行减免。</w:t>
            </w:r>
          </w:p>
        </w:tc>
        <w:tc>
          <w:tcPr>
            <w:tcW w:w="119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达到预定目的</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数量质量、质量指标不细化</w:t>
            </w: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81"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服务对象满意度指标</w:t>
            </w:r>
          </w:p>
        </w:tc>
        <w:tc>
          <w:tcPr>
            <w:tcW w:w="1779"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发放人员好评98%</w:t>
            </w:r>
          </w:p>
        </w:tc>
        <w:tc>
          <w:tcPr>
            <w:tcW w:w="119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好评率达98%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总分：91</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091"/>
        <w:gridCol w:w="1309"/>
        <w:gridCol w:w="264"/>
        <w:gridCol w:w="1596"/>
        <w:gridCol w:w="247"/>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2"/>
            <w:tcBorders>
              <w:top w:val="nil"/>
              <w:left w:val="nil"/>
              <w:bottom w:val="nil"/>
              <w:right w:val="nil"/>
            </w:tcBorders>
            <w:vAlign w:val="center"/>
          </w:tcPr>
          <w:p>
            <w:pPr>
              <w:widowControl/>
              <w:jc w:val="center"/>
              <w:rPr>
                <w:rFonts w:ascii="宋体" w:hAnsi="宋体" w:cs="宋体"/>
                <w:b/>
                <w:bCs/>
                <w:color w:val="000000"/>
                <w:kern w:val="0"/>
                <w:sz w:val="32"/>
                <w:szCs w:val="32"/>
              </w:rPr>
            </w:pPr>
          </w:p>
          <w:p>
            <w:pPr>
              <w:widowControl/>
              <w:jc w:val="center"/>
              <w:rPr>
                <w:rFonts w:ascii="宋体" w:hAnsi="宋体" w:cs="宋体"/>
                <w:color w:val="000000"/>
                <w:kern w:val="0"/>
                <w:sz w:val="32"/>
                <w:szCs w:val="32"/>
              </w:rPr>
            </w:pPr>
            <w:r>
              <w:rPr>
                <w:rFonts w:hint="eastAsia" w:ascii="宋体" w:hAnsi="宋体" w:cs="宋体"/>
                <w:b/>
                <w:bCs/>
                <w:color w:val="000000"/>
                <w:kern w:val="0"/>
                <w:sz w:val="32"/>
                <w:szCs w:val="32"/>
              </w:rPr>
              <w:t>项目支出事后绩效自评简表（表23）</w:t>
            </w:r>
          </w:p>
        </w:tc>
      </w:tr>
      <w:tr>
        <w:tblPrEx>
          <w:tblCellMar>
            <w:top w:w="0" w:type="dxa"/>
            <w:left w:w="108" w:type="dxa"/>
            <w:bottom w:w="0" w:type="dxa"/>
            <w:right w:w="108" w:type="dxa"/>
          </w:tblCellMar>
        </w:tblPrEx>
        <w:trPr>
          <w:trHeight w:val="311" w:hRule="atLeast"/>
        </w:trPr>
        <w:tc>
          <w:tcPr>
            <w:tcW w:w="11023" w:type="dxa"/>
            <w:gridSpan w:val="12"/>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8"/>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2019年群租房专项整治新增1000处任务资金</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南苑乡人民政府综治办</w:t>
            </w:r>
          </w:p>
        </w:tc>
      </w:tr>
      <w:tr>
        <w:tblPrEx>
          <w:tblCellMar>
            <w:top w:w="0" w:type="dxa"/>
            <w:left w:w="108" w:type="dxa"/>
            <w:bottom w:w="0" w:type="dxa"/>
            <w:right w:w="108" w:type="dxa"/>
          </w:tblCellMar>
        </w:tblPrEx>
        <w:trPr>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3840" behindDoc="0" locked="0" layoutInCell="1" allowOverlap="1">
                      <wp:simplePos x="0" y="0"/>
                      <wp:positionH relativeFrom="column">
                        <wp:posOffset>-54610</wp:posOffset>
                      </wp:positionH>
                      <wp:positionV relativeFrom="paragraph">
                        <wp:posOffset>8890</wp:posOffset>
                      </wp:positionV>
                      <wp:extent cx="1153160" cy="578485"/>
                      <wp:effectExtent l="1905" t="4445" r="6985" b="7620"/>
                      <wp:wrapNone/>
                      <wp:docPr id="27" name="直接箭头连接符 27"/>
                      <wp:cNvGraphicFramePr/>
                      <a:graphic xmlns:a="http://schemas.openxmlformats.org/drawingml/2006/main">
                        <a:graphicData uri="http://schemas.microsoft.com/office/word/2010/wordprocessingShape">
                          <wps:wsp>
                            <wps:cNvCnPr/>
                            <wps:spPr>
                              <a:xfrm>
                                <a:off x="0" y="0"/>
                                <a:ext cx="1153160" cy="5784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3pt;margin-top:0.7pt;height:45.55pt;width:90.8pt;z-index:251683840;mso-width-relative:page;mso-height-relative:page;" filled="f" stroked="t" coordsize="21600,21600" o:gfxdata="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UCk5NcAAAAHAQAADwAAAAAAAAABACAAAAAiAAAAZHJzL2Rv&#10;d25yZXYueG1sUEsBAhQAFAAAAAgAh07iQAPqxs4CAgAA8wMAAA4AAAAAAAAAAQAgAAAAJgEAAGRy&#10;cy9lMm9Eb2MueG1sUEsFBgAAAAAGAAYAWQEAAJo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523"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年初设定目标：按照群租房拆除质量及反弹情况对各村、社区拆除的群租房进行补助</w:t>
            </w: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Cs w:val="21"/>
              </w:rPr>
            </w:pPr>
            <w:r>
              <w:rPr>
                <w:rFonts w:hint="eastAsia" w:ascii="宋体" w:hAnsi="宋体" w:cs="宋体"/>
                <w:color w:val="000000"/>
                <w:kern w:val="0"/>
                <w:szCs w:val="21"/>
              </w:rPr>
              <w:t>1.根据区房管局要求安装群租房提示牌10000元，每块安装费25元，共计400块</w:t>
            </w:r>
          </w:p>
          <w:p>
            <w:pPr>
              <w:widowControl/>
              <w:jc w:val="left"/>
              <w:rPr>
                <w:rFonts w:ascii="宋体" w:hAnsi="宋体" w:cs="宋体"/>
                <w:color w:val="000000"/>
                <w:kern w:val="0"/>
                <w:szCs w:val="21"/>
              </w:rPr>
            </w:pPr>
            <w:r>
              <w:rPr>
                <w:rFonts w:hint="eastAsia" w:ascii="宋体" w:hAnsi="宋体" w:cs="宋体"/>
                <w:color w:val="000000"/>
                <w:kern w:val="0"/>
                <w:szCs w:val="21"/>
              </w:rPr>
              <w:t>2. 德鑫嘉园拆除5处补助5000元</w:t>
            </w:r>
          </w:p>
          <w:p>
            <w:pPr>
              <w:widowControl/>
              <w:jc w:val="left"/>
              <w:rPr>
                <w:rFonts w:ascii="宋体" w:hAnsi="宋体" w:cs="宋体"/>
                <w:color w:val="000000"/>
                <w:kern w:val="0"/>
                <w:szCs w:val="21"/>
              </w:rPr>
            </w:pPr>
            <w:r>
              <w:rPr>
                <w:rFonts w:hint="eastAsia" w:ascii="宋体" w:hAnsi="宋体" w:cs="宋体"/>
                <w:color w:val="000000"/>
                <w:kern w:val="0"/>
                <w:szCs w:val="21"/>
              </w:rPr>
              <w:t>盛世源达拆除5处补助5000元</w:t>
            </w:r>
          </w:p>
          <w:p>
            <w:pPr>
              <w:widowControl/>
              <w:jc w:val="left"/>
              <w:rPr>
                <w:rFonts w:ascii="宋体" w:hAnsi="宋体" w:cs="宋体"/>
                <w:color w:val="000000"/>
                <w:kern w:val="0"/>
                <w:szCs w:val="21"/>
              </w:rPr>
            </w:pPr>
            <w:r>
              <w:rPr>
                <w:rFonts w:hint="eastAsia" w:ascii="宋体" w:hAnsi="宋体" w:cs="宋体"/>
                <w:color w:val="000000"/>
                <w:kern w:val="0"/>
                <w:szCs w:val="21"/>
              </w:rPr>
              <w:t>3.双石二拆除3处补助3000元</w:t>
            </w:r>
          </w:p>
          <w:p>
            <w:pPr>
              <w:widowControl/>
              <w:jc w:val="left"/>
              <w:rPr>
                <w:rFonts w:ascii="宋体" w:hAnsi="宋体" w:cs="宋体"/>
                <w:color w:val="000000"/>
                <w:kern w:val="0"/>
                <w:szCs w:val="21"/>
              </w:rPr>
            </w:pPr>
            <w:r>
              <w:rPr>
                <w:rFonts w:hint="eastAsia" w:ascii="宋体" w:hAnsi="宋体" w:cs="宋体"/>
                <w:color w:val="000000"/>
                <w:kern w:val="0"/>
                <w:szCs w:val="21"/>
              </w:rPr>
              <w:t>4.双石一拆除3处补助3000元</w:t>
            </w:r>
          </w:p>
          <w:p>
            <w:pPr>
              <w:widowControl/>
              <w:jc w:val="left"/>
              <w:rPr>
                <w:rFonts w:ascii="宋体" w:hAnsi="宋体" w:cs="宋体"/>
                <w:color w:val="000000"/>
                <w:kern w:val="0"/>
                <w:szCs w:val="21"/>
              </w:rPr>
            </w:pPr>
            <w:r>
              <w:rPr>
                <w:rFonts w:hint="eastAsia" w:ascii="宋体" w:hAnsi="宋体" w:cs="宋体"/>
                <w:color w:val="000000"/>
                <w:kern w:val="0"/>
                <w:szCs w:val="21"/>
              </w:rPr>
              <w:t>5.西铁营拆除30处补助30000元</w:t>
            </w:r>
          </w:p>
          <w:p>
            <w:pPr>
              <w:widowControl/>
              <w:jc w:val="left"/>
              <w:rPr>
                <w:rFonts w:ascii="宋体" w:hAnsi="宋体" w:cs="宋体"/>
                <w:color w:val="000000"/>
                <w:kern w:val="0"/>
                <w:sz w:val="24"/>
              </w:rPr>
            </w:pPr>
            <w:r>
              <w:rPr>
                <w:rFonts w:hint="eastAsia" w:ascii="宋体" w:hAnsi="宋体" w:cs="宋体"/>
                <w:color w:val="000000"/>
                <w:kern w:val="0"/>
                <w:szCs w:val="21"/>
              </w:rPr>
              <w:t>6.新宫社区拆除20处补助20000元</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6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09" w:type="dxa"/>
            <w:vMerge w:val="restart"/>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860"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安装提示牌400块　</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安装400块</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309" w:type="dxa"/>
            <w:vMerge w:val="continue"/>
            <w:tcBorders>
              <w:left w:val="nil"/>
              <w:right w:val="single" w:color="auto" w:sz="4" w:space="0"/>
            </w:tcBorders>
            <w:noWrap/>
            <w:vAlign w:val="center"/>
          </w:tcPr>
          <w:p>
            <w:pPr>
              <w:widowControl/>
              <w:jc w:val="left"/>
              <w:rPr>
                <w:rFonts w:ascii="宋体" w:hAnsi="宋体" w:cs="宋体"/>
                <w:color w:val="000000"/>
                <w:kern w:val="0"/>
                <w:sz w:val="24"/>
              </w:rPr>
            </w:pPr>
          </w:p>
        </w:tc>
        <w:tc>
          <w:tcPr>
            <w:tcW w:w="1860"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拆除任务171处　</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共计拆除224处</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860"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对新增群租房进行整治，达到整治要求</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达到预期目标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86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11月底前完成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10月底前</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86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项目预算数7.6万元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7.6万元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0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86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sz w:val="20"/>
                <w:szCs w:val="20"/>
              </w:rPr>
              <w:t>整治群租行为，</w:t>
            </w:r>
            <w:r>
              <w:rPr>
                <w:rFonts w:ascii="宋体" w:hAnsi="宋体" w:cs="宋体"/>
                <w:sz w:val="20"/>
                <w:szCs w:val="20"/>
              </w:rPr>
              <w:t>维护社区治安环境</w:t>
            </w:r>
            <w:r>
              <w:rPr>
                <w:rFonts w:hint="eastAsia" w:ascii="宋体" w:hAnsi="宋体" w:cs="宋体"/>
                <w:sz w:val="20"/>
                <w:szCs w:val="20"/>
              </w:rPr>
              <w:t>，降低安全隐患</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超额完成整治任务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数量指标需再细化</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9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w:t>
            </w:r>
          </w:p>
        </w:tc>
        <w:tc>
          <w:tcPr>
            <w:tcW w:w="186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对涉及单位进行测评，好评率90%以上</w:t>
            </w:r>
          </w:p>
        </w:tc>
        <w:tc>
          <w:tcPr>
            <w:tcW w:w="1381" w:type="dxa"/>
            <w:gridSpan w:val="2"/>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好评率90%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　</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trHeight w:val="353" w:hRule="atLeast"/>
        </w:trPr>
        <w:tc>
          <w:tcPr>
            <w:tcW w:w="8755" w:type="dxa"/>
            <w:gridSpan w:val="10"/>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1023" w:type="dxa"/>
        <w:tblInd w:w="0" w:type="dxa"/>
        <w:tblLayout w:type="fixed"/>
        <w:tblCellMar>
          <w:top w:w="0" w:type="dxa"/>
          <w:left w:w="108" w:type="dxa"/>
          <w:bottom w:w="0" w:type="dxa"/>
          <w:right w:w="108" w:type="dxa"/>
        </w:tblCellMar>
      </w:tblPr>
      <w:tblGrid>
        <w:gridCol w:w="846"/>
        <w:gridCol w:w="1105"/>
        <w:gridCol w:w="1323"/>
        <w:gridCol w:w="236"/>
        <w:gridCol w:w="1843"/>
        <w:gridCol w:w="1134"/>
        <w:gridCol w:w="1155"/>
        <w:gridCol w:w="121"/>
        <w:gridCol w:w="992"/>
        <w:gridCol w:w="992"/>
        <w:gridCol w:w="1276"/>
      </w:tblGrid>
      <w:tr>
        <w:tblPrEx>
          <w:tblCellMar>
            <w:top w:w="0" w:type="dxa"/>
            <w:left w:w="108" w:type="dxa"/>
            <w:bottom w:w="0" w:type="dxa"/>
            <w:right w:w="108" w:type="dxa"/>
          </w:tblCellMar>
        </w:tblPrEx>
        <w:trPr>
          <w:trHeight w:val="484" w:hRule="atLeast"/>
        </w:trPr>
        <w:tc>
          <w:tcPr>
            <w:tcW w:w="11023" w:type="dxa"/>
            <w:gridSpan w:val="11"/>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trHeight w:val="311" w:hRule="atLeast"/>
        </w:trPr>
        <w:tc>
          <w:tcPr>
            <w:tcW w:w="11023"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7"/>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群众安全感调查工作</w:t>
            </w:r>
          </w:p>
        </w:tc>
      </w:tr>
      <w:tr>
        <w:tblPrEx>
          <w:tblCellMar>
            <w:top w:w="0" w:type="dxa"/>
            <w:left w:w="108" w:type="dxa"/>
            <w:bottom w:w="0" w:type="dxa"/>
            <w:right w:w="108" w:type="dxa"/>
          </w:tblCellMar>
        </w:tblPrEx>
        <w:trPr>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486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10" name="直接箭头连接符 1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486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YtmMNcAAAAJAQAADwAAAAAAAAABACAAAAAiAAAAZHJzL2Rvd25y&#10;ZXYueG1sUEsBAhQAFAAAAAgAh07iQPOG1rz/AQAA8wMAAA4AAAAAAAAAAQAgAAAAJgEAAGRycy9l&#10;Mm9Eb2MueG1sUEsFBgAAAAAGAAYAWQEAAJcFA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2"/>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南苑乡人民政府综治办</w:t>
            </w:r>
          </w:p>
        </w:tc>
      </w:tr>
      <w:tr>
        <w:tblPrEx>
          <w:tblCellMar>
            <w:top w:w="0" w:type="dxa"/>
            <w:left w:w="108" w:type="dxa"/>
            <w:bottom w:w="0" w:type="dxa"/>
            <w:right w:w="108" w:type="dxa"/>
          </w:tblCellMar>
        </w:tblPrEx>
        <w:trPr>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523"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3.75</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3.75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年初设定目标：为开展群众安全感满意度调查工作，制作手提袋、帽子，针对参与调查的群众发放宣传纪念品，做好宣传工作。</w:t>
            </w:r>
          </w:p>
          <w:p>
            <w:pPr>
              <w:widowControl/>
              <w:jc w:val="left"/>
              <w:rPr>
                <w:rFonts w:ascii="宋体" w:hAnsi="宋体" w:cs="宋体"/>
                <w:color w:val="000000"/>
                <w:kern w:val="0"/>
                <w:sz w:val="24"/>
              </w:rPr>
            </w:pPr>
          </w:p>
        </w:tc>
        <w:tc>
          <w:tcPr>
            <w:tcW w:w="4536"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在全乡范围内开展群众安全感调查，针对受调查用户发放宣传品。</w:t>
            </w:r>
          </w:p>
          <w:p>
            <w:pPr>
              <w:widowControl/>
              <w:jc w:val="left"/>
              <w:rPr>
                <w:rFonts w:ascii="宋体" w:hAnsi="宋体" w:cs="宋体"/>
                <w:color w:val="000000"/>
                <w:kern w:val="0"/>
                <w:sz w:val="24"/>
              </w:rPr>
            </w:pPr>
            <w:r>
              <w:rPr>
                <w:rFonts w:hint="eastAsia" w:ascii="宋体" w:hAnsi="宋体" w:cs="宋体"/>
                <w:color w:val="000000"/>
                <w:kern w:val="0"/>
                <w:sz w:val="24"/>
              </w:rPr>
              <w:t>1.帽子购买2400个，每个11元，资金26400元</w:t>
            </w:r>
          </w:p>
          <w:p>
            <w:pPr>
              <w:widowControl/>
              <w:jc w:val="left"/>
              <w:rPr>
                <w:rFonts w:ascii="宋体" w:hAnsi="宋体" w:cs="宋体"/>
                <w:color w:val="000000"/>
                <w:kern w:val="0"/>
                <w:sz w:val="24"/>
              </w:rPr>
            </w:pPr>
            <w:r>
              <w:rPr>
                <w:rFonts w:hint="eastAsia" w:ascii="宋体" w:hAnsi="宋体" w:cs="宋体"/>
                <w:color w:val="000000"/>
                <w:kern w:val="0"/>
                <w:sz w:val="24"/>
              </w:rPr>
              <w:t>2.手提袋购买3172个，每个3.5元，资金11100元</w:t>
            </w:r>
          </w:p>
        </w:tc>
      </w:tr>
      <w:tr>
        <w:tblPrEx>
          <w:tblCellMar>
            <w:top w:w="0" w:type="dxa"/>
            <w:left w:w="108" w:type="dxa"/>
            <w:bottom w:w="0" w:type="dxa"/>
            <w:right w:w="108" w:type="dxa"/>
          </w:tblCellMar>
        </w:tblPrEx>
        <w:trPr>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07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23"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2079" w:type="dxa"/>
            <w:gridSpan w:val="2"/>
            <w:tcBorders>
              <w:top w:val="single" w:color="auto" w:sz="4" w:space="0"/>
              <w:left w:val="nil"/>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帽子制作2400个，手提袋3172个</w:t>
            </w:r>
          </w:p>
        </w:tc>
        <w:tc>
          <w:tcPr>
            <w:tcW w:w="113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2079" w:type="dxa"/>
            <w:gridSpan w:val="2"/>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各村、社区、公司积极开展群众安全感调查问卷活动，发放宣传品</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完成预期指标</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部分单位调查问卷发放未达到100%</w:t>
            </w:r>
          </w:p>
        </w:tc>
      </w:tr>
      <w:tr>
        <w:tblPrEx>
          <w:tblCellMar>
            <w:top w:w="0" w:type="dxa"/>
            <w:left w:w="108" w:type="dxa"/>
            <w:bottom w:w="0" w:type="dxa"/>
            <w:right w:w="108" w:type="dxa"/>
          </w:tblCellMar>
        </w:tblPrEx>
        <w:trPr>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207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9月底前完成</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如期完成</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20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项目预算控制数37500元</w:t>
            </w:r>
          </w:p>
        </w:tc>
        <w:tc>
          <w:tcPr>
            <w:tcW w:w="113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37500元</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2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20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完成群众安全感满意度调查，为下一步工作提供依据</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质量指标不细化</w:t>
            </w:r>
          </w:p>
        </w:tc>
      </w:tr>
      <w:tr>
        <w:tblPrEx>
          <w:tblCellMar>
            <w:top w:w="0" w:type="dxa"/>
            <w:left w:w="108" w:type="dxa"/>
            <w:bottom w:w="0" w:type="dxa"/>
            <w:right w:w="108" w:type="dxa"/>
          </w:tblCellMar>
        </w:tblPrEx>
        <w:trPr>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0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23"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服务对象满意度</w:t>
            </w:r>
          </w:p>
        </w:tc>
        <w:tc>
          <w:tcPr>
            <w:tcW w:w="20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群众对开展平安南苑的支持率持平或增长</w:t>
            </w:r>
          </w:p>
        </w:tc>
        <w:tc>
          <w:tcPr>
            <w:tcW w:w="113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好评率80%</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指标不细化</w:t>
            </w:r>
          </w:p>
        </w:tc>
      </w:tr>
      <w:tr>
        <w:tblPrEx>
          <w:tblCellMar>
            <w:top w:w="0" w:type="dxa"/>
            <w:left w:w="108" w:type="dxa"/>
            <w:bottom w:w="0" w:type="dxa"/>
            <w:right w:w="108" w:type="dxa"/>
          </w:tblCellMar>
        </w:tblPrEx>
        <w:trPr>
          <w:trHeight w:val="353" w:hRule="atLeast"/>
        </w:trPr>
        <w:tc>
          <w:tcPr>
            <w:tcW w:w="8755" w:type="dxa"/>
            <w:gridSpan w:val="9"/>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41"/>
        <w:gridCol w:w="1245"/>
        <w:gridCol w:w="278"/>
        <w:gridCol w:w="1596"/>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项目支出事后绩效自评简表（表25）</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4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2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吹哨报到平台系统建设</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588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28" name="直接箭头连接符 2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588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CJU8KZ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城指中心</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19.80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19.80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9.9</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19.80</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19.80　</w:t>
            </w:r>
          </w:p>
        </w:tc>
        <w:tc>
          <w:tcPr>
            <w:tcW w:w="992" w:type="dxa"/>
            <w:tcBorders>
              <w:top w:val="nil"/>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年初设定目标：为村、集体经济组织等</w:t>
            </w:r>
            <w:r>
              <w:rPr>
                <w:rFonts w:hint="eastAsia" w:ascii="宋体" w:hAnsi="宋体"/>
                <w:bCs/>
                <w:sz w:val="24"/>
              </w:rPr>
              <w:t>17个单位完善分控固定端视频会商系统，</w:t>
            </w:r>
            <w:r>
              <w:rPr>
                <w:rFonts w:hint="eastAsia" w:ascii="宋体" w:hAnsi="宋体" w:cs="宋体"/>
                <w:color w:val="000000"/>
                <w:kern w:val="0"/>
                <w:sz w:val="24"/>
              </w:rPr>
              <w:t>增加组织架构模块、部门管理功能、权限管理等功能模块，实现分控固定端各自独立召开会商会议，与手机移动端及分控固定端之间的实时互通互联，</w:t>
            </w:r>
            <w:r>
              <w:rPr>
                <w:rFonts w:hint="eastAsia" w:ascii="宋体" w:hAnsi="宋体"/>
                <w:bCs/>
                <w:sz w:val="24"/>
              </w:rPr>
              <w:t>为问题的及时有效处置搭建系统保障。</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b/>
                <w:bCs/>
                <w:color w:val="000000"/>
                <w:kern w:val="0"/>
                <w:sz w:val="24"/>
              </w:rPr>
            </w:pPr>
            <w:r>
              <w:rPr>
                <w:rFonts w:hint="eastAsia" w:ascii="宋体" w:hAnsi="宋体" w:cs="宋体"/>
                <w:color w:val="000000"/>
                <w:kern w:val="0"/>
                <w:sz w:val="24"/>
              </w:rPr>
              <w:t>年度总体目标完成情况综述：1.为村、集体经济组织等</w:t>
            </w:r>
            <w:r>
              <w:rPr>
                <w:rFonts w:hint="eastAsia" w:ascii="宋体" w:hAnsi="宋体"/>
                <w:bCs/>
                <w:sz w:val="24"/>
              </w:rPr>
              <w:t>17个单位完善分控固定端视频会商系统。</w:t>
            </w:r>
            <w:r>
              <w:rPr>
                <w:rFonts w:hint="eastAsia" w:ascii="宋体" w:hAnsi="宋体" w:cs="宋体"/>
                <w:color w:val="000000"/>
                <w:kern w:val="0"/>
                <w:sz w:val="24"/>
              </w:rPr>
              <w:t>2.完善文档共享、文件传输、媒体文件播放、会议音视频录制等功能，使得在应急处置多方会商中能更好的进行音视频交互和会议数据信息的共享传递。</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7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15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5"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74"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完成17个单位</w:t>
            </w:r>
            <w:r>
              <w:rPr>
                <w:rFonts w:hint="eastAsia" w:ascii="宋体" w:hAnsi="宋体"/>
                <w:bCs/>
                <w:sz w:val="24"/>
              </w:rPr>
              <w:t>分控固定端视频会商系统设置，进行设备使用培训17次</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7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bCs/>
                <w:sz w:val="24"/>
              </w:rPr>
              <w:t>分控固定端视频会商系统均可以正常使用</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74" w:type="dxa"/>
            <w:gridSpan w:val="2"/>
            <w:tcBorders>
              <w:top w:val="single" w:color="auto" w:sz="4" w:space="0"/>
              <w:left w:val="nil"/>
              <w:bottom w:val="single" w:color="auto" w:sz="4" w:space="0"/>
              <w:right w:val="single" w:color="auto" w:sz="4" w:space="0"/>
            </w:tcBorders>
            <w:noWrap/>
            <w:vAlign w:val="center"/>
          </w:tcPr>
          <w:p>
            <w:pPr>
              <w:rPr>
                <w:rFonts w:ascii="宋体" w:hAnsi="宋体"/>
                <w:sz w:val="24"/>
              </w:rPr>
            </w:pPr>
            <w:r>
              <w:rPr>
                <w:rFonts w:hint="eastAsia" w:ascii="宋体" w:hAnsi="宋体"/>
                <w:sz w:val="24"/>
              </w:rPr>
              <w:t>系统设置及培训均于9月底前完成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7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项目预算控制数20万元</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19.8万元，完成99%</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效益指标</w:t>
            </w:r>
            <w:r>
              <w:rPr>
                <w:rFonts w:hint="eastAsia" w:ascii="宋体" w:hAnsi="宋体" w:cs="宋体"/>
                <w:kern w:val="0"/>
                <w:sz w:val="24"/>
              </w:rPr>
              <w:br w:type="textWrapping"/>
            </w:r>
          </w:p>
        </w:tc>
        <w:tc>
          <w:tcPr>
            <w:tcW w:w="187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bCs/>
                <w:sz w:val="24"/>
              </w:rPr>
              <w:t>为接诉即办问题的有效处置搭建系统保障</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质量指标、数量指标有待细化，如处理响应率如何体现提升</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41" w:type="dxa"/>
            <w:vMerge w:val="continue"/>
            <w:tcBorders>
              <w:left w:val="single" w:color="auto" w:sz="4" w:space="0"/>
              <w:right w:val="single" w:color="auto" w:sz="4" w:space="0"/>
            </w:tcBorders>
            <w:vAlign w:val="center"/>
          </w:tcPr>
          <w:p>
            <w:pPr>
              <w:widowControl/>
              <w:jc w:val="left"/>
              <w:rPr>
                <w:rFonts w:ascii="宋体" w:hAnsi="宋体" w:cs="宋体"/>
                <w:kern w:val="0"/>
                <w:sz w:val="24"/>
              </w:rPr>
            </w:pPr>
          </w:p>
        </w:tc>
        <w:tc>
          <w:tcPr>
            <w:tcW w:w="124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187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系统功能得到使用单位的好评</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好评率达99%</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73"/>
        <w:gridCol w:w="1491"/>
        <w:gridCol w:w="1596"/>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7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9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2019年拆除普通地下室违规隔断资金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691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29" name="直接箭头连接符 2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691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nmtN4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安全管理科</w:t>
            </w:r>
          </w:p>
        </w:tc>
      </w:tr>
      <w:tr>
        <w:tblPrEx>
          <w:tblCellMar>
            <w:top w:w="0" w:type="dxa"/>
            <w:left w:w="108" w:type="dxa"/>
            <w:bottom w:w="0" w:type="dxa"/>
            <w:right w:w="108" w:type="dxa"/>
          </w:tblCellMar>
        </w:tblPrEx>
        <w:trPr>
          <w:gridAfter w:val="1"/>
          <w:wAfter w:w="3809"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17.5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17.5　</w:t>
            </w:r>
          </w:p>
        </w:tc>
        <w:tc>
          <w:tcPr>
            <w:tcW w:w="992" w:type="dxa"/>
            <w:tcBorders>
              <w:top w:val="nil"/>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17.5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17.5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年初设定目标：完成马家堡工贸集团角门东里87号楼底下一层使用面积3000平米的普通地下室内部隔断拆除工作，完成市、区相关部门验收并销账。</w:t>
            </w:r>
          </w:p>
        </w:tc>
        <w:tc>
          <w:tcPr>
            <w:tcW w:w="4536"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年度总体目标完成情况综述：拆除普通地下室违规隔断，降低安全隐患，维护地区安全稳定。</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91"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596"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拆除3000平米普通地下室内部隔断</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ind w:firstLine="240" w:firstLineChars="100"/>
              <w:rPr>
                <w:rFonts w:ascii="宋体" w:hAnsi="宋体" w:cs="宋体"/>
                <w:kern w:val="0"/>
                <w:sz w:val="24"/>
              </w:rPr>
            </w:pPr>
            <w:r>
              <w:rPr>
                <w:rFonts w:hint="eastAsia" w:ascii="宋体" w:hAnsi="宋体" w:cs="宋体"/>
                <w:kern w:val="0"/>
                <w:sz w:val="24"/>
              </w:rPr>
              <w:t>质量指标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市、区相关部门验收合格并销账</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5月底前完成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1125"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p>
            <w:pPr>
              <w:widowControl/>
              <w:jc w:val="left"/>
              <w:rPr>
                <w:rFonts w:ascii="宋体" w:hAnsi="宋体" w:cs="宋体"/>
                <w:color w:val="000000"/>
                <w:kern w:val="0"/>
                <w:sz w:val="24"/>
              </w:rPr>
            </w:pP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预算控制数17.5万</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17.5万</w:t>
            </w:r>
          </w:p>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1042"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91"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kern w:val="0"/>
                <w:sz w:val="24"/>
              </w:rPr>
              <w:t>效益指标</w:t>
            </w: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sz w:val="24"/>
              </w:rPr>
              <w:t>实现安全、无住人现象。</w:t>
            </w:r>
          </w:p>
        </w:tc>
        <w:tc>
          <w:tcPr>
            <w:tcW w:w="1381"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达到预期目标</w:t>
            </w:r>
          </w:p>
        </w:tc>
        <w:tc>
          <w:tcPr>
            <w:tcW w:w="1155" w:type="dxa"/>
            <w:gridSpan w:val="4"/>
            <w:tcBorders>
              <w:top w:val="single" w:color="auto" w:sz="4" w:space="0"/>
              <w:left w:val="single" w:color="auto" w:sz="4" w:space="0"/>
              <w:right w:val="single" w:color="auto" w:sz="4" w:space="0"/>
            </w:tcBorders>
            <w:vAlign w:val="center"/>
          </w:tcPr>
          <w:p>
            <w:pPr>
              <w:ind w:firstLine="240" w:firstLineChars="100"/>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数量指标、质量指标不够细化，如拆除的具体内容及成本</w:t>
            </w:r>
          </w:p>
        </w:tc>
      </w:tr>
      <w:tr>
        <w:tblPrEx>
          <w:tblCellMar>
            <w:top w:w="0" w:type="dxa"/>
            <w:left w:w="108" w:type="dxa"/>
            <w:bottom w:w="0" w:type="dxa"/>
            <w:right w:w="108" w:type="dxa"/>
          </w:tblCellMar>
        </w:tblPrEx>
        <w:trPr>
          <w:gridAfter w:val="1"/>
          <w:wAfter w:w="3809" w:type="dxa"/>
          <w:trHeight w:val="312" w:hRule="atLeast"/>
        </w:trPr>
        <w:tc>
          <w:tcPr>
            <w:tcW w:w="84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491" w:type="dxa"/>
            <w:tcBorders>
              <w:top w:val="single" w:color="auto" w:sz="4" w:space="0"/>
              <w:left w:val="nil"/>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服务对象满意度</w:t>
            </w: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所在小区居民满意度90%以上</w:t>
            </w:r>
          </w:p>
        </w:tc>
        <w:tc>
          <w:tcPr>
            <w:tcW w:w="1381" w:type="dxa"/>
            <w:gridSpan w:val="2"/>
            <w:tcBorders>
              <w:top w:val="single" w:color="auto" w:sz="4" w:space="0"/>
              <w:left w:val="nil"/>
              <w:right w:val="single" w:color="auto" w:sz="4" w:space="0"/>
            </w:tcBorders>
            <w:noWrap/>
            <w:vAlign w:val="center"/>
          </w:tcPr>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90%</w:t>
            </w:r>
          </w:p>
        </w:tc>
        <w:tc>
          <w:tcPr>
            <w:tcW w:w="1155" w:type="dxa"/>
            <w:gridSpan w:val="4"/>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73"/>
        <w:gridCol w:w="1491"/>
        <w:gridCol w:w="1596"/>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7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91"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2019年拆除普通地下室违规隔断补助资金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793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0" name="直接箭头连接符 3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8793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BMlfNg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安全管理科</w:t>
            </w:r>
          </w:p>
        </w:tc>
      </w:tr>
      <w:tr>
        <w:tblPrEx>
          <w:tblCellMar>
            <w:top w:w="0" w:type="dxa"/>
            <w:left w:w="108" w:type="dxa"/>
            <w:bottom w:w="0" w:type="dxa"/>
            <w:right w:w="108" w:type="dxa"/>
          </w:tblCellMar>
        </w:tblPrEx>
        <w:trPr>
          <w:gridAfter w:val="1"/>
          <w:wAfter w:w="3809" w:type="dxa"/>
          <w:trHeight w:val="674" w:hRule="atLeast"/>
        </w:trPr>
        <w:tc>
          <w:tcPr>
            <w:tcW w:w="3510"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22.4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22.4　</w:t>
            </w:r>
          </w:p>
        </w:tc>
        <w:tc>
          <w:tcPr>
            <w:tcW w:w="992" w:type="dxa"/>
            <w:tcBorders>
              <w:top w:val="nil"/>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22.4</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22.4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370" w:hRule="atLeast"/>
        </w:trPr>
        <w:tc>
          <w:tcPr>
            <w:tcW w:w="3510"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年初设定目标：完成马家堡工贸集团角门东里87号楼底下一层使用面积4000平米的普通地下室内部隔断拆除工作，完成市、区相关部门验收并销账。</w:t>
            </w:r>
          </w:p>
        </w:tc>
        <w:tc>
          <w:tcPr>
            <w:tcW w:w="4536"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年度总体目标完成情况综述：拆除普通地下室违规隔断，降低安全隐患，维护地区安全稳定。</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91"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596"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拆除4000平米普通地下室内部隔断</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ind w:firstLine="240" w:firstLineChars="100"/>
              <w:rPr>
                <w:rFonts w:ascii="宋体" w:hAnsi="宋体" w:cs="宋体"/>
                <w:kern w:val="0"/>
                <w:sz w:val="24"/>
              </w:rPr>
            </w:pPr>
            <w:r>
              <w:rPr>
                <w:rFonts w:hint="eastAsia" w:ascii="宋体" w:hAnsi="宋体" w:cs="宋体"/>
                <w:kern w:val="0"/>
                <w:sz w:val="24"/>
              </w:rPr>
              <w:t>质量指标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市、区相关部门验收合格并销账</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59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5月底前完成</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1125"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91"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p>
            <w:pPr>
              <w:widowControl/>
              <w:jc w:val="left"/>
              <w:rPr>
                <w:rFonts w:ascii="宋体" w:hAnsi="宋体" w:cs="宋体"/>
                <w:color w:val="000000"/>
                <w:kern w:val="0"/>
                <w:sz w:val="24"/>
              </w:rPr>
            </w:pP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预算控制数22.4万</w:t>
            </w:r>
          </w:p>
        </w:tc>
        <w:tc>
          <w:tcPr>
            <w:tcW w:w="1381"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22.4万</w:t>
            </w:r>
          </w:p>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155" w:type="dxa"/>
            <w:gridSpan w:val="4"/>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1113" w:type="dxa"/>
            <w:gridSpan w:val="2"/>
            <w:tcBorders>
              <w:top w:val="single" w:color="auto" w:sz="4" w:space="0"/>
              <w:left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1042" w:hRule="atLeast"/>
        </w:trPr>
        <w:tc>
          <w:tcPr>
            <w:tcW w:w="846"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91"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kern w:val="0"/>
                <w:sz w:val="24"/>
              </w:rPr>
              <w:t>效益指标</w:t>
            </w: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sz w:val="24"/>
              </w:rPr>
              <w:t>实现安全、无住人现象。</w:t>
            </w:r>
          </w:p>
        </w:tc>
        <w:tc>
          <w:tcPr>
            <w:tcW w:w="1381"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达到预期目标</w:t>
            </w:r>
          </w:p>
        </w:tc>
        <w:tc>
          <w:tcPr>
            <w:tcW w:w="1155" w:type="dxa"/>
            <w:gridSpan w:val="4"/>
            <w:tcBorders>
              <w:top w:val="single" w:color="auto" w:sz="4" w:space="0"/>
              <w:left w:val="single" w:color="auto" w:sz="4" w:space="0"/>
              <w:right w:val="single" w:color="auto" w:sz="4" w:space="0"/>
            </w:tcBorders>
            <w:vAlign w:val="center"/>
          </w:tcPr>
          <w:p>
            <w:pPr>
              <w:ind w:firstLine="240" w:firstLineChars="100"/>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数量指标、质量指标不够细化，如拆除的具体内容及成本</w:t>
            </w:r>
          </w:p>
        </w:tc>
      </w:tr>
      <w:tr>
        <w:tblPrEx>
          <w:tblCellMar>
            <w:top w:w="0" w:type="dxa"/>
            <w:left w:w="108" w:type="dxa"/>
            <w:bottom w:w="0" w:type="dxa"/>
            <w:right w:w="108" w:type="dxa"/>
          </w:tblCellMar>
        </w:tblPrEx>
        <w:trPr>
          <w:gridAfter w:val="1"/>
          <w:wAfter w:w="3809" w:type="dxa"/>
          <w:trHeight w:val="312" w:hRule="atLeast"/>
        </w:trPr>
        <w:tc>
          <w:tcPr>
            <w:tcW w:w="84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p>
        </w:tc>
        <w:tc>
          <w:tcPr>
            <w:tcW w:w="1491" w:type="dxa"/>
            <w:tcBorders>
              <w:top w:val="single" w:color="auto" w:sz="4" w:space="0"/>
              <w:left w:val="nil"/>
              <w:right w:val="single" w:color="auto" w:sz="4" w:space="0"/>
            </w:tcBorders>
            <w:noWrap/>
            <w:vAlign w:val="center"/>
          </w:tcPr>
          <w:p>
            <w:pPr>
              <w:widowControl/>
              <w:jc w:val="left"/>
              <w:rPr>
                <w:rFonts w:ascii="宋体" w:hAnsi="宋体" w:cs="宋体"/>
                <w:kern w:val="0"/>
                <w:sz w:val="24"/>
              </w:rPr>
            </w:pPr>
            <w:r>
              <w:rPr>
                <w:rFonts w:hint="eastAsia" w:ascii="宋体" w:hAnsi="宋体" w:cs="宋体"/>
                <w:kern w:val="0"/>
                <w:sz w:val="24"/>
              </w:rPr>
              <w:t>服务对象满意度</w:t>
            </w:r>
          </w:p>
        </w:tc>
        <w:tc>
          <w:tcPr>
            <w:tcW w:w="1596" w:type="dxa"/>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所在小区居民满意度90%以上</w:t>
            </w:r>
          </w:p>
        </w:tc>
        <w:tc>
          <w:tcPr>
            <w:tcW w:w="1381" w:type="dxa"/>
            <w:gridSpan w:val="2"/>
            <w:tcBorders>
              <w:top w:val="single" w:color="auto" w:sz="4" w:space="0"/>
              <w:left w:val="nil"/>
              <w:right w:val="single" w:color="auto" w:sz="4" w:space="0"/>
            </w:tcBorders>
            <w:noWrap/>
            <w:vAlign w:val="center"/>
          </w:tcPr>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90%</w:t>
            </w:r>
          </w:p>
        </w:tc>
        <w:tc>
          <w:tcPr>
            <w:tcW w:w="1155" w:type="dxa"/>
            <w:gridSpan w:val="4"/>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73"/>
        <w:gridCol w:w="675"/>
        <w:gridCol w:w="600"/>
        <w:gridCol w:w="1755"/>
        <w:gridCol w:w="1438"/>
        <w:gridCol w:w="596"/>
        <w:gridCol w:w="236"/>
        <w:gridCol w:w="236"/>
        <w:gridCol w:w="87"/>
        <w:gridCol w:w="92"/>
        <w:gridCol w:w="1155"/>
        <w:gridCol w:w="1080"/>
        <w:gridCol w:w="1054"/>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7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35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034"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34"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86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269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8329"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伤残军人医疗补助资金</w:t>
            </w:r>
          </w:p>
        </w:tc>
      </w:tr>
      <w:tr>
        <w:tblPrEx>
          <w:tblCellMar>
            <w:top w:w="0" w:type="dxa"/>
            <w:left w:w="108" w:type="dxa"/>
            <w:bottom w:w="0" w:type="dxa"/>
            <w:right w:w="108" w:type="dxa"/>
          </w:tblCellMar>
        </w:tblPrEx>
        <w:trPr>
          <w:gridAfter w:val="1"/>
          <w:wAfter w:w="3809" w:type="dxa"/>
          <w:trHeight w:val="370" w:hRule="atLeast"/>
        </w:trPr>
        <w:tc>
          <w:tcPr>
            <w:tcW w:w="269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79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47"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89"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gridAfter w:val="1"/>
          <w:wAfter w:w="3809" w:type="dxa"/>
          <w:trHeight w:val="674" w:hRule="atLeast"/>
        </w:trPr>
        <w:tc>
          <w:tcPr>
            <w:tcW w:w="2694"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38"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47"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15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05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0.55</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0.55</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0.55</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0.55</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38"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87"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为符合条件的退役军人发放伤残军人医疗补助资金。</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为符合条件的退役军人发放伤残军人医疗补助资金。</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7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7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75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为符合条件的退役军人发放伤残军人医疗补助资金。</w:t>
            </w:r>
          </w:p>
        </w:tc>
        <w:tc>
          <w:tcPr>
            <w:tcW w:w="1438"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2人</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13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3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75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依规对相关人员信息进行汇总上报，按照区核定金额足额发放　</w:t>
            </w:r>
          </w:p>
        </w:tc>
        <w:tc>
          <w:tcPr>
            <w:tcW w:w="143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达到预期目的</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7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12月底前完成</w:t>
            </w:r>
          </w:p>
        </w:tc>
        <w:tc>
          <w:tcPr>
            <w:tcW w:w="1438"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11月完成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75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控制在预算成本内</w:t>
            </w:r>
          </w:p>
        </w:tc>
        <w:tc>
          <w:tcPr>
            <w:tcW w:w="143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0.55万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75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落实伤残军人医补政策，体现关爱</w:t>
            </w:r>
          </w:p>
        </w:tc>
        <w:tc>
          <w:tcPr>
            <w:tcW w:w="143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年度目标设定粗略</w:t>
            </w: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75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服务对象满意度≥90%</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好评率98%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评价过于简单</w:t>
            </w:r>
          </w:p>
        </w:tc>
      </w:tr>
      <w:tr>
        <w:tblPrEx>
          <w:tblCellMar>
            <w:top w:w="0" w:type="dxa"/>
            <w:left w:w="108" w:type="dxa"/>
            <w:bottom w:w="0" w:type="dxa"/>
            <w:right w:w="108" w:type="dxa"/>
          </w:tblCellMar>
        </w:tblPrEx>
        <w:trPr>
          <w:gridAfter w:val="1"/>
          <w:wAfter w:w="3809" w:type="dxa"/>
          <w:trHeight w:val="375" w:hRule="atLeast"/>
        </w:trPr>
        <w:tc>
          <w:tcPr>
            <w:tcW w:w="8889" w:type="dxa"/>
            <w:gridSpan w:val="12"/>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b/>
                <w:bCs/>
                <w:color w:val="000000"/>
                <w:kern w:val="0"/>
                <w:sz w:val="24"/>
              </w:rPr>
              <w:t>总分：96</w:t>
            </w:r>
          </w:p>
        </w:tc>
        <w:tc>
          <w:tcPr>
            <w:tcW w:w="213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73"/>
        <w:gridCol w:w="675"/>
        <w:gridCol w:w="600"/>
        <w:gridCol w:w="1755"/>
        <w:gridCol w:w="1438"/>
        <w:gridCol w:w="596"/>
        <w:gridCol w:w="236"/>
        <w:gridCol w:w="236"/>
        <w:gridCol w:w="87"/>
        <w:gridCol w:w="92"/>
        <w:gridCol w:w="1155"/>
        <w:gridCol w:w="1080"/>
        <w:gridCol w:w="1054"/>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项目支出事后绩效自评简表（表29）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7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75"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235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034"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34"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86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269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8329" w:type="dxa"/>
            <w:gridSpan w:val="11"/>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重点优抚对象医疗减免</w:t>
            </w:r>
          </w:p>
        </w:tc>
      </w:tr>
      <w:tr>
        <w:tblPrEx>
          <w:tblCellMar>
            <w:top w:w="0" w:type="dxa"/>
            <w:left w:w="108" w:type="dxa"/>
            <w:bottom w:w="0" w:type="dxa"/>
            <w:right w:w="108" w:type="dxa"/>
          </w:tblCellMar>
        </w:tblPrEx>
        <w:trPr>
          <w:gridAfter w:val="1"/>
          <w:wAfter w:w="3809" w:type="dxa"/>
          <w:trHeight w:val="370" w:hRule="atLeast"/>
        </w:trPr>
        <w:tc>
          <w:tcPr>
            <w:tcW w:w="2694"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793"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北京市丰台区南苑乡人民政府，177000</w:t>
            </w:r>
          </w:p>
        </w:tc>
        <w:tc>
          <w:tcPr>
            <w:tcW w:w="1247"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89"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社保所</w:t>
            </w:r>
          </w:p>
        </w:tc>
      </w:tr>
      <w:tr>
        <w:tblPrEx>
          <w:tblCellMar>
            <w:top w:w="0" w:type="dxa"/>
            <w:left w:w="108" w:type="dxa"/>
            <w:bottom w:w="0" w:type="dxa"/>
            <w:right w:w="108" w:type="dxa"/>
          </w:tblCellMar>
        </w:tblPrEx>
        <w:trPr>
          <w:gridAfter w:val="1"/>
          <w:wAfter w:w="3809" w:type="dxa"/>
          <w:trHeight w:val="674" w:hRule="atLeast"/>
        </w:trPr>
        <w:tc>
          <w:tcPr>
            <w:tcW w:w="2694"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438"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47"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15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05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1.36</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28.1%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2.81</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4.84</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1.36</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28.1%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2.81</w:t>
            </w:r>
          </w:p>
        </w:tc>
      </w:tr>
      <w:tr>
        <w:tblPrEx>
          <w:tblCellMar>
            <w:top w:w="0" w:type="dxa"/>
            <w:left w:w="108" w:type="dxa"/>
            <w:bottom w:w="0" w:type="dxa"/>
            <w:right w:w="108" w:type="dxa"/>
          </w:tblCellMar>
        </w:tblPrEx>
        <w:trPr>
          <w:gridAfter w:val="1"/>
          <w:wAfter w:w="3809" w:type="dxa"/>
          <w:trHeight w:val="370" w:hRule="atLeast"/>
        </w:trPr>
        <w:tc>
          <w:tcPr>
            <w:tcW w:w="269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355"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438"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47"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55"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87"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为符合条件的重点优抚对象医疗补助资金。</w:t>
            </w:r>
          </w:p>
        </w:tc>
        <w:tc>
          <w:tcPr>
            <w:tcW w:w="4536" w:type="dxa"/>
            <w:gridSpan w:val="8"/>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为符合条件的重点优抚对象发放医疗补助资金。</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7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75"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w:t>
            </w:r>
          </w:p>
        </w:tc>
        <w:tc>
          <w:tcPr>
            <w:tcW w:w="1755"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为符合条件的重点优抚对象发放医疗补助资金。</w:t>
            </w:r>
          </w:p>
        </w:tc>
        <w:tc>
          <w:tcPr>
            <w:tcW w:w="1438"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5人</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134"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3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质量指标</w:t>
            </w:r>
          </w:p>
        </w:tc>
        <w:tc>
          <w:tcPr>
            <w:tcW w:w="175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依规对相关人员信息进行汇总上报，按照区核定金额足额发放　</w:t>
            </w:r>
          </w:p>
        </w:tc>
        <w:tc>
          <w:tcPr>
            <w:tcW w:w="1438"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达到预期目的</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进度指标</w:t>
            </w:r>
          </w:p>
        </w:tc>
        <w:tc>
          <w:tcPr>
            <w:tcW w:w="17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12月底前完成</w:t>
            </w:r>
          </w:p>
        </w:tc>
        <w:tc>
          <w:tcPr>
            <w:tcW w:w="1438" w:type="dxa"/>
            <w:tcBorders>
              <w:top w:val="single" w:color="auto" w:sz="4" w:space="0"/>
              <w:left w:val="nil"/>
              <w:bottom w:val="single" w:color="auto" w:sz="4" w:space="0"/>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11月完成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成本指标</w:t>
            </w:r>
          </w:p>
        </w:tc>
        <w:tc>
          <w:tcPr>
            <w:tcW w:w="175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控制在预算成本4.84万内</w:t>
            </w:r>
          </w:p>
        </w:tc>
        <w:tc>
          <w:tcPr>
            <w:tcW w:w="143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1.36万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2.81</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7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效益指标</w:t>
            </w:r>
          </w:p>
        </w:tc>
        <w:tc>
          <w:tcPr>
            <w:tcW w:w="1755"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落实重点优抚对象医补政策，体现关爱</w:t>
            </w:r>
          </w:p>
        </w:tc>
        <w:tc>
          <w:tcPr>
            <w:tcW w:w="143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实际支出与预算相差过大，是否做到应覆盖尽覆盖，年度目标设定粗略。</w:t>
            </w: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7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75"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w:t>
            </w:r>
          </w:p>
        </w:tc>
        <w:tc>
          <w:tcPr>
            <w:tcW w:w="1755"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服务对象满意度≥90%</w:t>
            </w:r>
          </w:p>
        </w:tc>
        <w:tc>
          <w:tcPr>
            <w:tcW w:w="14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好评率98%　</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24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　</w:t>
            </w:r>
          </w:p>
        </w:tc>
        <w:tc>
          <w:tcPr>
            <w:tcW w:w="213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评价过于简单</w:t>
            </w:r>
          </w:p>
        </w:tc>
      </w:tr>
      <w:tr>
        <w:tblPrEx>
          <w:tblCellMar>
            <w:top w:w="0" w:type="dxa"/>
            <w:left w:w="108" w:type="dxa"/>
            <w:bottom w:w="0" w:type="dxa"/>
            <w:right w:w="108" w:type="dxa"/>
          </w:tblCellMar>
        </w:tblPrEx>
        <w:trPr>
          <w:gridAfter w:val="1"/>
          <w:wAfter w:w="3809" w:type="dxa"/>
          <w:trHeight w:val="375" w:hRule="atLeast"/>
        </w:trPr>
        <w:tc>
          <w:tcPr>
            <w:tcW w:w="8889" w:type="dxa"/>
            <w:gridSpan w:val="12"/>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b/>
                <w:bCs/>
                <w:color w:val="000000"/>
                <w:kern w:val="0"/>
                <w:sz w:val="24"/>
              </w:rPr>
              <w:t>总分：77.62</w:t>
            </w:r>
          </w:p>
        </w:tc>
        <w:tc>
          <w:tcPr>
            <w:tcW w:w="213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702"/>
        <w:gridCol w:w="1020"/>
        <w:gridCol w:w="1455"/>
        <w:gridCol w:w="333"/>
        <w:gridCol w:w="1596"/>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5"/>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项目支出事后绩效自评简表（表30）</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5"/>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70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20"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88"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1"/>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2019年统计所业务费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18"/>
              </w:rPr>
              <w:t>北京市丰台区南苑乡人民政府统计所</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rPr>
                <w:rFonts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8960" behindDoc="0" locked="0" layoutInCell="1" allowOverlap="1">
                      <wp:simplePos x="0" y="0"/>
                      <wp:positionH relativeFrom="column">
                        <wp:posOffset>-64770</wp:posOffset>
                      </wp:positionH>
                      <wp:positionV relativeFrom="paragraph">
                        <wp:posOffset>45085</wp:posOffset>
                      </wp:positionV>
                      <wp:extent cx="1152525" cy="545465"/>
                      <wp:effectExtent l="1905" t="4445" r="7620" b="21590"/>
                      <wp:wrapNone/>
                      <wp:docPr id="31" name="直接箭头连接符 31"/>
                      <wp:cNvGraphicFramePr/>
                      <a:graphic xmlns:a="http://schemas.openxmlformats.org/drawingml/2006/main">
                        <a:graphicData uri="http://schemas.microsoft.com/office/word/2010/wordprocessingShape">
                          <wps:wsp>
                            <wps:cNvCnPr/>
                            <wps:spPr>
                              <a:xfrm>
                                <a:off x="0" y="0"/>
                                <a:ext cx="1152525" cy="5454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1pt;margin-top:3.55pt;height:42.95pt;width:90.75pt;z-index:251688960;mso-width-relative:page;mso-height-relative:page;" filled="f" stroked="t" coordsize="21600,21600" o:gfxdata="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l6QPdcAAAAIAQAADwAAAAAAAAABACAAAAAiAAAAZHJzL2Rvd25y&#10;ZXYueG1sUEsBAhQAFAAAAAgAh07iQMzsjnL/AQAA8wMAAA4AAAAAAAAAAQAgAAAAJgEAAGRycy9l&#10;Mm9Eb2MueG1sUEsFBgAAAAAGAAYAWQEAAJcFAAAAAA==&#10;">
                      <v:fill on="f" focussize="0,0"/>
                      <v:stroke color="#000000" joinstyle="round"/>
                      <v:imagedata o:title=""/>
                      <o:lock v:ext="edit" aspectratio="f"/>
                    </v:shape>
                  </w:pict>
                </mc:Fallback>
              </mc:AlternateContent>
            </w: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70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5" w:type="dxa"/>
            <w:gridSpan w:val="6"/>
            <w:tcBorders>
              <w:top w:val="single" w:color="auto" w:sz="4" w:space="0"/>
              <w:left w:val="nil"/>
              <w:bottom w:val="single" w:color="auto" w:sz="4" w:space="0"/>
              <w:right w:val="single" w:color="000000" w:sz="4" w:space="0"/>
            </w:tcBorders>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p>
          <w:p>
            <w:pPr>
              <w:widowControl/>
              <w:jc w:val="left"/>
              <w:rPr>
                <w:rFonts w:ascii="宋体" w:hAnsi="宋体" w:cs="宋体"/>
                <w:color w:val="000000"/>
                <w:kern w:val="0"/>
                <w:sz w:val="24"/>
              </w:rPr>
            </w:pPr>
            <w:r>
              <w:rPr>
                <w:rFonts w:hint="eastAsia" w:ascii="宋体" w:hAnsi="宋体" w:cs="宋体"/>
                <w:color w:val="000000"/>
                <w:kern w:val="0"/>
                <w:sz w:val="24"/>
              </w:rPr>
              <w:t>1、统计法宣传、宣传统计站工作职责；</w:t>
            </w:r>
          </w:p>
          <w:p>
            <w:pPr>
              <w:widowControl/>
              <w:jc w:val="left"/>
              <w:rPr>
                <w:rFonts w:ascii="宋体" w:hAnsi="宋体" w:cs="宋体"/>
                <w:color w:val="000000"/>
                <w:kern w:val="0"/>
                <w:sz w:val="24"/>
              </w:rPr>
            </w:pPr>
            <w:r>
              <w:rPr>
                <w:rFonts w:hint="eastAsia" w:ascii="宋体" w:hAnsi="宋体" w:cs="宋体"/>
                <w:color w:val="000000"/>
                <w:kern w:val="0"/>
                <w:sz w:val="24"/>
              </w:rPr>
              <w:t xml:space="preserve">2、满足统计所日常办公用品购置。 </w:t>
            </w:r>
          </w:p>
        </w:tc>
        <w:tc>
          <w:tcPr>
            <w:tcW w:w="4536" w:type="dxa"/>
            <w:gridSpan w:val="8"/>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jc w:val="left"/>
              <w:rPr>
                <w:rFonts w:ascii="宋体" w:hAnsi="宋体" w:cs="宋体"/>
                <w:color w:val="000000"/>
                <w:kern w:val="0"/>
                <w:sz w:val="24"/>
              </w:rPr>
            </w:pPr>
            <w:r>
              <w:rPr>
                <w:rFonts w:hint="eastAsia" w:ascii="宋体" w:hAnsi="宋体" w:cs="宋体"/>
                <w:color w:val="000000"/>
                <w:kern w:val="0"/>
                <w:sz w:val="24"/>
              </w:rPr>
              <w:t>1、制作有统计法和统计站工作职责的工作手册，通过宣传使各统计站工作人员了明确了统计员和统计站工作职责。2、采购日常用品，满足统计所日常办公需求</w:t>
            </w:r>
          </w:p>
        </w:tc>
      </w:tr>
      <w:tr>
        <w:tblPrEx>
          <w:tblCellMar>
            <w:top w:w="0" w:type="dxa"/>
            <w:left w:w="108" w:type="dxa"/>
            <w:bottom w:w="0" w:type="dxa"/>
            <w:right w:w="108" w:type="dxa"/>
          </w:tblCellMar>
        </w:tblPrEx>
        <w:trPr>
          <w:gridAfter w:val="1"/>
          <w:wAfter w:w="3809" w:type="dxa"/>
          <w:trHeight w:val="737" w:hRule="atLeast"/>
        </w:trPr>
        <w:tc>
          <w:tcPr>
            <w:tcW w:w="70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92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55" w:type="dxa"/>
            <w:vMerge w:val="restart"/>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929"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制作并发放宣传手册不少于300本</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360本</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18</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455" w:type="dxa"/>
            <w:vMerge w:val="continue"/>
            <w:tcBorders>
              <w:left w:val="nil"/>
              <w:right w:val="single" w:color="auto" w:sz="4" w:space="0"/>
            </w:tcBorders>
            <w:noWrap/>
            <w:vAlign w:val="center"/>
          </w:tcPr>
          <w:p>
            <w:pPr>
              <w:widowControl/>
              <w:jc w:val="center"/>
              <w:rPr>
                <w:rFonts w:ascii="宋体" w:hAnsi="宋体" w:cs="宋体"/>
                <w:color w:val="000000"/>
                <w:kern w:val="0"/>
                <w:sz w:val="24"/>
              </w:rPr>
            </w:pPr>
          </w:p>
        </w:tc>
        <w:tc>
          <w:tcPr>
            <w:tcW w:w="1929" w:type="dxa"/>
            <w:gridSpan w:val="2"/>
            <w:tcBorders>
              <w:top w:val="single" w:color="auto" w:sz="4" w:space="0"/>
              <w:left w:val="nil"/>
              <w:right w:val="single" w:color="auto" w:sz="4" w:space="0"/>
            </w:tcBorders>
            <w:noWrap/>
            <w:vAlign w:val="center"/>
          </w:tcPr>
          <w:p>
            <w:pPr>
              <w:jc w:val="left"/>
              <w:rPr>
                <w:rFonts w:ascii="宋体" w:hAnsi="宋体" w:cs="宋体"/>
                <w:color w:val="000000"/>
                <w:kern w:val="0"/>
                <w:sz w:val="24"/>
              </w:rPr>
            </w:pPr>
            <w:r>
              <w:rPr>
                <w:rFonts w:hint="eastAsia" w:ascii="宋体" w:hAnsi="宋体" w:cs="宋体"/>
                <w:color w:val="000000"/>
                <w:kern w:val="0"/>
                <w:sz w:val="24"/>
              </w:rPr>
              <w:t>采购日常办公所需</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购买墩布车1套、台灯1台、抽纸1提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929" w:type="dxa"/>
            <w:gridSpan w:val="2"/>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宣传手册统计站工作人员一人一册，统计所日常办公正常运转</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92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 完成</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92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项目预算  控制数 1.5万</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92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提高统计工作人员业务能力和工作技能</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  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效果无法量化评估</w:t>
            </w:r>
          </w:p>
        </w:tc>
      </w:tr>
      <w:tr>
        <w:tblPrEx>
          <w:tblCellMar>
            <w:top w:w="0" w:type="dxa"/>
            <w:left w:w="108" w:type="dxa"/>
            <w:bottom w:w="0" w:type="dxa"/>
            <w:right w:w="108" w:type="dxa"/>
          </w:tblCellMar>
        </w:tblPrEx>
        <w:trPr>
          <w:gridAfter w:val="1"/>
          <w:wAfter w:w="3809" w:type="dxa"/>
          <w:trHeight w:val="409"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      满意度指标</w:t>
            </w:r>
          </w:p>
        </w:tc>
        <w:tc>
          <w:tcPr>
            <w:tcW w:w="1929" w:type="dxa"/>
            <w:gridSpan w:val="2"/>
            <w:tcBorders>
              <w:top w:val="single" w:color="auto" w:sz="4" w:space="0"/>
              <w:left w:val="nil"/>
              <w:bottom w:val="single" w:color="auto" w:sz="4" w:space="0"/>
              <w:right w:val="single" w:color="auto" w:sz="4" w:space="0"/>
            </w:tcBorders>
            <w:noWrap/>
            <w:vAlign w:val="center"/>
          </w:tcPr>
          <w:p>
            <w:pPr>
              <w:widowControl/>
              <w:ind w:left="120" w:hanging="120" w:hangingChars="50"/>
              <w:jc w:val="center"/>
              <w:rPr>
                <w:rFonts w:ascii="宋体" w:hAnsi="宋体" w:cs="宋体"/>
                <w:color w:val="000000"/>
                <w:kern w:val="0"/>
                <w:sz w:val="24"/>
              </w:rPr>
            </w:pPr>
            <w:r>
              <w:rPr>
                <w:rFonts w:hint="eastAsia" w:ascii="宋体" w:hAnsi="宋体" w:cs="宋体"/>
                <w:color w:val="000000"/>
                <w:kern w:val="0"/>
                <w:sz w:val="24"/>
              </w:rPr>
              <w:t>宣传手册得到各 单位好评</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  达90%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3"/>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总分：91</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303"/>
        <w:gridCol w:w="1674"/>
        <w:gridCol w:w="247"/>
        <w:gridCol w:w="1134"/>
        <w:gridCol w:w="596"/>
        <w:gridCol w:w="236"/>
        <w:gridCol w:w="236"/>
        <w:gridCol w:w="87"/>
        <w:gridCol w:w="121"/>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03" w:type="dxa"/>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92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3"/>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4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91" w:type="dxa"/>
            <w:gridSpan w:val="11"/>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2019年第四次全国经济普查经费</w:t>
            </w:r>
          </w:p>
        </w:tc>
      </w:tr>
      <w:tr>
        <w:tblPrEx>
          <w:tblCellMar>
            <w:top w:w="0" w:type="dxa"/>
            <w:left w:w="108" w:type="dxa"/>
            <w:bottom w:w="0" w:type="dxa"/>
            <w:right w:w="108" w:type="dxa"/>
          </w:tblCellMar>
        </w:tblPrEx>
        <w:trPr>
          <w:gridAfter w:val="1"/>
          <w:wAfter w:w="3809" w:type="dxa"/>
          <w:trHeight w:val="370" w:hRule="atLeast"/>
        </w:trPr>
        <w:tc>
          <w:tcPr>
            <w:tcW w:w="3432"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3055" w:type="dxa"/>
            <w:gridSpan w:val="3"/>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18"/>
              </w:rPr>
              <w:t>北京市丰台区南苑乡人民政府177000</w:t>
            </w:r>
          </w:p>
        </w:tc>
        <w:tc>
          <w:tcPr>
            <w:tcW w:w="1276" w:type="dxa"/>
            <w:gridSpan w:val="5"/>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18"/>
              </w:rPr>
              <w:t>北京市丰台区南苑乡人民政府统计所</w:t>
            </w:r>
          </w:p>
        </w:tc>
      </w:tr>
      <w:tr>
        <w:tblPrEx>
          <w:tblCellMar>
            <w:top w:w="0" w:type="dxa"/>
            <w:left w:w="108" w:type="dxa"/>
            <w:bottom w:w="0" w:type="dxa"/>
            <w:right w:w="108" w:type="dxa"/>
          </w:tblCellMar>
        </w:tblPrEx>
        <w:trPr>
          <w:gridAfter w:val="1"/>
          <w:wAfter w:w="3809" w:type="dxa"/>
          <w:trHeight w:val="674" w:hRule="atLeast"/>
        </w:trPr>
        <w:tc>
          <w:tcPr>
            <w:tcW w:w="3432"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89984" behindDoc="0" locked="0" layoutInCell="1" allowOverlap="1">
                      <wp:simplePos x="0" y="0"/>
                      <wp:positionH relativeFrom="column">
                        <wp:posOffset>2153920</wp:posOffset>
                      </wp:positionH>
                      <wp:positionV relativeFrom="paragraph">
                        <wp:posOffset>14605</wp:posOffset>
                      </wp:positionV>
                      <wp:extent cx="1152525" cy="554355"/>
                      <wp:effectExtent l="1905" t="4445" r="7620" b="12700"/>
                      <wp:wrapNone/>
                      <wp:docPr id="32" name="直接箭头连接符 32"/>
                      <wp:cNvGraphicFramePr/>
                      <a:graphic xmlns:a="http://schemas.openxmlformats.org/drawingml/2006/main">
                        <a:graphicData uri="http://schemas.microsoft.com/office/word/2010/wordprocessingShape">
                          <wps:wsp>
                            <wps:cNvCnPr/>
                            <wps:spPr>
                              <a:xfrm>
                                <a:off x="0" y="0"/>
                                <a:ext cx="1152525" cy="554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9.6pt;margin-top:1.15pt;height:43.65pt;width:90.75pt;z-index:251689984;mso-width-relative:page;mso-height-relative:page;" filled="f" stroked="t" coordsize="21600,21600" o:gfxdata="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S93OzYAAAACAEAAA8AAAAAAAAAAQAgAAAAIgAAAGRycy9kb3du&#10;cmV2LnhtbFBLAQIUABQAAAAIAIdO4kCLqChU/wEAAPMDAAAOAAAAAAAAAAEAIAAAACcBAABkcnMv&#10;ZTJvRG9jLnhtbFBLBQYAAAAABgAGAFkBAACYBQAAAAA=&#10;">
                      <v:fill on="f" focussize="0,0"/>
                      <v:stroke color="#000000" joinstyle="round"/>
                      <v:imagedata o:title=""/>
                      <o:lock v:ext="edit" aspectratio="f"/>
                    </v:shape>
                  </w:pict>
                </mc:Fallback>
              </mc:AlternateContent>
            </w:r>
          </w:p>
          <w:p>
            <w:pPr>
              <w:widowControl/>
              <w:jc w:val="center"/>
              <w:rPr>
                <w:rFonts w:ascii="宋体" w:hAnsi="宋体" w:cs="宋体"/>
                <w:color w:val="000000"/>
                <w:kern w:val="0"/>
                <w:sz w:val="24"/>
              </w:rPr>
            </w:pPr>
          </w:p>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921"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5"/>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43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21"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43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21"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370" w:hRule="atLeast"/>
        </w:trPr>
        <w:tc>
          <w:tcPr>
            <w:tcW w:w="3432"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921"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5"/>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172"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5"/>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p>
          <w:p>
            <w:pPr>
              <w:widowControl/>
              <w:rPr>
                <w:rFonts w:ascii="宋体" w:hAnsi="宋体" w:cs="宋体"/>
                <w:color w:val="000000"/>
                <w:kern w:val="0"/>
                <w:sz w:val="24"/>
              </w:rPr>
            </w:pPr>
            <w:r>
              <w:rPr>
                <w:rFonts w:hint="eastAsia" w:ascii="宋体" w:hAnsi="宋体" w:cs="宋体"/>
                <w:color w:val="000000"/>
                <w:kern w:val="0"/>
                <w:sz w:val="24"/>
              </w:rPr>
              <w:t>为了全面做好丰台区第四次全国经济普查工作，拨付经济普查登记阶段规下单位普查培训布置经费，用于组织规下单位召开培训布置会议。</w:t>
            </w:r>
          </w:p>
        </w:tc>
        <w:tc>
          <w:tcPr>
            <w:tcW w:w="4536" w:type="dxa"/>
            <w:gridSpan w:val="8"/>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年度总体目标完成情况综述</w:t>
            </w:r>
          </w:p>
          <w:p>
            <w:pPr>
              <w:widowControl/>
              <w:rPr>
                <w:rFonts w:ascii="宋体" w:hAnsi="宋体" w:cs="宋体"/>
                <w:color w:val="000000"/>
                <w:kern w:val="0"/>
                <w:sz w:val="24"/>
              </w:rPr>
            </w:pPr>
            <w:r>
              <w:rPr>
                <w:rFonts w:hint="eastAsia" w:ascii="宋体" w:hAnsi="宋体" w:cs="宋体"/>
                <w:color w:val="000000"/>
                <w:kern w:val="0"/>
                <w:sz w:val="24"/>
              </w:rPr>
              <w:t>组织开展南苑乡辖区四经普正式普查阶段企业业务报表培训会，提升工作人员业务水平</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0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6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3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11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03" w:type="dxa"/>
            <w:tcBorders>
              <w:top w:val="single" w:color="auto" w:sz="4" w:space="0"/>
              <w:left w:val="nil"/>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w:t>
            </w:r>
          </w:p>
        </w:tc>
        <w:tc>
          <w:tcPr>
            <w:tcW w:w="1674" w:type="dxa"/>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开展培训四场，每场不少于300人次</w:t>
            </w:r>
          </w:p>
        </w:tc>
        <w:tc>
          <w:tcPr>
            <w:tcW w:w="1381"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1500人次</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167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普查员参训率100%，普查业务掌握100%</w:t>
            </w:r>
          </w:p>
        </w:tc>
        <w:tc>
          <w:tcPr>
            <w:tcW w:w="1381"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实现预期指标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w:t>
            </w:r>
          </w:p>
        </w:tc>
        <w:tc>
          <w:tcPr>
            <w:tcW w:w="167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12月前完成培训</w:t>
            </w:r>
          </w:p>
        </w:tc>
        <w:tc>
          <w:tcPr>
            <w:tcW w:w="138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11月完成</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167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项目预算控制数2.7万元</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0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效益指标</w:t>
            </w:r>
          </w:p>
        </w:tc>
        <w:tc>
          <w:tcPr>
            <w:tcW w:w="167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提高了规下单位工作人员填报第四次全国经济普查登记表的能力和技能</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达到预期目标</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绩效目标过于粗略，数量指标中培训费用具体用途未列明</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0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    满意度指标</w:t>
            </w:r>
          </w:p>
        </w:tc>
        <w:tc>
          <w:tcPr>
            <w:tcW w:w="167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组织管理及培训质量得到单位好评90%</w:t>
            </w:r>
          </w:p>
        </w:tc>
        <w:tc>
          <w:tcPr>
            <w:tcW w:w="138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好评率  达90%</w:t>
            </w:r>
          </w:p>
        </w:tc>
        <w:tc>
          <w:tcPr>
            <w:tcW w:w="115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111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口头评价，同时应结上级评价进行</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总分：91</w:t>
            </w:r>
          </w:p>
        </w:tc>
        <w:tc>
          <w:tcPr>
            <w:tcW w:w="226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7416"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6393"/>
      </w:tblGrid>
      <w:tr>
        <w:tblPrEx>
          <w:tblCellMar>
            <w:top w:w="0" w:type="dxa"/>
            <w:left w:w="108" w:type="dxa"/>
            <w:bottom w:w="0" w:type="dxa"/>
            <w:right w:w="108" w:type="dxa"/>
          </w:tblCellMar>
        </w:tblPrEx>
        <w:trPr>
          <w:gridAfter w:val="1"/>
          <w:wAfter w:w="6393"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6393"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6393"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基层司法所工作经费</w:t>
            </w:r>
          </w:p>
        </w:tc>
      </w:tr>
      <w:tr>
        <w:tblPrEx>
          <w:tblCellMar>
            <w:top w:w="0" w:type="dxa"/>
            <w:left w:w="108" w:type="dxa"/>
            <w:bottom w:w="0" w:type="dxa"/>
            <w:right w:w="108" w:type="dxa"/>
          </w:tblCellMar>
        </w:tblPrEx>
        <w:trPr>
          <w:gridAfter w:val="1"/>
          <w:wAfter w:w="6393"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100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3" name="直接箭头连接符 3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100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13WLqAQIAAPMDAAAOAAAAZHJzL2Uyb0RvYy54bWytU82O&#10;0zAQviPxDpbvNGlXVG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dkZZxYM&#10;3fjNu+sfbz/efP3y/cP1z2/vk/35EyM/iTV4rChmZTfhuEK/CYn5vg0mzcSJ7bPAh5PAch+ZoM3p&#10;9PG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dd1i6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司法局</w:t>
            </w:r>
            <w:r>
              <w:rPr>
                <w:rFonts w:ascii="宋体" w:hAnsi="宋体" w:cs="宋体"/>
                <w:color w:val="000000"/>
                <w:kern w:val="0"/>
                <w:sz w:val="24"/>
              </w:rPr>
              <w:t>19177000598</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司法所</w:t>
            </w:r>
          </w:p>
        </w:tc>
      </w:tr>
      <w:tr>
        <w:tblPrEx>
          <w:tblCellMar>
            <w:top w:w="0" w:type="dxa"/>
            <w:left w:w="108" w:type="dxa"/>
            <w:bottom w:w="0" w:type="dxa"/>
            <w:right w:w="108" w:type="dxa"/>
          </w:tblCellMar>
        </w:tblPrEx>
        <w:trPr>
          <w:gridAfter w:val="1"/>
          <w:wAfter w:w="6393"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6393"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1.9965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9.99</w:t>
            </w:r>
          </w:p>
        </w:tc>
      </w:tr>
      <w:tr>
        <w:tblPrEx>
          <w:tblCellMar>
            <w:top w:w="0" w:type="dxa"/>
            <w:left w:w="108" w:type="dxa"/>
            <w:bottom w:w="0" w:type="dxa"/>
            <w:right w:w="108" w:type="dxa"/>
          </w:tblCellMar>
        </w:tblPrEx>
        <w:trPr>
          <w:gridAfter w:val="1"/>
          <w:wAfter w:w="6393"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1.9965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9.99</w:t>
            </w:r>
          </w:p>
        </w:tc>
      </w:tr>
      <w:tr>
        <w:tblPrEx>
          <w:tblCellMar>
            <w:top w:w="0" w:type="dxa"/>
            <w:left w:w="108" w:type="dxa"/>
            <w:bottom w:w="0" w:type="dxa"/>
            <w:right w:w="108" w:type="dxa"/>
          </w:tblCellMar>
        </w:tblPrEx>
        <w:trPr>
          <w:gridAfter w:val="1"/>
          <w:wAfter w:w="6393"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6393"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年初设定目标:开展七五普法宣传，提高普法工作参与率</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年度总体目标完成情况综述：社区村干部和广大群众的普法参与率明显提升</w:t>
            </w:r>
          </w:p>
        </w:tc>
      </w:tr>
      <w:tr>
        <w:tblPrEx>
          <w:tblCellMar>
            <w:top w:w="0" w:type="dxa"/>
            <w:left w:w="108" w:type="dxa"/>
            <w:bottom w:w="0" w:type="dxa"/>
            <w:right w:w="108" w:type="dxa"/>
          </w:tblCellMar>
        </w:tblPrEx>
        <w:trPr>
          <w:gridAfter w:val="1"/>
          <w:wAfter w:w="6393"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6393"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sz w:val="24"/>
              </w:rPr>
              <w:t>制作宣传品5</w:t>
            </w:r>
            <w:r>
              <w:rPr>
                <w:rFonts w:ascii="宋体" w:hAnsi="宋体"/>
                <w:sz w:val="24"/>
              </w:rPr>
              <w:t>70</w:t>
            </w:r>
            <w:r>
              <w:rPr>
                <w:rFonts w:hint="eastAsia" w:ascii="宋体" w:hAnsi="宋体"/>
                <w:sz w:val="24"/>
              </w:rPr>
              <w:t>份</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完成预期指标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普法一线工作人员和志愿者人手一册</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实现预期指标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ascii="宋体" w:hAnsi="宋体"/>
                <w:sz w:val="24"/>
              </w:rPr>
              <w:t>12</w:t>
            </w:r>
            <w:r>
              <w:rPr>
                <w:rFonts w:hint="eastAsia" w:ascii="宋体" w:hAnsi="宋体"/>
                <w:sz w:val="24"/>
              </w:rPr>
              <w:t>月前完成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12月完成</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sz w:val="24"/>
              </w:rPr>
              <w:t>项目预算控制数</w:t>
            </w:r>
            <w:r>
              <w:rPr>
                <w:rFonts w:ascii="宋体" w:hAnsi="宋体"/>
                <w:sz w:val="24"/>
              </w:rPr>
              <w:t>2</w:t>
            </w:r>
            <w:r>
              <w:rPr>
                <w:rFonts w:hint="eastAsia" w:ascii="宋体" w:hAnsi="宋体"/>
                <w:sz w:val="24"/>
              </w:rPr>
              <w:t>万元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1.9965</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6393"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提高基层干部普法参与性</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宣传效果评价指标需细化</w:t>
            </w:r>
          </w:p>
        </w:tc>
      </w:tr>
      <w:tr>
        <w:tblPrEx>
          <w:tblCellMar>
            <w:top w:w="0" w:type="dxa"/>
            <w:left w:w="108" w:type="dxa"/>
            <w:bottom w:w="0" w:type="dxa"/>
            <w:right w:w="108" w:type="dxa"/>
          </w:tblCellMar>
        </w:tblPrEx>
        <w:trPr>
          <w:gridAfter w:val="1"/>
          <w:wAfter w:w="6393"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sz w:val="24"/>
              </w:rPr>
              <w:t>得到社区村干部好评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好评率达98%</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口头评价</w:t>
            </w:r>
          </w:p>
        </w:tc>
      </w:tr>
      <w:tr>
        <w:tblPrEx>
          <w:tblCellMar>
            <w:top w:w="0" w:type="dxa"/>
            <w:left w:w="108" w:type="dxa"/>
            <w:bottom w:w="0" w:type="dxa"/>
            <w:right w:w="108" w:type="dxa"/>
          </w:tblCellMar>
        </w:tblPrEx>
        <w:trPr>
          <w:gridAfter w:val="1"/>
          <w:wAfter w:w="6393"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项目支出事后绩效自评简表（表33）</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城乡无丧葬居民丧葬补贴</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203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18" name="直接箭头连接符 1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203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DJSk3G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社管科</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30</w:t>
            </w:r>
          </w:p>
        </w:tc>
        <w:tc>
          <w:tcPr>
            <w:tcW w:w="992" w:type="dxa"/>
            <w:tcBorders>
              <w:top w:val="nil"/>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30</w:t>
            </w:r>
          </w:p>
        </w:tc>
        <w:tc>
          <w:tcPr>
            <w:tcW w:w="992" w:type="dxa"/>
            <w:tcBorders>
              <w:top w:val="nil"/>
              <w:left w:val="nil"/>
              <w:bottom w:val="single" w:color="auto" w:sz="4" w:space="0"/>
              <w:right w:val="single" w:color="auto" w:sz="4" w:space="0"/>
            </w:tcBorders>
            <w:noWrap/>
            <w:vAlign w:val="center"/>
          </w:tcPr>
          <w:p>
            <w:pPr>
              <w:widowControl/>
              <w:ind w:firstLine="240" w:firstLineChars="100"/>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w:t>
            </w:r>
            <w:r>
              <w:rPr>
                <w:rFonts w:ascii="宋体" w:hAnsi="宋体" w:cs="宋体"/>
                <w:sz w:val="24"/>
              </w:rPr>
              <w:t>保具有本市户籍、且未享受我市丧葬补助费待遇的居民</w:t>
            </w:r>
            <w:r>
              <w:rPr>
                <w:rFonts w:hint="eastAsia" w:ascii="宋体" w:hAnsi="宋体" w:cs="宋体"/>
                <w:sz w:val="24"/>
              </w:rPr>
              <w:t>发放丧葬补贴</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年度总体目标完成情况综述：为60名符合条件的居民发放丧葬补贴，</w:t>
            </w:r>
            <w:r>
              <w:rPr>
                <w:rFonts w:ascii="宋体" w:hAnsi="宋体" w:cs="宋体"/>
                <w:sz w:val="24"/>
              </w:rPr>
              <w:t>保障居民基本丧葬需求，推进殡葬改革</w:t>
            </w:r>
            <w:r>
              <w:rPr>
                <w:rFonts w:hint="eastAsia" w:ascii="宋体" w:hAnsi="宋体" w:cs="宋体"/>
                <w:sz w:val="24"/>
              </w:rPr>
              <w:t>。</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按照5000元/人的标准为符合条件的居民申报丧葬补贴</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60人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依规定申报，并按时足额发放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达到年初目的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控制在预算数内30万</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30万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ascii="宋体" w:hAnsi="宋体" w:cs="宋体"/>
                <w:sz w:val="24"/>
              </w:rPr>
              <w:t>保障居民基本丧葬需求，推进殡葬改革</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达到年初目的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对于具体办理期限无细化指标</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对发放是否及时进行测评，好评率90%以上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部分居民不接受测评</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城乡医疗救助资金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305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4" name="直接箭头连接符 3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305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UXO+X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社管科</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22.53%</w:t>
            </w:r>
          </w:p>
        </w:tc>
        <w:tc>
          <w:tcPr>
            <w:tcW w:w="1276" w:type="dxa"/>
            <w:tcBorders>
              <w:top w:val="nil"/>
              <w:left w:val="nil"/>
              <w:bottom w:val="single" w:color="auto" w:sz="4" w:space="0"/>
              <w:right w:val="single" w:color="auto" w:sz="4" w:space="0"/>
            </w:tcBorders>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2.25</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15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3.38</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22.53%</w:t>
            </w:r>
          </w:p>
        </w:tc>
        <w:tc>
          <w:tcPr>
            <w:tcW w:w="1276" w:type="dxa"/>
            <w:tcBorders>
              <w:top w:val="nil"/>
              <w:left w:val="nil"/>
              <w:bottom w:val="single" w:color="auto" w:sz="4" w:space="0"/>
              <w:right w:val="single" w:color="auto" w:sz="4" w:space="0"/>
            </w:tcBorders>
            <w:vAlign w:val="center"/>
          </w:tcPr>
          <w:p>
            <w:pPr>
              <w:widowControl/>
              <w:ind w:firstLine="240" w:firstLineChars="100"/>
              <w:jc w:val="left"/>
              <w:rPr>
                <w:rFonts w:ascii="宋体" w:hAnsi="宋体" w:cs="宋体"/>
                <w:color w:val="000000"/>
                <w:kern w:val="0"/>
                <w:sz w:val="24"/>
              </w:rPr>
            </w:pPr>
            <w:r>
              <w:rPr>
                <w:rFonts w:hint="eastAsia" w:ascii="宋体" w:hAnsi="宋体" w:cs="宋体"/>
                <w:color w:val="000000"/>
                <w:kern w:val="0"/>
                <w:sz w:val="24"/>
              </w:rPr>
              <w:t>2.25</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年初设定目标:为符合条件的</w:t>
            </w:r>
            <w:r>
              <w:rPr>
                <w:rFonts w:ascii="宋体" w:hAnsi="宋体" w:cs="宋体"/>
                <w:sz w:val="24"/>
              </w:rPr>
              <w:t>社会救助对象</w:t>
            </w:r>
            <w:r>
              <w:rPr>
                <w:rFonts w:hint="eastAsia" w:ascii="宋体" w:hAnsi="宋体" w:cs="宋体"/>
                <w:sz w:val="24"/>
              </w:rPr>
              <w:t>发放医疗救助资金</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年度总体目标完成情况综述：对区民政局审核合格的社会救助对象发放医疗救助金3.38万元</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依据申请为符合条件的</w:t>
            </w:r>
            <w:r>
              <w:rPr>
                <w:rFonts w:ascii="宋体" w:hAnsi="宋体" w:cs="宋体"/>
                <w:sz w:val="24"/>
              </w:rPr>
              <w:t>社会救助对象</w:t>
            </w:r>
            <w:r>
              <w:rPr>
                <w:rFonts w:hint="eastAsia" w:ascii="宋体" w:hAnsi="宋体" w:cs="宋体"/>
                <w:sz w:val="24"/>
              </w:rPr>
              <w:t>发放医疗救助资金</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5人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依规申报，按批准数发放到个人账户</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控制在预算数15万内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3.38</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ind w:firstLine="480" w:firstLineChars="200"/>
              <w:jc w:val="left"/>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2.25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ascii="宋体" w:hAnsi="宋体" w:cs="宋体"/>
                <w:sz w:val="24"/>
              </w:rPr>
              <w:t>保障困难群众基本医疗需求，有效缓解困难群众就医负担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对申报办理期限未细化，实际与预算差距较大</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对发放是否及时测评，好评90%以上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总分：78.5</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项目支出事后绩效自评简表（表35）</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城乡特困人员换季服装经费（社会孤老临时困难补助）</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408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5" name="直接箭头连接符 3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408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GSzEkAQIAAPMDAAAOAAAAZHJzL2Uyb0RvYy54bWytU82O&#10;0zAQviPxDpbvNGnRVm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eMzziwY&#10;uvGbd9c/3n68+frl+4frn9/eJ/vzJ0Z+EmvwWFHMym7CcYV+ExLzfRtMmokT22eBDyeB5T4yQZvT&#10;6dm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RksxJ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社管科</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0.225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0.225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0.225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0.225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年初设定目标:为全乡特困人员购买换季服装</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年度总体目标完成情况综述：为全乡购买5位特困人员购买换季服装</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按450元/人的标准为5名特困人员购置换季服装</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5名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保证服装保暖性</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达到保暖要求</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90"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控制在2.25万</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2.25万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ascii="宋体" w:hAnsi="宋体" w:cs="宋体"/>
                <w:sz w:val="24"/>
              </w:rPr>
              <w:t>保障</w:t>
            </w:r>
            <w:r>
              <w:rPr>
                <w:rFonts w:hint="eastAsia" w:ascii="宋体" w:hAnsi="宋体" w:cs="宋体"/>
                <w:sz w:val="24"/>
              </w:rPr>
              <w:t>特困</w:t>
            </w:r>
            <w:r>
              <w:rPr>
                <w:rFonts w:ascii="宋体" w:hAnsi="宋体" w:cs="宋体"/>
                <w:sz w:val="24"/>
              </w:rPr>
              <w:t>群众基本</w:t>
            </w:r>
            <w:r>
              <w:rPr>
                <w:rFonts w:hint="eastAsia" w:ascii="宋体" w:hAnsi="宋体" w:cs="宋体"/>
                <w:sz w:val="24"/>
              </w:rPr>
              <w:t>过冬</w:t>
            </w:r>
            <w:r>
              <w:rPr>
                <w:rFonts w:ascii="宋体" w:hAnsi="宋体" w:cs="宋体"/>
                <w:sz w:val="24"/>
              </w:rPr>
              <w:t>需求，</w:t>
            </w:r>
            <w:r>
              <w:rPr>
                <w:rFonts w:hint="eastAsia" w:ascii="宋体" w:hAnsi="宋体" w:cs="宋体"/>
                <w:sz w:val="24"/>
              </w:rPr>
              <w:t>兜牢社会保障底线</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数量指标有待细化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对特困人员进行满意度测评，好评≥90%</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955"/>
        <w:gridCol w:w="1418"/>
        <w:gridCol w:w="291"/>
        <w:gridCol w:w="1455"/>
        <w:gridCol w:w="388"/>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5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9"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9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公厕保洁费（区级）</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510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6" name="直接箭头连接符 3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510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A6CuAQIAAPMDAAAOAAAAZHJzL2Uyb0RvYy54bWytU82O&#10;0zAQviPxDpbvNGkRFR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p+eM5ZxYM&#10;3fjN+6sf7z7dfPv6/ePVz+sPyf7ymZGfxBo8VhSzsptwXKHfhMR83waTZuLE9lngw0lguY9M0OZ0&#10;+mRGP2eCfPPybF7mGyhuo33A+Fw6w5JRc4wBVNfHlbOW7tKFaVYZdi8wUn4K/B2QUmvLhpqfjRmA&#10;erOlnqBkxhM/tF2ORadVc6G0ThEYuu1KB7aD1B/5SywJ969jKckasB/PZdfYOb2E5pltWDx4Es7S&#10;g+GpBCMbzrSk95UsAoQqgtL3OUmptaUKktCjtMnauuaQFc/71Au5xm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fwOgr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年初设定目标:用于支付2018年12月公厕保洁费6万元</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年度总体目标完成情况综述：完成支付6万元。</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4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5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418"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746"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依据合同约定，支付2018年12月公厕保洁费6万元</w:t>
            </w:r>
          </w:p>
        </w:tc>
        <w:tc>
          <w:tcPr>
            <w:tcW w:w="1522"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6万元</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74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依据合同约定及考核结果支付</w:t>
            </w:r>
          </w:p>
        </w:tc>
        <w:tc>
          <w:tcPr>
            <w:tcW w:w="152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按时支付</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74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12月前支出</w:t>
            </w:r>
          </w:p>
        </w:tc>
        <w:tc>
          <w:tcPr>
            <w:tcW w:w="152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12月前支出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74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控制在预算数6万内</w:t>
            </w:r>
          </w:p>
        </w:tc>
        <w:tc>
          <w:tcPr>
            <w:tcW w:w="152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74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提升公厕管理水平，营造良好卫生环境</w:t>
            </w:r>
          </w:p>
        </w:tc>
        <w:tc>
          <w:tcPr>
            <w:tcW w:w="152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建议当年账款当年结清，避免挤占下年经费</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41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746"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由市政管委进行考核，满分100分</w:t>
            </w:r>
          </w:p>
        </w:tc>
        <w:tc>
          <w:tcPr>
            <w:tcW w:w="152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缺乏对服务对象及服务商满意度测评</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乡镇自管公厕保洁费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南苑乡人民政府177000</w:t>
            </w:r>
            <w:r>
              <w:rPr>
                <w:rFonts w:ascii="宋体" w:hAnsi="宋体" w:cs="宋体"/>
                <w:color w:val="000000"/>
                <w:kern w:val="0"/>
                <w:sz w:val="24"/>
              </w:rPr>
              <mc:AlternateContent>
                <mc:Choice Requires="wps">
                  <w:drawing>
                    <wp:anchor distT="0" distB="0" distL="114300" distR="114300" simplePos="0" relativeHeight="25169612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7" name="直接箭头连接符 3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612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aDsv1wECAADzAwAADgAAAAAAAAABACAAAAAmAQAAZHJz&#10;L2Uyb0RvYy54bWxQSwUGAAAAAAYABgBZAQAAmQUAAAAA&#10;">
                      <v:fill on="f" focussize="0,0"/>
                      <v:stroke color="#000000" joinstyle="round"/>
                      <v:imagedata o:title=""/>
                      <o:lock v:ext="edit" aspectratio="f"/>
                    </v:shape>
                  </w:pict>
                </mc:Fallback>
              </mc:AlternateConten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年初设定目标:提升公厕保洁管理水平，</w:t>
            </w:r>
            <w:r>
              <w:rPr>
                <w:rFonts w:ascii="宋体" w:hAnsi="宋体" w:cs="宋体"/>
                <w:sz w:val="24"/>
              </w:rPr>
              <w:t>保证厕内卫生整洁</w:t>
            </w:r>
            <w:r>
              <w:rPr>
                <w:rFonts w:hint="eastAsia" w:ascii="宋体" w:hAnsi="宋体" w:cs="宋体"/>
                <w:sz w:val="24"/>
              </w:rPr>
              <w:t>。</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年度总体目标完成情况综述：通过购买服务的方式对公厕保洁进行管理，按6万/月的标准支付2019年1-11月保洁费。</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依据合同约定，支付2019年1-11月公厕保洁费66万元</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6*11</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依据合同约定及考核结果支付</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按时支付</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12月前支出</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12月前支出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控制在预算数66万内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66万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提升公厕管理水平，营造良好卫生环境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建议当年账款当年结清，避免挤占下年经费</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由市政管委进行考核，满分100分</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缺乏对服务对象及服务商满意度测评</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农村人居环境整治补助</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715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8" name="直接箭头连接符 3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715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dlloG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55"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年初设定目标:大力实施农村人居环境整治行动，开展农村地区生活垃圾和污水治理,巩固农村环境整治成果</w:t>
            </w:r>
          </w:p>
        </w:tc>
        <w:tc>
          <w:tcPr>
            <w:tcW w:w="4536" w:type="dxa"/>
            <w:gridSpan w:val="7"/>
            <w:tcBorders>
              <w:top w:val="single" w:color="auto" w:sz="4" w:space="0"/>
              <w:left w:val="nil"/>
              <w:bottom w:val="single" w:color="auto" w:sz="4" w:space="0"/>
              <w:right w:val="single" w:color="000000" w:sz="4" w:space="0"/>
            </w:tcBorders>
            <w:vAlign w:val="center"/>
          </w:tcPr>
          <w:p>
            <w:pPr>
              <w:pStyle w:val="2"/>
            </w:pPr>
            <w:r>
              <w:rPr>
                <w:rFonts w:hint="eastAsia"/>
              </w:rPr>
              <w:t>年度总体目标完成情况综述：以时村、东罗园村为重点，按每村100万元的标准实施农村人居环境整治。</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下拨时村村人居环境整治经费45万元</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时村村45万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按照农村人居环境整治考核办法完成农村整治工作</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通过市级验收</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9月完成</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控制在45万内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农村垃圾得到有效治理，农村道路显著改善，拆除私搭乱建，提升环境水平</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通过市级验收</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数量指标、进度指标缺乏细化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对村民进行满意度调查，好评90%以上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项目支出事后绩效自评简表（表39）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农村人居环境整治补助</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817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39" name="直接箭头连接符 3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817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YWHnY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155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155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155</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时村村整治经费55万元</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55万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7</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240"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东罗园村100万元</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100万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按照农村人居环境整治考核办法完成农村整治工作</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通过市级验收</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9月完成</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控制在155万内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155万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农村垃圾得到有效治理，农村道路显著改善，拆除私搭乱建，提升环境水平</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通过市级验收</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数量指标、进度指标缺乏细化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对村民进行满意度调查，好评90%以上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项目支出事后绩效自评简表（表40）</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农村地区路灯运维维护资金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69920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0" name="直接箭头连接符 4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69920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LZjDXAAAACQEAAA8AAAAAAAAAAQAgAAAAIgAAAGRycy9kb3du&#10;cmV2LnhtbFBLAQIUABQAAAAIAIdO4kAzrUdcAAIAAPMDAAAOAAAAAAAAAAEAIAAAACYBAABkcnMv&#10;ZTJvRG9jLnhtbFBLBQYAAAAABgAGAFkBAACYBQ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21.04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21.04</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年初设定目标:对农村地区</w:t>
            </w:r>
            <w:r>
              <w:rPr>
                <w:rFonts w:ascii="宋体" w:hAnsi="宋体" w:cs="宋体"/>
                <w:sz w:val="24"/>
              </w:rPr>
              <w:t>路灯的灯杆、灯罩、接线箱等照明设施进行维修维护，保证每一盏路灯都能正常使用</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年度总体目标完成情况综述：按照200元/盏的标准下拨各村，进行路灯运维维护，以保证路灯正常使用</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对东罗园村、石榴庄村、槐房村、时村村、新宫村1052盏路灯按200元/盏的标准下拨</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1052盏</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及时对路灯进行维护修理</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达到年初目标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控制在预算数21.04万内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21.04万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对农村地区</w:t>
            </w:r>
            <w:r>
              <w:rPr>
                <w:rFonts w:ascii="宋体" w:hAnsi="宋体" w:cs="宋体"/>
                <w:sz w:val="24"/>
              </w:rPr>
              <w:t>路灯设施进行维修维护，保证每一盏路灯都能正常使用</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达到年初目标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对各村维护情况缺乏管理材料，质量指标不细化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对各村村委会是否满意进行测评，好评90%以上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村民满意度未测评</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32"/>
        <w:gridCol w:w="1255"/>
        <w:gridCol w:w="277"/>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3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32"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社区工作者继续教育经费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022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1" name="直接箭头连接符 4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022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JJXIJ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0.06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0.06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0.06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0.06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年初设定目标:根据2018年统计情况，为考取社工师的社区工作者报销学费，每人600元。</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年度总体目标完成情况综述：2018年实际申报1人，报销学费600元</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3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97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55"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978"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取证人员600元/人</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97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根据前期申报情况及时下发</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97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978"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按保准申报</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97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鼓励社工职业化、专业化，提升社工职业素养</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实现目标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3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978"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对发放对象进行满意度测评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满意</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总分：100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志愿者活动经费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124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2" name="直接箭头连接符 4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124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d3VmvAQIAAPMDAAAOAAAAZHJzL2Uyb0RvYy54bWytU82O&#10;0zAQviPxDpbvNGkFFR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p+eMZZxYM&#10;3fjN+6sf7z7dfPv6/ePVz+sPyf7ymZGfxBo8VhSzsptwXKHfhMR83waTZuLE9lngw0lguY9M0OZ0&#10;+mRGP2eCfPPybF7mGyhuo33A+Fw6w5JRc4wBVNfHlbOW7tKFaVYZdi8wUn4K/B2QUmvLhpqfjRmA&#10;erOlnqBkxhM/tF2ORadVc6G0ThEYuu1KB7aD1B/5SywJ969jKckasB/PZdfYOb2E5pltWDx4Es7S&#10;g+GpBCMbzrSk95UsAoQqgtL3OUmptaUKktCjtMnauuaQFc/71Au5xm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Hd1Zr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年初设定目标:为迎接</w:t>
            </w:r>
            <w:r>
              <w:rPr>
                <w:rFonts w:hint="eastAsia" w:ascii="宋体" w:hAnsi="宋体" w:cs="宋体"/>
                <w:color w:val="000000"/>
                <w:kern w:val="0"/>
                <w:sz w:val="24"/>
                <w:lang w:eastAsia="zh-CN"/>
              </w:rPr>
              <w:t>中华人民共和国成立70周年</w:t>
            </w:r>
            <w:r>
              <w:rPr>
                <w:rFonts w:hint="eastAsia" w:ascii="宋体" w:hAnsi="宋体" w:cs="宋体"/>
                <w:color w:val="000000"/>
                <w:kern w:val="0"/>
                <w:sz w:val="24"/>
              </w:rPr>
              <w:t>大庆，提升志愿者参与积极性，根据区选定的社区开展国庆志愿服务，用于值守后勤保障等</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年度总体目标完成情况综述：围绕</w:t>
            </w:r>
            <w:r>
              <w:rPr>
                <w:rFonts w:hint="eastAsia" w:ascii="宋体" w:hAnsi="宋体" w:cs="宋体"/>
                <w:color w:val="000000"/>
                <w:kern w:val="0"/>
                <w:sz w:val="24"/>
                <w:lang w:eastAsia="zh-CN"/>
              </w:rPr>
              <w:t>中华人民共和国成立70周年</w:t>
            </w:r>
            <w:r>
              <w:rPr>
                <w:rFonts w:hint="eastAsia" w:ascii="宋体" w:hAnsi="宋体" w:cs="宋体"/>
                <w:color w:val="000000"/>
                <w:kern w:val="0"/>
                <w:sz w:val="24"/>
              </w:rPr>
              <w:t>，福海棠华苑社区深入开展志愿者全天候值守巡逻工作，并向志愿者按照标准提供盒饭。</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rPr>
                <w:rFonts w:ascii="宋体" w:hAnsi="宋体" w:cs="宋体"/>
                <w:color w:val="000000"/>
                <w:kern w:val="0"/>
                <w:sz w:val="24"/>
              </w:rPr>
            </w:pPr>
            <w:r>
              <w:rPr>
                <w:rFonts w:hint="eastAsia" w:ascii="宋体" w:hAnsi="宋体" w:cs="宋体"/>
                <w:color w:val="000000"/>
                <w:kern w:val="0"/>
                <w:sz w:val="24"/>
              </w:rPr>
              <w:t>由福海棠华苑社区开展值守巡逻不少于200人次</w:t>
            </w:r>
          </w:p>
        </w:tc>
        <w:tc>
          <w:tcPr>
            <w:tcW w:w="1276" w:type="dxa"/>
            <w:gridSpan w:val="2"/>
            <w:tcBorders>
              <w:top w:val="single" w:color="auto" w:sz="4" w:space="0"/>
              <w:left w:val="nil"/>
              <w:right w:val="single" w:color="auto" w:sz="4" w:space="0"/>
            </w:tcBorders>
            <w:noWrap/>
            <w:vAlign w:val="center"/>
          </w:tcPr>
          <w:p>
            <w:pPr>
              <w:rPr>
                <w:rFonts w:ascii="宋体" w:hAnsi="宋体"/>
                <w:sz w:val="24"/>
              </w:rPr>
            </w:pPr>
            <w:r>
              <w:rPr>
                <w:rFonts w:hint="eastAsia" w:ascii="宋体" w:hAnsi="宋体"/>
                <w:sz w:val="24"/>
              </w:rPr>
              <w:t>300人次</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严格用于志愿者后勤保障</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11月底前支出</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11月底前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控制在预算数内1万</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提升志愿者参与积极性，增强爱国情怀，营造良好氛围。</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数量指标需细化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对参与者进行满意度测评，好评90%以上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口头反馈，</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项目支出事后绩效自评简表（表43）</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社区公益金</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2272" behindDoc="0" locked="0" layoutInCell="1" allowOverlap="1">
                      <wp:simplePos x="0" y="0"/>
                      <wp:positionH relativeFrom="column">
                        <wp:posOffset>-53340</wp:posOffset>
                      </wp:positionH>
                      <wp:positionV relativeFrom="paragraph">
                        <wp:posOffset>207645</wp:posOffset>
                      </wp:positionV>
                      <wp:extent cx="1152525" cy="609600"/>
                      <wp:effectExtent l="2540" t="4445" r="6985" b="14605"/>
                      <wp:wrapNone/>
                      <wp:docPr id="43" name="直接箭头连接符 4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6.35pt;height:48pt;width:90.75pt;z-index:251702272;mso-width-relative:page;mso-height-relative:page;" filled="f" stroked="t" coordsize="21600,21600" o:gfxdata="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KupgNgAAAAJAQAADwAAAAAAAAABACAAAAAiAAAAZHJzL2Rv&#10;d25yZXYueG1sUEsBAhQAFAAAAAgAh07iQArl1tYBAgAA8wMAAA4AAAAAAAAAAQAgAAAAJw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72.81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82.4%</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8.42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72.81</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82.4%</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8.42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年初设定目标:按照社区公益金支出使用规定，依据所辖7个社区年初制定的使用计划，广泛开展社区文化、体育、助老助残、志愿服务等活动。</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计划开展各类活动120场</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106场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17.7</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部分社区活动未按计划开展</w:t>
            </w: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按照社区公益金支出使用规定严格执行</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部分活动未开展</w:t>
            </w: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控制在成本数72.81万内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60万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8.42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丰富社区居民生活，营造和谐社区关系</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资金使用不充足，建议严格按照计划执行</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对社区居民进行调查，好评率90%以上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测评对象范围有待扩大</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总分：82.84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街道社区工作者体检经费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329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4" name="直接箭头连接符 4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329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uSwphAQIAAPMDAAAOAAAAZHJzL2Uyb0RvYy54bWytU82O&#10;0zAQviPxDpbvNGm1VG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dkZZxYM&#10;3fjNu+sfbz/efP3y/cP1z2/vk/35EyM/iTV4rChmZTfhuEK/CYn5vg0mzcSJ7bPAh5PAch+ZoM3p&#10;9PG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LksKY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w:t>
            </w:r>
          </w:p>
        </w:tc>
      </w:tr>
      <w:tr>
        <w:tblPrEx>
          <w:tblCellMar>
            <w:top w:w="0" w:type="dxa"/>
            <w:left w:w="108" w:type="dxa"/>
            <w:bottom w:w="0" w:type="dxa"/>
            <w:right w:w="108" w:type="dxa"/>
          </w:tblCellMar>
        </w:tblPrEx>
        <w:trPr>
          <w:gridAfter w:val="1"/>
          <w:wAfter w:w="3809" w:type="dxa"/>
          <w:trHeight w:val="90"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5.87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57.2%</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5.72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5.87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3.36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57.2%</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5.72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年初设定目标:为地区92名在职社区工作者在定点机构体检提供经费保障</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年度总体目标完成情况综述：实际参检社工66名，支出3.36万元</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92名在职社工参加体检</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66名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nil"/>
              <w:bottom w:val="single" w:color="auto" w:sz="4" w:space="0"/>
              <w:right w:val="single" w:color="auto" w:sz="4" w:space="0"/>
            </w:tcBorders>
            <w:vAlign w:val="center"/>
          </w:tcPr>
          <w:p>
            <w:pPr>
              <w:rPr>
                <w:rFonts w:ascii="宋体" w:hAnsi="宋体" w:cs="宋体"/>
                <w:color w:val="000000"/>
                <w:kern w:val="0"/>
                <w:sz w:val="24"/>
              </w:rPr>
            </w:pPr>
            <w:r>
              <w:rPr>
                <w:rFonts w:hint="eastAsia" w:ascii="宋体" w:hAnsi="宋体" w:cs="宋体"/>
                <w:color w:val="000000"/>
                <w:kern w:val="0"/>
                <w:sz w:val="24"/>
              </w:rPr>
              <w:t>部分人员因工作安排或自身原因未能参加</w:t>
            </w: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定点医院按标准进行体检</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控制在成本数5.87万内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3.36万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5.72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spacing w:before="30"/>
              <w:jc w:val="left"/>
              <w:rPr>
                <w:rFonts w:ascii="宋体" w:hAnsi="宋体" w:cs="宋体"/>
                <w:sz w:val="24"/>
              </w:rPr>
            </w:pPr>
            <w:r>
              <w:rPr>
                <w:rFonts w:ascii="宋体" w:hAnsi="宋体" w:cs="宋体"/>
                <w:kern w:val="0"/>
                <w:sz w:val="24"/>
                <w:lang w:bidi="ar"/>
              </w:rPr>
              <w:t>体现</w:t>
            </w:r>
            <w:r>
              <w:rPr>
                <w:rFonts w:hint="eastAsia" w:ascii="宋体" w:hAnsi="宋体" w:cs="宋体"/>
                <w:kern w:val="0"/>
                <w:sz w:val="24"/>
                <w:lang w:bidi="ar"/>
              </w:rPr>
              <w:t>社工</w:t>
            </w:r>
            <w:r>
              <w:rPr>
                <w:rFonts w:ascii="宋体" w:hAnsi="宋体" w:cs="宋体"/>
                <w:kern w:val="0"/>
                <w:sz w:val="24"/>
                <w:lang w:bidi="ar"/>
              </w:rPr>
              <w:t>的人性关怀</w:t>
            </w:r>
            <w:r>
              <w:rPr>
                <w:rFonts w:hint="eastAsia" w:ascii="宋体" w:hAnsi="宋体" w:cs="宋体"/>
                <w:kern w:val="0"/>
                <w:sz w:val="24"/>
                <w:lang w:bidi="ar"/>
              </w:rPr>
              <w:t>，</w:t>
            </w:r>
            <w:r>
              <w:rPr>
                <w:rFonts w:ascii="宋体" w:hAnsi="宋体" w:cs="宋体"/>
                <w:kern w:val="0"/>
                <w:sz w:val="24"/>
                <w:lang w:bidi="ar"/>
              </w:rPr>
              <w:t>使</w:t>
            </w:r>
            <w:r>
              <w:rPr>
                <w:rFonts w:hint="eastAsia" w:ascii="宋体" w:hAnsi="宋体" w:cs="宋体"/>
                <w:kern w:val="0"/>
                <w:sz w:val="24"/>
                <w:lang w:bidi="ar"/>
              </w:rPr>
              <w:t>社工</w:t>
            </w:r>
            <w:r>
              <w:rPr>
                <w:rFonts w:ascii="宋体" w:hAnsi="宋体" w:cs="宋体"/>
                <w:kern w:val="0"/>
                <w:sz w:val="24"/>
                <w:lang w:bidi="ar"/>
              </w:rPr>
              <w:t>享有专业健康指导</w:t>
            </w:r>
            <w:r>
              <w:rPr>
                <w:rFonts w:hint="eastAsia" w:ascii="宋体" w:hAnsi="宋体" w:cs="宋体"/>
                <w:kern w:val="0"/>
                <w:sz w:val="24"/>
                <w:lang w:bidi="ar"/>
              </w:rPr>
              <w:t>。</w:t>
            </w:r>
            <w:r>
              <w:rPr>
                <w:rFonts w:ascii="宋体" w:hAnsi="宋体" w:cs="宋体"/>
                <w:kern w:val="0"/>
                <w:sz w:val="24"/>
                <w:lang w:bidi="ar"/>
              </w:rPr>
              <w:t>通过健康干预措施,降低员工发病率和亚健康状态</w:t>
            </w:r>
            <w:r>
              <w:rPr>
                <w:rFonts w:hint="eastAsia" w:ascii="宋体" w:hAnsi="宋体" w:cs="宋体"/>
                <w:kern w:val="0"/>
                <w:sz w:val="24"/>
                <w:lang w:bidi="ar"/>
              </w:rPr>
              <w:t>。</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建议体检时间安排更加合理人性化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对参加体检的社工进行满意度调查，好评90%以上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服务对象未全覆盖</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总分：76.64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项目支出事后绩效自评简表（表45）</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2019年基层宣讲经费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432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5" name="直接箭头连接符 4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432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5c4UYAQIAAPMDAAAOAAAAZHJzL2Uyb0RvYy54bWytU82O&#10;0zAQviPxDpbvNGnFVm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eMzziwY&#10;uvGbd9c/3n68+frl+4frn9/eJ/vzJ0Z+EmvwWFHMym7CcYV+ExLzfRtMmokT22eBDyeB5T4yQZvT&#10;6dm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OXOFG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宣传部</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年初设定目标:以“</w:t>
            </w:r>
            <w:r>
              <w:rPr>
                <w:rFonts w:ascii="宋体" w:hAnsi="宋体" w:cs="宋体"/>
                <w:sz w:val="24"/>
              </w:rPr>
              <w:t>奋进新时代，共筑中国梦</w:t>
            </w:r>
            <w:r>
              <w:rPr>
                <w:rFonts w:hint="eastAsia" w:ascii="宋体" w:hAnsi="宋体" w:cs="宋体"/>
                <w:color w:val="000000"/>
                <w:kern w:val="0"/>
                <w:sz w:val="24"/>
              </w:rPr>
              <w:t>”为主题，广泛开展基层宣讲活动，讲好身边的故事，同塑社会主义核心价值观、</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年度总体目标完成情况综述：全年深入12个基层单位开展宣讲，举办宣讲培训，并通过视频短片、微信公众号等途径扩大宣讲传播途径，提升宣讲效果。</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到12个基层单位开展宣讲</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12</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17</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17</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举办培训不少于1次</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受众做到基层全覆盖，宣讲员参训全覆盖</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90"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控制在成本数2.7万内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2.7万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发挥典型带动作用，</w:t>
            </w:r>
            <w:r>
              <w:rPr>
                <w:rFonts w:ascii="宋体" w:hAnsi="宋体" w:cs="宋体"/>
                <w:sz w:val="24"/>
              </w:rPr>
              <w:t>进一步激发广大干部群众坚定不移跟党走的信心和决心</w:t>
            </w:r>
            <w:r>
              <w:rPr>
                <w:rFonts w:hint="eastAsia" w:ascii="宋体" w:hAnsi="宋体" w:cs="宋体"/>
                <w:sz w:val="24"/>
              </w:rPr>
              <w:t>。</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基本达到预定目标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数量指标、进度指标有待细化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就宣讲效果对各基层单位进行满意度调查，好评90</w:t>
            </w:r>
            <w:r>
              <w:rPr>
                <w:rFonts w:hint="eastAsia" w:ascii="宋体" w:hAnsi="宋体"/>
                <w:sz w:val="24"/>
              </w:rPr>
              <w:t>%以上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322"/>
        <w:gridCol w:w="59"/>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社会主义核心价值观公益广告补助经费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534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6" name="直接箭头连接符 4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534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ADsUk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宣传部</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年初设定目标:弘扬社会主义核心价值观，传递正能量，建设公益文化广告阵地，通过以奖代补的形式下发。</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年度总体目标完成情况综述：在南中轴周边时村村建设了“喜迎</w:t>
            </w:r>
            <w:r>
              <w:rPr>
                <w:rFonts w:hint="eastAsia" w:ascii="宋体" w:hAnsi="宋体" w:cs="宋体"/>
                <w:color w:val="000000"/>
                <w:kern w:val="0"/>
                <w:sz w:val="24"/>
                <w:lang w:eastAsia="zh-CN"/>
              </w:rPr>
              <w:t>中华人民共和国成立70周年</w:t>
            </w:r>
            <w:r>
              <w:rPr>
                <w:rFonts w:hint="eastAsia" w:ascii="宋体" w:hAnsi="宋体" w:cs="宋体"/>
                <w:color w:val="000000"/>
                <w:kern w:val="0"/>
                <w:sz w:val="24"/>
              </w:rPr>
              <w:t>”和“社会主义核心价值观”为主题、长约200米的文化墙，使用财政资金5万，其他资金乡、村自筹。</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2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76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22"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760"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建设公益文化广告阵地1处</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76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内容积极向上、鼓舞人心</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760"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760"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控制在成本数5万内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760"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宣扬社会主义核心价值观，扩大舆论阵地</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数量指标、质量指标不细化，缺乏后续监管材料</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2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760"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对时村村民进行满意度调查，好评90%以上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第十届社区居委会、第十一届村委会选举工作经费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636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7" name="直接箭头连接符 4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636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FwOb6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社区办、社管科</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11.8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7.2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11.8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72%</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7.2</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年初设定目标:推进第十届社区居委会、第十一届村委会选举顺利举行，广泛开展宣传，周密安排后勤保障及选票印制事项。</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年度总体目标完成情况综述：推进第十届社区居委会、第十一届村委会选举顺利举行，广泛开展宣传，周密安排后勤保障及选票印制事项。</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制作宣传横幅32条</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32条</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印制7个社区选票</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4000张</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8</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选举当天工作人员午餐，35元/人</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80人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保证选举工作顺利进行</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控制在成本数11.8万内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8.5万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7.2</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推动基层治理，推动社区自治，巩固基层政权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经费使用不充足，建议统筹进行安排</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对各基层单位就选举经费使用是否满意进行测评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满意度90%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总分：87.4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活动保障经费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739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8" name="直接箭头连接符 4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739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CWHcJ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社区办</w:t>
            </w:r>
          </w:p>
        </w:tc>
      </w:tr>
      <w:tr>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9.408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9.408</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9.408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9.408</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年初设定目标:组织人员参加</w:t>
            </w:r>
            <w:r>
              <w:rPr>
                <w:rFonts w:hint="eastAsia" w:ascii="宋体" w:hAnsi="宋体" w:cs="宋体"/>
                <w:color w:val="000000"/>
                <w:kern w:val="0"/>
                <w:sz w:val="24"/>
                <w:lang w:eastAsia="zh-CN"/>
              </w:rPr>
              <w:t>中华人民共和国成立70周年</w:t>
            </w:r>
            <w:r>
              <w:rPr>
                <w:rFonts w:hint="eastAsia" w:ascii="宋体" w:hAnsi="宋体" w:cs="宋体"/>
                <w:color w:val="000000"/>
                <w:kern w:val="0"/>
                <w:sz w:val="24"/>
              </w:rPr>
              <w:t>群众游行及群众联欢租车费用及餐费</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年度总体目标完成情况综述：组织人员参加</w:t>
            </w:r>
            <w:r>
              <w:rPr>
                <w:rFonts w:hint="eastAsia" w:ascii="宋体" w:hAnsi="宋体" w:cs="宋体"/>
                <w:color w:val="000000"/>
                <w:kern w:val="0"/>
                <w:sz w:val="24"/>
                <w:lang w:eastAsia="zh-CN"/>
              </w:rPr>
              <w:t>中华人民共和国成立70周年</w:t>
            </w:r>
            <w:r>
              <w:rPr>
                <w:rFonts w:hint="eastAsia" w:ascii="宋体" w:hAnsi="宋体" w:cs="宋体"/>
                <w:color w:val="000000"/>
                <w:kern w:val="0"/>
                <w:sz w:val="24"/>
              </w:rPr>
              <w:t>群众游行及群众联欢租车及餐费费用，。</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租车标准2000元/车次</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24车次</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11</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11</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90"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pStyle w:val="2"/>
            </w:pPr>
            <w:r>
              <w:rPr>
                <w:rFonts w:hint="eastAsia"/>
              </w:rPr>
              <w:t>餐费标准早20元/人，午35元/人，晚</w:t>
            </w:r>
            <w:r>
              <w:rPr>
                <w:rFonts w:hint="eastAsia" w:hAnsi="宋体"/>
                <w:sz w:val="24"/>
              </w:rPr>
              <w:t>35元/人</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500人次</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控制在成本数9.408万内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9.408万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为</w:t>
            </w:r>
            <w:r>
              <w:rPr>
                <w:rFonts w:hint="eastAsia" w:ascii="宋体" w:hAnsi="宋体" w:cs="宋体"/>
                <w:sz w:val="24"/>
                <w:lang w:eastAsia="zh-CN"/>
              </w:rPr>
              <w:t>中华人民共和国成立70周年</w:t>
            </w:r>
            <w:r>
              <w:rPr>
                <w:rFonts w:hint="eastAsia" w:ascii="宋体" w:hAnsi="宋体" w:cs="宋体"/>
                <w:sz w:val="24"/>
              </w:rPr>
              <w:t>大庆参与人员做好保障工作，确保国庆当日万无一失</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达到预定目标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数量指标有待细化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对参与人员进行满意度测评，好评90%以上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总分：96</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656"/>
        <w:gridCol w:w="1336"/>
        <w:gridCol w:w="1254"/>
        <w:gridCol w:w="264"/>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项目支出事后绩效自评简表（表49）</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65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18"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新生违法建设管控奖励</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841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49" name="直接箭头连接符 49"/>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841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HllTX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65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83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年初设定目标:用于对地区新生违法建设管控奖励</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年度总体目标完成情况综述：完成新生违法建设管控奖励资金使用及发放。</w:t>
            </w:r>
          </w:p>
        </w:tc>
      </w:tr>
      <w:tr>
        <w:tblPrEx>
          <w:tblCellMar>
            <w:top w:w="0" w:type="dxa"/>
            <w:left w:w="108" w:type="dxa"/>
            <w:bottom w:w="0" w:type="dxa"/>
            <w:right w:w="108" w:type="dxa"/>
          </w:tblCellMar>
        </w:tblPrEx>
        <w:trPr>
          <w:gridAfter w:val="1"/>
          <w:wAfter w:w="3809" w:type="dxa"/>
          <w:trHeight w:val="737" w:hRule="atLeast"/>
        </w:trPr>
        <w:tc>
          <w:tcPr>
            <w:tcW w:w="65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54"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965"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购置排违法建设平板电脑、软件、流量卡</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15套</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5</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4"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按照新生违法建设管控平米数下拨各村奖励资金</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奖励单位8个村</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摸清违建底数，管控新生违法建设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96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65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965"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控制在成本数60万内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60万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65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96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巩固疏整促行动成果，对新生违建予以打击、拆除，提升群众安全感、幸福感</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数量指标、进度指标有待细化，后续监管材料不足</w:t>
            </w:r>
          </w:p>
        </w:tc>
      </w:tr>
      <w:tr>
        <w:tblPrEx>
          <w:tblCellMar>
            <w:top w:w="0" w:type="dxa"/>
            <w:left w:w="108" w:type="dxa"/>
            <w:bottom w:w="0" w:type="dxa"/>
            <w:right w:w="108" w:type="dxa"/>
          </w:tblCellMar>
        </w:tblPrEx>
        <w:trPr>
          <w:gridAfter w:val="1"/>
          <w:wAfter w:w="3809" w:type="dxa"/>
          <w:trHeight w:val="409" w:hRule="atLeast"/>
        </w:trPr>
        <w:tc>
          <w:tcPr>
            <w:tcW w:w="65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3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5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96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对8个基层单位进行满意度调查，好评90%以上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项目支出事后绩效自评简表（表50）</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2019年追加无照经营整治工作经费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0944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0" name="直接箭头连接符 50"/>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0944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zKft3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食药所、经委</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63</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63</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63</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年初设定目标:进一步落实关于疏解非首都功能、治理大城市的部署，推进无照、无证经营治理工作实施</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年度总体目标完成情况综述：无照整治追加点位10个，无证整治追加整治116个点位，均于年底整治完成。</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90"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无照整治10个点位</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10个</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无证整治116个点位</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116个</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18</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通过区工商局、食药局验收销账</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控制在成本数63万内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63万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有效治理无照经营，改善营商环境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数量指标、进度指标有待细化，后续监管材料不足</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对果园村委会进行满意度调查，好评90%以上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对象范围需扩大</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91"/>
        <w:gridCol w:w="1332"/>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项目支出事后绩效自评简表（表51）</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7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基层文化建设六个十补助</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046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1" name="直接箭头连接符 51"/>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046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YtmMNcAAAAJAQAADwAAAAAAAAABACAAAAAiAAAAZHJzL2Rv&#10;d25yZXYueG1sUEsBAhQAFAAAAAgAh07iQNufYqYCAgAA8wMAAA4AAAAAAAAAAQAgAAAAJgEAAGRy&#10;cy9lMm9Eb2MueG1sUEsFBgAAAAAGAAYAWQEAAJoFA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文服中心</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4.5</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r>
              <w:rPr>
                <w:rFonts w:ascii="宋体" w:hAnsi="宋体" w:cs="宋体"/>
                <w:sz w:val="24"/>
              </w:rPr>
              <w:t>激发基层文化活力，培育群众文化品牌</w:t>
            </w:r>
            <w:r>
              <w:rPr>
                <w:rFonts w:hint="eastAsia" w:ascii="宋体" w:hAnsi="宋体" w:cs="宋体"/>
                <w:sz w:val="24"/>
              </w:rPr>
              <w:t>，</w:t>
            </w:r>
            <w:r>
              <w:rPr>
                <w:rFonts w:ascii="宋体" w:hAnsi="宋体" w:cs="宋体"/>
                <w:sz w:val="24"/>
              </w:rPr>
              <w:t>经过</w:t>
            </w:r>
            <w:r>
              <w:rPr>
                <w:rFonts w:hint="eastAsia" w:ascii="宋体" w:hAnsi="宋体" w:cs="宋体"/>
                <w:sz w:val="24"/>
              </w:rPr>
              <w:t>区文委</w:t>
            </w:r>
            <w:r>
              <w:rPr>
                <w:rFonts w:ascii="宋体" w:hAnsi="宋体" w:cs="宋体"/>
                <w:sz w:val="24"/>
              </w:rPr>
              <w:t>初审、专家评审和办公会审核，</w:t>
            </w:r>
            <w:r>
              <w:rPr>
                <w:rFonts w:hint="eastAsia" w:ascii="宋体" w:hAnsi="宋体" w:cs="宋体"/>
                <w:sz w:val="24"/>
              </w:rPr>
              <w:t>对我乡入选</w:t>
            </w:r>
            <w:r>
              <w:rPr>
                <w:rFonts w:ascii="宋体" w:hAnsi="宋体" w:cs="宋体"/>
                <w:sz w:val="24"/>
              </w:rPr>
              <w:t>“六个十”示范项目</w:t>
            </w:r>
            <w:r>
              <w:rPr>
                <w:rFonts w:hint="eastAsia" w:ascii="宋体" w:hAnsi="宋体" w:cs="宋体"/>
                <w:sz w:val="24"/>
              </w:rPr>
              <w:t>的单位进行奖励发放。</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年度总体目标完成情况综述：我乡共三家单位的4个项目入选“六个十”示范项目，获得补助4.5万，显示了文化建设</w:t>
            </w:r>
            <w:r>
              <w:rPr>
                <w:rFonts w:ascii="宋体" w:hAnsi="宋体" w:cs="宋体"/>
                <w:sz w:val="24"/>
              </w:rPr>
              <w:t>“突出特色，扶持重点”</w:t>
            </w:r>
            <w:r>
              <w:rPr>
                <w:rFonts w:hint="eastAsia" w:ascii="宋体" w:hAnsi="宋体" w:cs="宋体"/>
                <w:sz w:val="24"/>
              </w:rPr>
              <w:t>的</w:t>
            </w:r>
            <w:r>
              <w:rPr>
                <w:rFonts w:ascii="宋体" w:hAnsi="宋体" w:cs="宋体"/>
                <w:sz w:val="24"/>
              </w:rPr>
              <w:t>原则，加大对基层群众文化工作的扶持力度</w:t>
            </w:r>
            <w:r>
              <w:rPr>
                <w:rFonts w:hint="eastAsia" w:ascii="宋体" w:hAnsi="宋体" w:cs="宋体"/>
                <w:sz w:val="24"/>
              </w:rPr>
              <w:t>。</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3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60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32"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一类项目1个，15000元/个</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1*15000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7</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332"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二类项目3个，10000元/个</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3*10000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13</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3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转款专用，用于相关文化项目</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控制在成本数4.5万内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4.5万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显示文化建设</w:t>
            </w:r>
            <w:r>
              <w:rPr>
                <w:rFonts w:ascii="宋体" w:hAnsi="宋体" w:cs="宋体"/>
                <w:sz w:val="24"/>
              </w:rPr>
              <w:t>“突出特色，扶持重点”</w:t>
            </w:r>
            <w:r>
              <w:rPr>
                <w:rFonts w:hint="eastAsia" w:ascii="宋体" w:hAnsi="宋体" w:cs="宋体"/>
                <w:sz w:val="24"/>
              </w:rPr>
              <w:t>的</w:t>
            </w:r>
            <w:r>
              <w:rPr>
                <w:rFonts w:ascii="宋体" w:hAnsi="宋体" w:cs="宋体"/>
                <w:sz w:val="24"/>
              </w:rPr>
              <w:t>原则，加大对基层群众文化工作的扶持力度</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进度指标有待细化，后续监管材料不足</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9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对发放是否足额到位进行满意度调查，好评90%以上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应对活动效果也进行评价</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总分：93</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702"/>
        <w:gridCol w:w="1080"/>
        <w:gridCol w:w="1380"/>
        <w:gridCol w:w="348"/>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项目支出事后绩效自评简表（表52）</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70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28"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2019年违法建设点位摸排经费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148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2" name="直接箭头连接符 52"/>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148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4tfzL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34.94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69.9%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6.99</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34.94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69.9%</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6.99</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702"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85"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w:t>
            </w:r>
            <w:r>
              <w:rPr>
                <w:rFonts w:ascii="宋体" w:hAnsi="宋体" w:cs="宋体"/>
                <w:sz w:val="24"/>
              </w:rPr>
              <w:t>为确保全市违建应拆尽拆，</w:t>
            </w:r>
            <w:r>
              <w:rPr>
                <w:rFonts w:hint="eastAsia" w:ascii="宋体" w:hAnsi="宋体" w:cs="宋体"/>
                <w:sz w:val="24"/>
              </w:rPr>
              <w:t>按照区</w:t>
            </w:r>
            <w:r>
              <w:rPr>
                <w:rFonts w:ascii="宋体" w:hAnsi="宋体" w:cs="宋体"/>
                <w:sz w:val="24"/>
              </w:rPr>
              <w:t>城管局</w:t>
            </w:r>
            <w:r>
              <w:rPr>
                <w:rFonts w:hint="eastAsia" w:ascii="宋体" w:hAnsi="宋体" w:cs="宋体"/>
                <w:sz w:val="24"/>
              </w:rPr>
              <w:t>部署，我乡对乡域内</w:t>
            </w:r>
            <w:r>
              <w:rPr>
                <w:rFonts w:ascii="宋体" w:hAnsi="宋体" w:cs="宋体"/>
                <w:sz w:val="24"/>
              </w:rPr>
              <w:t>违建情况展开核查，</w:t>
            </w:r>
            <w:r>
              <w:rPr>
                <w:rFonts w:hint="eastAsia" w:ascii="宋体" w:hAnsi="宋体" w:cs="宋体"/>
                <w:sz w:val="24"/>
              </w:rPr>
              <w:t>以便为下一步拆违销账奠定基础。</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年度总体目标完成情况综述：通过购买服务，</w:t>
            </w:r>
            <w:r>
              <w:rPr>
                <w:rFonts w:hint="eastAsia" w:ascii="宋体" w:hAnsi="宋体" w:cs="宋体"/>
                <w:sz w:val="24"/>
              </w:rPr>
              <w:t>我乡对乡域内</w:t>
            </w:r>
            <w:r>
              <w:rPr>
                <w:rFonts w:ascii="宋体" w:hAnsi="宋体" w:cs="宋体"/>
                <w:sz w:val="24"/>
              </w:rPr>
              <w:t>违建情况展开新一轮核查，</w:t>
            </w:r>
            <w:r>
              <w:rPr>
                <w:rFonts w:hint="eastAsia" w:ascii="宋体" w:hAnsi="宋体" w:cs="宋体"/>
                <w:sz w:val="24"/>
              </w:rPr>
              <w:t>主要</w:t>
            </w:r>
            <w:r>
              <w:rPr>
                <w:rFonts w:hint="eastAsia" w:ascii="宋体" w:hAnsi="宋体" w:cs="宋体"/>
                <w:color w:val="000000"/>
                <w:kern w:val="0"/>
                <w:sz w:val="24"/>
              </w:rPr>
              <w:t>包括内业数据处理与外业实地摸排两部分。</w:t>
            </w:r>
          </w:p>
        </w:tc>
      </w:tr>
      <w:tr>
        <w:tblPrEx>
          <w:tblCellMar>
            <w:top w:w="0" w:type="dxa"/>
            <w:left w:w="108" w:type="dxa"/>
            <w:bottom w:w="0" w:type="dxa"/>
            <w:right w:w="108" w:type="dxa"/>
          </w:tblCellMar>
        </w:tblPrEx>
        <w:trPr>
          <w:gridAfter w:val="1"/>
          <w:wAfter w:w="3809" w:type="dxa"/>
          <w:trHeight w:val="737" w:hRule="atLeast"/>
        </w:trPr>
        <w:tc>
          <w:tcPr>
            <w:tcW w:w="702"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04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80"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049" w:type="dxa"/>
            <w:gridSpan w:val="2"/>
            <w:tcBorders>
              <w:top w:val="single" w:color="auto" w:sz="4" w:space="0"/>
              <w:left w:val="nil"/>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Cs w:val="21"/>
                <w:lang w:bidi="ar"/>
              </w:rPr>
              <w:t>对市专指下发的“手续待核查建筑物底图”进行内业分析</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16个基层单位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0"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2049"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Cs w:val="21"/>
                <w:lang w:bidi="ar"/>
              </w:rPr>
              <w:t>开展建筑物外业普查工作</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16个基层单位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049"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Cs w:val="21"/>
                <w:lang w:bidi="ar"/>
              </w:rPr>
              <w:t>对建筑物各类信息进行调查，结合举证材料，对建筑物进行举证认定，并按要求向市级查违平台上报。</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70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04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04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控制在成本数50万内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34.94</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6.99</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204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摸清违法建筑物底数，落实疏整促行动。</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数量指标有待细化</w:t>
            </w:r>
          </w:p>
        </w:tc>
      </w:tr>
      <w:tr>
        <w:tblPrEx>
          <w:tblCellMar>
            <w:top w:w="0" w:type="dxa"/>
            <w:left w:w="108" w:type="dxa"/>
            <w:bottom w:w="0" w:type="dxa"/>
            <w:right w:w="108" w:type="dxa"/>
          </w:tblCellMar>
        </w:tblPrEx>
        <w:trPr>
          <w:gridAfter w:val="1"/>
          <w:wAfter w:w="3809" w:type="dxa"/>
          <w:trHeight w:val="409" w:hRule="atLeast"/>
        </w:trPr>
        <w:tc>
          <w:tcPr>
            <w:tcW w:w="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04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对被调查单位进行满意度调查，好评90%上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总分：87.98</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777"/>
        <w:gridCol w:w="1215"/>
        <w:gridCol w:w="1215"/>
        <w:gridCol w:w="303"/>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项目支出事后绩效自评简表（表53）</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777"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15"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18"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2019年美丽乡村村庄其他绿化养护工程</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251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3" name="直接箭头连接符 53"/>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251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173xVAQIAAPMDAAAOAAAAZHJzL2Uyb0RvYy54bWytU82O&#10;0zAQviPxDpbvNGnRVm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dljziwY&#10;uvGbd9c/3n68+frl+4frn9/eJ/vzJ0Z+EmvwWFHMym7CcYV+ExLzfRtMmokT22eBDyeB5T4yQZvT&#10;6dm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9e98V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林业站</w:t>
            </w:r>
          </w:p>
        </w:tc>
      </w:tr>
      <w:tr>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39.34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39.34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39.34</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39.34</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77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10"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年初设定目标:加强南苑乡乡属林地资源管护工作，切实落实特色发展理念，落实主体监管责任，进一步提高所涉单位林地保护和林木养护管理水平</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年度总体目标完成情况综述：贯彻落实业务主管部门对生态林养护管理工作的各项要求，摸清养护责任面积，负责拨付养护资金，并对养护资金使用情况进行监管</w:t>
            </w:r>
          </w:p>
        </w:tc>
      </w:tr>
      <w:tr>
        <w:tblPrEx>
          <w:tblCellMar>
            <w:top w:w="0" w:type="dxa"/>
            <w:left w:w="108" w:type="dxa"/>
            <w:bottom w:w="0" w:type="dxa"/>
            <w:right w:w="108" w:type="dxa"/>
          </w:tblCellMar>
        </w:tblPrEx>
        <w:trPr>
          <w:gridAfter w:val="1"/>
          <w:wAfter w:w="3809" w:type="dxa"/>
          <w:trHeight w:val="737" w:hRule="atLeast"/>
        </w:trPr>
        <w:tc>
          <w:tcPr>
            <w:tcW w:w="77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15"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004"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bidi="ar"/>
              </w:rPr>
              <w:t>大红门村养护面积12957㎡</w:t>
            </w:r>
          </w:p>
        </w:tc>
        <w:tc>
          <w:tcPr>
            <w:tcW w:w="1276"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12957</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2.6</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2.6</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649"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215"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2004"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bidi="ar"/>
              </w:rPr>
              <w:t>南苑养护面积32243㎡</w:t>
            </w:r>
          </w:p>
        </w:tc>
        <w:tc>
          <w:tcPr>
            <w:tcW w:w="1276"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32243</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6.5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6.5</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215"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2004"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bidi="ar"/>
              </w:rPr>
              <w:t>西铁营养护面积36996㎡</w:t>
            </w:r>
          </w:p>
        </w:tc>
        <w:tc>
          <w:tcPr>
            <w:tcW w:w="1276"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36996</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7.5</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7.5</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21"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left w:val="single" w:color="auto" w:sz="4" w:space="0"/>
              <w:right w:val="single" w:color="auto" w:sz="4" w:space="0"/>
            </w:tcBorders>
            <w:vAlign w:val="center"/>
          </w:tcPr>
          <w:p>
            <w:pPr>
              <w:widowControl/>
              <w:jc w:val="center"/>
              <w:rPr>
                <w:rFonts w:ascii="宋体" w:hAnsi="宋体" w:cs="宋体"/>
                <w:kern w:val="0"/>
                <w:sz w:val="24"/>
              </w:rPr>
            </w:pPr>
          </w:p>
        </w:tc>
        <w:tc>
          <w:tcPr>
            <w:tcW w:w="1215" w:type="dxa"/>
            <w:vMerge w:val="continue"/>
            <w:tcBorders>
              <w:left w:val="nil"/>
              <w:right w:val="single" w:color="auto" w:sz="4" w:space="0"/>
            </w:tcBorders>
            <w:noWrap/>
            <w:vAlign w:val="center"/>
          </w:tcPr>
          <w:p>
            <w:pPr>
              <w:widowControl/>
              <w:jc w:val="center"/>
              <w:rPr>
                <w:rFonts w:ascii="宋体" w:hAnsi="宋体" w:cs="宋体"/>
                <w:kern w:val="0"/>
                <w:sz w:val="24"/>
              </w:rPr>
            </w:pPr>
          </w:p>
        </w:tc>
        <w:tc>
          <w:tcPr>
            <w:tcW w:w="2004"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bidi="ar"/>
              </w:rPr>
              <w:t>新宫养护面积16159㎡</w:t>
            </w:r>
          </w:p>
        </w:tc>
        <w:tc>
          <w:tcPr>
            <w:tcW w:w="1276" w:type="dxa"/>
            <w:gridSpan w:val="2"/>
            <w:tcBorders>
              <w:top w:val="single" w:color="auto" w:sz="4" w:space="0"/>
              <w:left w:val="nil"/>
              <w:right w:val="single" w:color="auto" w:sz="4" w:space="0"/>
            </w:tcBorders>
            <w:noWrap/>
            <w:vAlign w:val="center"/>
          </w:tcPr>
          <w:p>
            <w:pPr>
              <w:widowControl/>
              <w:jc w:val="center"/>
              <w:textAlignment w:val="center"/>
              <w:rPr>
                <w:rFonts w:ascii="宋体" w:hAnsi="宋体"/>
                <w:sz w:val="24"/>
              </w:rPr>
            </w:pPr>
            <w:r>
              <w:rPr>
                <w:rFonts w:hint="eastAsia" w:ascii="宋体" w:hAnsi="宋体" w:cs="宋体"/>
                <w:color w:val="000000"/>
                <w:kern w:val="0"/>
                <w:sz w:val="24"/>
                <w:lang w:bidi="ar"/>
              </w:rPr>
              <w:t>16159</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3.4</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3.4</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按要求对所涉林地进行养护</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1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00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7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1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004"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控制在成本数39.34万内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39.34万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7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1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2004" w:type="dxa"/>
            <w:gridSpan w:val="2"/>
            <w:tcBorders>
              <w:top w:val="single" w:color="auto" w:sz="4" w:space="0"/>
              <w:left w:val="nil"/>
              <w:bottom w:val="single" w:color="auto" w:sz="4" w:space="0"/>
              <w:right w:val="single" w:color="auto" w:sz="4" w:space="0"/>
            </w:tcBorders>
            <w:noWrap/>
            <w:vAlign w:val="center"/>
          </w:tcPr>
          <w:p>
            <w:pPr>
              <w:jc w:val="left"/>
              <w:rPr>
                <w:rFonts w:ascii="宋体" w:hAnsi="宋体" w:cs="宋体"/>
                <w:sz w:val="24"/>
              </w:rPr>
            </w:pPr>
            <w:r>
              <w:rPr>
                <w:rFonts w:ascii="宋体" w:hAnsi="宋体" w:cs="宋体"/>
                <w:szCs w:val="21"/>
              </w:rPr>
              <w:t>保护优先，突出生态，因地制宜，见缝插树，应绿尽绿，体现首都特色。</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质量指标有待细化</w:t>
            </w:r>
          </w:p>
        </w:tc>
      </w:tr>
      <w:tr>
        <w:tblPrEx>
          <w:tblCellMar>
            <w:top w:w="0" w:type="dxa"/>
            <w:left w:w="108" w:type="dxa"/>
            <w:bottom w:w="0" w:type="dxa"/>
            <w:right w:w="108" w:type="dxa"/>
          </w:tblCellMar>
        </w:tblPrEx>
        <w:trPr>
          <w:gridAfter w:val="1"/>
          <w:wAfter w:w="3809" w:type="dxa"/>
          <w:trHeight w:val="409" w:hRule="atLeast"/>
        </w:trPr>
        <w:tc>
          <w:tcPr>
            <w:tcW w:w="7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1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1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004"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对4个村进行满意度调查，好评90%以上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周边居民应进行评价</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119"/>
        <w:gridCol w:w="1309"/>
        <w:gridCol w:w="236"/>
        <w:gridCol w:w="1701"/>
        <w:gridCol w:w="142"/>
        <w:gridCol w:w="1134"/>
        <w:gridCol w:w="596"/>
        <w:gridCol w:w="236"/>
        <w:gridCol w:w="236"/>
        <w:gridCol w:w="208"/>
        <w:gridCol w:w="883"/>
        <w:gridCol w:w="1101"/>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项目支出事后绩效自评简表（表54）</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19"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4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09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01"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2019年无照经营整治工作经费</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3536"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4" name="直接箭头连接符 54"/>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3536;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RQaDiAQIAAPMDAAAOAAAAZHJzL2Uyb0RvYy54bWytU82O&#10;0zAQviPxDpbvNGnFVm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dljziwY&#10;uvGbd9c/3n68+frl+4frn9/eJ/vzJ0Z+EmvwWFHMym7CcYV+ExLzfRtMmokT22eBDyeB5T4yQZvT&#10;6dm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0UGg4g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经济法制办公室</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88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11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88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883"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1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83"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10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年初设定目标：进一步落实关于疏解非首都功能、治理大城市的部署，推进无照经营治理工作实施</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年度总体目标完成情况综述：2019年年初无照经营整治任务共40个点位，均属果园村管辖。经上级验收，年底已完成整治。</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3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93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8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309" w:type="dxa"/>
            <w:vMerge w:val="restart"/>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937"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整治无照经营点位40个</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40个</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377"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9" w:type="dxa"/>
            <w:vMerge w:val="continue"/>
            <w:tcBorders>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93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标准5000元/个</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5000元/个</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937"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通过区工商局验收销账</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93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8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937"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控制在成本数20万内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20万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8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30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93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有效治理无照经营，改善营商环境</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88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数量指标、进度指标有待细化，后续监管材料不足</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11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30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93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对果园村委会进行满意度调查，好评90%以上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88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3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对象范围需扩大</w:t>
            </w:r>
          </w:p>
        </w:tc>
      </w:tr>
      <w:tr>
        <w:tblPrEx>
          <w:tblCellMar>
            <w:top w:w="0" w:type="dxa"/>
            <w:left w:w="108" w:type="dxa"/>
            <w:bottom w:w="0" w:type="dxa"/>
            <w:right w:w="108" w:type="dxa"/>
          </w:tblCellMar>
        </w:tblPrEx>
        <w:trPr>
          <w:gridAfter w:val="1"/>
          <w:wAfter w:w="3809" w:type="dxa"/>
          <w:trHeight w:val="353" w:hRule="atLeast"/>
        </w:trPr>
        <w:tc>
          <w:tcPr>
            <w:tcW w:w="8646"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w:t>
            </w:r>
          </w:p>
        </w:tc>
        <w:tc>
          <w:tcPr>
            <w:tcW w:w="2377"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项目支出事后绩效自评简表（表55）</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地下空间综合整治</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4560"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5" name="直接箭头连接符 55"/>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456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xnkvmw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武装部</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15.39</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15.39</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年初设定目标:人防工程地下室隔断拆除及清运</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年度总体目标完成情况综述：对顺四条甲20号院一号楼、三号楼，石榴庄东街二区四号楼等3处人防工程地下室进行拆除及清运</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综治3处</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3处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保证人防工程达到原始状态</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控制在成本数15.39万内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15.39万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ascii="宋体" w:hAnsi="宋体" w:cs="宋体"/>
                <w:sz w:val="24"/>
              </w:rPr>
              <w:t>加强人防设施的管理</w:t>
            </w:r>
            <w:r>
              <w:rPr>
                <w:rFonts w:hint="eastAsia" w:ascii="宋体" w:hAnsi="宋体" w:cs="宋体"/>
                <w:sz w:val="24"/>
              </w:rPr>
              <w:t>，提升人防意识</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数量指标、质量指标有待细化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rPr>
                <w:rFonts w:ascii="宋体" w:hAnsi="宋体" w:cs="宋体"/>
                <w:sz w:val="24"/>
              </w:rPr>
            </w:pPr>
            <w:r>
              <w:rPr>
                <w:rFonts w:hint="eastAsia" w:ascii="宋体" w:hAnsi="宋体" w:cs="宋体"/>
                <w:sz w:val="24"/>
              </w:rPr>
              <w:t>以区人防办验收结果为准</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验收通过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对周边居民应进行满意度调查</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项目支出事后绩效自评简表（表56）</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拆违控违宣传补助奖励</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5584"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6" name="直接箭头连接符 56"/>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558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zG+E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8.346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8.346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8.346</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8.346</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100%</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年初设定目标:有效遏制违法建设，营造良好宣传氛围</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年度总体目标完成情况综述：有效遏制违法建设，营造良好宣传氛围，对拆违排名前五的单位发放奖励，用于相关宣传经费。</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对拆违排名前五的单位发放奖励</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5家</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专款专用，用于违建拆除横幅制作等宣传或报道</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控制在成本数8.346万内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8.346万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有效遏制违法建设，营造良好宣传氛围</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数量指标有待细化，后续监管材料缺失</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对各单位进行满意度调查，好评90%以上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周边群众应纳入</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总分：92</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747"/>
        <w:gridCol w:w="990"/>
        <w:gridCol w:w="1632"/>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项目支出事后绩效自评简表（表57）</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747"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0"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7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大额医疗救助专项资金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6608"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7" name="直接箭头连接符 57"/>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660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6AkxaA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社管科</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0.50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747"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740"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年初设定目标:为符合条件的社会救助对象申报大额医疗救助专项资金</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年度总体目标完成情况综述：为符合条件的社会救助对象申报大额医疗救助专项资金4968.82元</w:t>
            </w:r>
          </w:p>
        </w:tc>
      </w:tr>
      <w:tr>
        <w:tblPrEx>
          <w:tblCellMar>
            <w:top w:w="0" w:type="dxa"/>
            <w:left w:w="108" w:type="dxa"/>
            <w:bottom w:w="0" w:type="dxa"/>
            <w:right w:w="108" w:type="dxa"/>
          </w:tblCellMar>
        </w:tblPrEx>
        <w:trPr>
          <w:gridAfter w:val="1"/>
          <w:wAfter w:w="3809" w:type="dxa"/>
          <w:trHeight w:val="737" w:hRule="atLeast"/>
        </w:trPr>
        <w:tc>
          <w:tcPr>
            <w:tcW w:w="747"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99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63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7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632"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为符合条件的社会救助对象申报医疗补助资金。</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2人</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7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3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依规对相关人员信息进行汇总上报，按照区核定金额足额发放</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达到预期目的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7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rPr>
                <w:rFonts w:ascii="宋体" w:hAnsi="宋体"/>
                <w:sz w:val="24"/>
              </w:rPr>
            </w:pPr>
            <w:r>
              <w:rPr>
                <w:rFonts w:hint="eastAsia" w:ascii="宋体" w:hAnsi="宋体" w:cs="宋体"/>
                <w:color w:val="000000"/>
                <w:kern w:val="0"/>
                <w:sz w:val="24"/>
              </w:rPr>
              <w:t>12月完成</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7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6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控制在预算成本2万，据实申报</w:t>
            </w: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sz w:val="24"/>
              </w:rPr>
            </w:pPr>
            <w:r>
              <w:rPr>
                <w:rFonts w:hint="eastAsia" w:ascii="宋体" w:hAnsi="宋体" w:cs="宋体"/>
                <w:color w:val="000000"/>
                <w:kern w:val="0"/>
                <w:sz w:val="24"/>
              </w:rPr>
              <w:t>据实申报0.5万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7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6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sz w:val="24"/>
              </w:rPr>
            </w:pPr>
            <w:r>
              <w:rPr>
                <w:rFonts w:hint="eastAsia" w:ascii="宋体" w:hAnsi="宋体" w:cs="宋体"/>
                <w:color w:val="000000"/>
                <w:kern w:val="0"/>
                <w:sz w:val="24"/>
              </w:rPr>
              <w:t>落实大额医疗救助政策，体现关爱</w:t>
            </w: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cs="宋体"/>
                <w:color w:val="000000"/>
                <w:kern w:val="0"/>
                <w:sz w:val="24"/>
              </w:rPr>
              <w:t>达到预期目标　</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数量指标、质量指标有待细化</w:t>
            </w:r>
          </w:p>
        </w:tc>
      </w:tr>
      <w:tr>
        <w:tblPrEx>
          <w:tblCellMar>
            <w:top w:w="0" w:type="dxa"/>
            <w:left w:w="108" w:type="dxa"/>
            <w:bottom w:w="0" w:type="dxa"/>
            <w:right w:w="108" w:type="dxa"/>
          </w:tblCellMar>
        </w:tblPrEx>
        <w:trPr>
          <w:gridAfter w:val="1"/>
          <w:wAfter w:w="3809" w:type="dxa"/>
          <w:trHeight w:val="409" w:hRule="atLeast"/>
        </w:trPr>
        <w:tc>
          <w:tcPr>
            <w:tcW w:w="7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99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63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对发放对象进行满意度测评</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color w:val="000000"/>
                <w:kern w:val="0"/>
                <w:sz w:val="24"/>
              </w:rPr>
              <w:t>好评100%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总分：89</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pPr w:leftFromText="180" w:rightFromText="180" w:horzAnchor="margin" w:tblpY="-1800"/>
        <w:tblW w:w="14832" w:type="dxa"/>
        <w:tblInd w:w="0" w:type="dxa"/>
        <w:tblLayout w:type="fixed"/>
        <w:tblCellMar>
          <w:top w:w="0" w:type="dxa"/>
          <w:left w:w="108" w:type="dxa"/>
          <w:bottom w:w="0" w:type="dxa"/>
          <w:right w:w="108" w:type="dxa"/>
        </w:tblCellMar>
      </w:tblPr>
      <w:tblGrid>
        <w:gridCol w:w="846"/>
        <w:gridCol w:w="1283"/>
        <w:gridCol w:w="1240"/>
        <w:gridCol w:w="141"/>
        <w:gridCol w:w="1701"/>
        <w:gridCol w:w="142"/>
        <w:gridCol w:w="1134"/>
        <w:gridCol w:w="596"/>
        <w:gridCol w:w="236"/>
        <w:gridCol w:w="236"/>
        <w:gridCol w:w="208"/>
        <w:gridCol w:w="992"/>
        <w:gridCol w:w="992"/>
        <w:gridCol w:w="1276"/>
        <w:gridCol w:w="3809"/>
      </w:tblGrid>
      <w:tr>
        <w:tblPrEx>
          <w:tblCellMar>
            <w:top w:w="0" w:type="dxa"/>
            <w:left w:w="108" w:type="dxa"/>
            <w:bottom w:w="0" w:type="dxa"/>
            <w:right w:w="108" w:type="dxa"/>
          </w:tblCellMar>
        </w:tblPrEx>
        <w:trPr>
          <w:gridAfter w:val="1"/>
          <w:wAfter w:w="3809" w:type="dxa"/>
          <w:trHeight w:val="484" w:hRule="atLeast"/>
        </w:trPr>
        <w:tc>
          <w:tcPr>
            <w:tcW w:w="11023" w:type="dxa"/>
            <w:gridSpan w:val="14"/>
            <w:tcBorders>
              <w:top w:val="nil"/>
              <w:left w:val="nil"/>
              <w:bottom w:val="nil"/>
              <w:right w:val="nil"/>
            </w:tcBorders>
            <w:vAlign w:val="center"/>
          </w:tcPr>
          <w:p>
            <w:pPr>
              <w:widowControl/>
              <w:rPr>
                <w:rFonts w:ascii="仿宋_GB2312" w:eastAsia="仿宋_GB2312"/>
                <w:sz w:val="32"/>
                <w:szCs w:val="32"/>
              </w:rPr>
            </w:pPr>
          </w:p>
          <w:p>
            <w:pPr>
              <w:pStyle w:val="2"/>
            </w:pPr>
          </w:p>
          <w:p>
            <w:pPr>
              <w:widowControl/>
              <w:jc w:val="center"/>
              <w:rPr>
                <w:rFonts w:ascii="宋体" w:hAnsi="宋体" w:cs="宋体"/>
                <w:color w:val="000000"/>
                <w:kern w:val="0"/>
                <w:sz w:val="32"/>
                <w:szCs w:val="32"/>
              </w:rPr>
            </w:pPr>
            <w:r>
              <w:rPr>
                <w:rFonts w:hint="eastAsia" w:ascii="仿宋_GB2312" w:eastAsia="仿宋_GB2312"/>
                <w:sz w:val="32"/>
                <w:szCs w:val="32"/>
              </w:rPr>
              <w:t xml:space="preserve"> </w:t>
            </w:r>
            <w:r>
              <w:rPr>
                <w:rFonts w:hint="eastAsia" w:ascii="宋体" w:hAnsi="宋体" w:cs="宋体"/>
                <w:b/>
                <w:bCs/>
                <w:color w:val="000000"/>
                <w:kern w:val="0"/>
                <w:sz w:val="32"/>
                <w:szCs w:val="32"/>
              </w:rPr>
              <w:t>项目支出事后绩效自评简表（表58）</w:t>
            </w:r>
            <w:r>
              <w:rPr>
                <w:rFonts w:hint="eastAsia" w:ascii="宋体" w:hAnsi="宋体" w:cs="宋体"/>
                <w:color w:val="000000"/>
                <w:kern w:val="0"/>
                <w:sz w:val="32"/>
                <w:szCs w:val="32"/>
              </w:rPr>
              <w:t xml:space="preserve"> </w:t>
            </w:r>
          </w:p>
        </w:tc>
      </w:tr>
      <w:tr>
        <w:tblPrEx>
          <w:tblCellMar>
            <w:top w:w="0" w:type="dxa"/>
            <w:left w:w="108" w:type="dxa"/>
            <w:bottom w:w="0" w:type="dxa"/>
            <w:right w:w="108" w:type="dxa"/>
          </w:tblCellMar>
        </w:tblPrEx>
        <w:trPr>
          <w:gridAfter w:val="1"/>
          <w:wAfter w:w="3809" w:type="dxa"/>
          <w:trHeight w:val="311" w:hRule="atLeast"/>
        </w:trPr>
        <w:tc>
          <w:tcPr>
            <w:tcW w:w="11023" w:type="dxa"/>
            <w:gridSpan w:val="14"/>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w:t>
            </w:r>
            <w:r>
              <w:rPr>
                <w:rFonts w:ascii="宋体" w:hAnsi="宋体" w:cs="宋体"/>
                <w:color w:val="000000"/>
                <w:kern w:val="0"/>
                <w:sz w:val="22"/>
              </w:rPr>
              <w:t>9</w:t>
            </w:r>
            <w:r>
              <w:rPr>
                <w:rFonts w:hint="eastAsia" w:ascii="宋体" w:hAnsi="宋体" w:cs="宋体"/>
                <w:color w:val="000000"/>
                <w:kern w:val="0"/>
                <w:sz w:val="22"/>
              </w:rPr>
              <w:t>年度）</w:t>
            </w:r>
          </w:p>
        </w:tc>
      </w:tr>
      <w:tr>
        <w:tblPrEx>
          <w:tblCellMar>
            <w:top w:w="0" w:type="dxa"/>
            <w:left w:w="108" w:type="dxa"/>
            <w:bottom w:w="0" w:type="dxa"/>
            <w:right w:w="108" w:type="dxa"/>
          </w:tblCellMar>
        </w:tblPrEx>
        <w:trPr>
          <w:trHeight w:val="78" w:hRule="atLeast"/>
        </w:trPr>
        <w:tc>
          <w:tcPr>
            <w:tcW w:w="84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83"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1"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p>
        </w:tc>
        <w:tc>
          <w:tcPr>
            <w:tcW w:w="1843"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3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6"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00"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85" w:type="dxa"/>
            <w:gridSpan w:val="2"/>
            <w:tcBorders>
              <w:top w:val="nil"/>
              <w:left w:val="nil"/>
              <w:bottom w:val="single" w:color="auto" w:sz="4" w:space="0"/>
              <w:right w:val="nil"/>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7513" w:type="dxa"/>
            <w:gridSpan w:val="10"/>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垃圾收集站点提升项目资金</w:t>
            </w:r>
          </w:p>
        </w:tc>
      </w:tr>
      <w:tr>
        <w:tblPrEx>
          <w:tblCellMar>
            <w:top w:w="0" w:type="dxa"/>
            <w:left w:w="108" w:type="dxa"/>
            <w:bottom w:w="0" w:type="dxa"/>
            <w:right w:w="108" w:type="dxa"/>
          </w:tblCellMar>
        </w:tblPrEx>
        <w:trPr>
          <w:gridAfter w:val="1"/>
          <w:wAfter w:w="3809" w:type="dxa"/>
          <w:trHeight w:val="370" w:hRule="atLeast"/>
        </w:trPr>
        <w:tc>
          <w:tcPr>
            <w:tcW w:w="3510"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2977" w:type="dxa"/>
            <w:gridSpan w:val="3"/>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ascii="宋体" w:hAnsi="宋体" w:cs="宋体"/>
                <w:color w:val="000000"/>
                <w:kern w:val="0"/>
                <w:sz w:val="24"/>
              </w:rPr>
              <mc:AlternateContent>
                <mc:Choice Requires="wps">
                  <w:drawing>
                    <wp:anchor distT="0" distB="0" distL="114300" distR="114300" simplePos="0" relativeHeight="251717632" behindDoc="0" locked="0" layoutInCell="1" allowOverlap="1">
                      <wp:simplePos x="0" y="0"/>
                      <wp:positionH relativeFrom="column">
                        <wp:posOffset>-53340</wp:posOffset>
                      </wp:positionH>
                      <wp:positionV relativeFrom="paragraph">
                        <wp:posOffset>216535</wp:posOffset>
                      </wp:positionV>
                      <wp:extent cx="1152525" cy="609600"/>
                      <wp:effectExtent l="2540" t="4445" r="6985" b="14605"/>
                      <wp:wrapNone/>
                      <wp:docPr id="58" name="直接箭头连接符 58"/>
                      <wp:cNvGraphicFramePr/>
                      <a:graphic xmlns:a="http://schemas.openxmlformats.org/drawingml/2006/main">
                        <a:graphicData uri="http://schemas.microsoft.com/office/word/2010/wordprocessingShape">
                          <wps:wsp>
                            <wps:cNvCnPr/>
                            <wps:spPr>
                              <a:xfrm>
                                <a:off x="0" y="0"/>
                                <a:ext cx="1152525" cy="6096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2pt;margin-top:17.05pt;height:48pt;width:90.75pt;z-index:25171763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i2Yw1wAAAAkBAAAPAAAAAAAAAAEAIAAAACIAAABkcnMvZG93&#10;bnJldi54bWxQSwECFAAUAAAACACHTuJA9mt2pQECAADzAwAADgAAAAAAAAABACAAAAAmAQAAZHJz&#10;L2Uyb0RvYy54bWxQSwUGAAAAAAYABgBZAQAAmQUAAAAA&#10;">
                      <v:fill on="f" focussize="0,0"/>
                      <v:stroke color="#000000" joinstyle="round"/>
                      <v:imagedata o:title=""/>
                      <o:lock v:ext="edit" aspectratio="f"/>
                    </v:shape>
                  </w:pict>
                </mc:Fallback>
              </mc:AlternateContent>
            </w:r>
            <w:r>
              <w:rPr>
                <w:rFonts w:hint="eastAsia" w:ascii="宋体" w:hAnsi="宋体" w:cs="宋体"/>
                <w:color w:val="000000"/>
                <w:kern w:val="0"/>
                <w:sz w:val="24"/>
              </w:rPr>
              <w:t>　南苑乡人民政府177000</w:t>
            </w:r>
          </w:p>
        </w:tc>
        <w:tc>
          <w:tcPr>
            <w:tcW w:w="1276" w:type="dxa"/>
            <w:gridSpan w:val="4"/>
            <w:tcBorders>
              <w:top w:val="single" w:color="auto" w:sz="4" w:space="0"/>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实施单位</w:t>
            </w:r>
          </w:p>
        </w:tc>
        <w:tc>
          <w:tcPr>
            <w:tcW w:w="3260"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环境办</w:t>
            </w:r>
          </w:p>
        </w:tc>
      </w:tr>
      <w:tr>
        <w:tblPrEx>
          <w:tblCellMar>
            <w:top w:w="0" w:type="dxa"/>
            <w:left w:w="108" w:type="dxa"/>
            <w:bottom w:w="0" w:type="dxa"/>
            <w:right w:w="108" w:type="dxa"/>
          </w:tblCellMar>
        </w:tblPrEx>
        <w:trPr>
          <w:gridAfter w:val="1"/>
          <w:wAfter w:w="3809" w:type="dxa"/>
          <w:trHeight w:val="674" w:hRule="atLeast"/>
        </w:trPr>
        <w:tc>
          <w:tcPr>
            <w:tcW w:w="3510" w:type="dxa"/>
            <w:gridSpan w:val="4"/>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                    （万元）</w:t>
            </w: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cs="宋体"/>
                <w:color w:val="000000"/>
                <w:kern w:val="0"/>
                <w:sz w:val="24"/>
              </w:rPr>
            </w:pPr>
          </w:p>
        </w:tc>
        <w:tc>
          <w:tcPr>
            <w:tcW w:w="1134"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年初预算数（A）</w:t>
            </w:r>
          </w:p>
        </w:tc>
        <w:tc>
          <w:tcPr>
            <w:tcW w:w="1276" w:type="dxa"/>
            <w:gridSpan w:val="4"/>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分值（10分）</w:t>
            </w:r>
          </w:p>
        </w:tc>
        <w:tc>
          <w:tcPr>
            <w:tcW w:w="9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执行率（B/A)</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年度资金总额：</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103.8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103.45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99.7%</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9.97</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其中:财政拨款</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103.8</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103.45</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99.7%</w:t>
            </w:r>
          </w:p>
        </w:tc>
        <w:tc>
          <w:tcPr>
            <w:tcW w:w="127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9.97</w:t>
            </w:r>
          </w:p>
        </w:tc>
      </w:tr>
      <w:tr>
        <w:tblPrEx>
          <w:tblCellMar>
            <w:top w:w="0" w:type="dxa"/>
            <w:left w:w="108" w:type="dxa"/>
            <w:bottom w:w="0" w:type="dxa"/>
            <w:right w:w="108" w:type="dxa"/>
          </w:tblCellMar>
        </w:tblPrEx>
        <w:trPr>
          <w:gridAfter w:val="1"/>
          <w:wAfter w:w="3809" w:type="dxa"/>
          <w:trHeight w:val="370" w:hRule="atLeast"/>
        </w:trPr>
        <w:tc>
          <w:tcPr>
            <w:tcW w:w="3510" w:type="dxa"/>
            <w:gridSpan w:val="4"/>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1843" w:type="dxa"/>
            <w:gridSpan w:val="2"/>
            <w:tcBorders>
              <w:top w:val="single" w:color="auto" w:sz="4" w:space="0"/>
              <w:left w:val="nil"/>
              <w:bottom w:val="single" w:color="auto" w:sz="4" w:space="0"/>
              <w:right w:val="single" w:color="000000"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其他资金</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6"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gridAfter w:val="1"/>
          <w:wAfter w:w="3809" w:type="dxa"/>
          <w:trHeight w:val="1078" w:hRule="atLeast"/>
        </w:trPr>
        <w:tc>
          <w:tcPr>
            <w:tcW w:w="846" w:type="dxa"/>
            <w:tcBorders>
              <w:top w:val="nil"/>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年度目标</w:t>
            </w:r>
          </w:p>
        </w:tc>
        <w:tc>
          <w:tcPr>
            <w:tcW w:w="5641"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年初设定目标:对乡域内露天生活垃圾收集站进行改造更新，改变以往裸露式的作业模式</w:t>
            </w:r>
          </w:p>
        </w:tc>
        <w:tc>
          <w:tcPr>
            <w:tcW w:w="4536" w:type="dxa"/>
            <w:gridSpan w:val="7"/>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年度总体目标完成情况综述：对乡域内露天生活垃圾收集站进行改造更新，现已全部改建成密闭式，改变了以往裸露式的作业模式，提升了居民生活环境质量。</w:t>
            </w:r>
          </w:p>
        </w:tc>
      </w:tr>
      <w:tr>
        <w:tblPrEx>
          <w:tblCellMar>
            <w:top w:w="0" w:type="dxa"/>
            <w:left w:w="108" w:type="dxa"/>
            <w:bottom w:w="0" w:type="dxa"/>
            <w:right w:w="108" w:type="dxa"/>
          </w:tblCellMar>
        </w:tblPrEx>
        <w:trPr>
          <w:gridAfter w:val="1"/>
          <w:wAfter w:w="3809" w:type="dxa"/>
          <w:trHeight w:val="737" w:hRule="atLeast"/>
        </w:trPr>
        <w:tc>
          <w:tcPr>
            <w:tcW w:w="846"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未完成原因分析</w:t>
            </w:r>
          </w:p>
        </w:tc>
      </w:tr>
      <w:tr>
        <w:tblPrEx>
          <w:tblCellMar>
            <w:top w:w="0" w:type="dxa"/>
            <w:left w:w="108" w:type="dxa"/>
            <w:bottom w:w="0" w:type="dxa"/>
            <w:right w:w="108" w:type="dxa"/>
          </w:tblCellMar>
        </w:tblPrEx>
        <w:trPr>
          <w:gridAfter w:val="1"/>
          <w:wAfter w:w="3809" w:type="dxa"/>
          <w:trHeight w:val="421"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(50分)</w:t>
            </w:r>
          </w:p>
        </w:tc>
        <w:tc>
          <w:tcPr>
            <w:tcW w:w="1240" w:type="dxa"/>
            <w:tcBorders>
              <w:top w:val="single" w:color="auto" w:sz="4" w:space="0"/>
              <w:left w:val="nil"/>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1842" w:type="dxa"/>
            <w:gridSpan w:val="2"/>
            <w:tcBorders>
              <w:top w:val="single" w:color="auto" w:sz="4" w:space="0"/>
              <w:left w:val="nil"/>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完成173处露天站点整治</w:t>
            </w:r>
          </w:p>
        </w:tc>
        <w:tc>
          <w:tcPr>
            <w:tcW w:w="1276" w:type="dxa"/>
            <w:gridSpan w:val="2"/>
            <w:tcBorders>
              <w:top w:val="single" w:color="auto" w:sz="4" w:space="0"/>
              <w:left w:val="nil"/>
              <w:right w:val="single" w:color="auto" w:sz="4" w:space="0"/>
            </w:tcBorders>
            <w:noWrap/>
            <w:vAlign w:val="center"/>
          </w:tcPr>
          <w:p>
            <w:pPr>
              <w:jc w:val="center"/>
              <w:rPr>
                <w:rFonts w:ascii="宋体" w:hAnsi="宋体"/>
                <w:sz w:val="24"/>
              </w:rPr>
            </w:pPr>
            <w:r>
              <w:rPr>
                <w:rFonts w:hint="eastAsia" w:ascii="宋体" w:hAnsi="宋体"/>
                <w:sz w:val="24"/>
              </w:rPr>
              <w:t>173处</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992"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20</w:t>
            </w:r>
          </w:p>
        </w:tc>
        <w:tc>
          <w:tcPr>
            <w:tcW w:w="2268"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18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sz w:val="24"/>
              </w:rPr>
            </w:pPr>
            <w:r>
              <w:rPr>
                <w:rFonts w:hint="eastAsia" w:ascii="宋体" w:hAnsi="宋体"/>
                <w:sz w:val="24"/>
              </w:rPr>
              <w:t>升级改造垃圾收集站，升级为密闭式收集站点</w:t>
            </w:r>
          </w:p>
        </w:tc>
        <w:tc>
          <w:tcPr>
            <w:tcW w:w="1276"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12月底前完成</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12月底前</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8"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控制在成本数103.8万元内</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103.45</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10</w:t>
            </w:r>
          </w:p>
        </w:tc>
        <w:tc>
          <w:tcPr>
            <w:tcW w:w="992"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9.97</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gridAfter w:val="1"/>
          <w:wAfter w:w="3809" w:type="dxa"/>
          <w:trHeight w:val="416"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果</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(40分)</w:t>
            </w: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效益指标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color w:val="000000"/>
                <w:kern w:val="0"/>
                <w:sz w:val="24"/>
              </w:rPr>
              <w:t>改变垃圾收集站点裸露式的作业模式，提升了居民生活环境质量。</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达到预期目标</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数量指标、进度指标需细化</w:t>
            </w:r>
          </w:p>
        </w:tc>
      </w:tr>
      <w:tr>
        <w:tblPrEx>
          <w:tblCellMar>
            <w:top w:w="0" w:type="dxa"/>
            <w:left w:w="108" w:type="dxa"/>
            <w:bottom w:w="0" w:type="dxa"/>
            <w:right w:w="108" w:type="dxa"/>
          </w:tblCellMar>
        </w:tblPrEx>
        <w:trPr>
          <w:gridAfter w:val="1"/>
          <w:wAfter w:w="3809" w:type="dxa"/>
          <w:trHeight w:val="409" w:hRule="atLeast"/>
        </w:trPr>
        <w:tc>
          <w:tcPr>
            <w:tcW w:w="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rPr>
            </w:pPr>
          </w:p>
        </w:tc>
        <w:tc>
          <w:tcPr>
            <w:tcW w:w="124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1842"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sz w:val="24"/>
              </w:rPr>
            </w:pPr>
            <w:r>
              <w:rPr>
                <w:rFonts w:hint="eastAsia" w:ascii="宋体" w:hAnsi="宋体" w:cs="宋体"/>
                <w:sz w:val="24"/>
              </w:rPr>
              <w:t>进行满意度调查，好评90%以上</w:t>
            </w:r>
          </w:p>
        </w:tc>
        <w:tc>
          <w:tcPr>
            <w:tcW w:w="1276"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sz w:val="24"/>
              </w:rPr>
            </w:pPr>
            <w:r>
              <w:rPr>
                <w:rFonts w:hint="eastAsia" w:ascii="宋体" w:hAnsi="宋体" w:cs="宋体"/>
                <w:sz w:val="24"/>
              </w:rPr>
              <w:t>好评90%</w:t>
            </w:r>
          </w:p>
        </w:tc>
        <w:tc>
          <w:tcPr>
            <w:tcW w:w="1276"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20</w:t>
            </w:r>
          </w:p>
        </w:tc>
        <w:tc>
          <w:tcPr>
            <w:tcW w:w="99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无书面材料</w:t>
            </w:r>
          </w:p>
        </w:tc>
      </w:tr>
      <w:tr>
        <w:tblPrEx>
          <w:tblCellMar>
            <w:top w:w="0" w:type="dxa"/>
            <w:left w:w="108" w:type="dxa"/>
            <w:bottom w:w="0" w:type="dxa"/>
            <w:right w:w="108" w:type="dxa"/>
          </w:tblCellMar>
        </w:tblPrEx>
        <w:trPr>
          <w:gridAfter w:val="1"/>
          <w:wAfter w:w="3809" w:type="dxa"/>
          <w:trHeight w:val="353" w:hRule="atLeast"/>
        </w:trPr>
        <w:tc>
          <w:tcPr>
            <w:tcW w:w="8755" w:type="dxa"/>
            <w:gridSpan w:val="12"/>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b/>
                <w:bCs/>
                <w:color w:val="000000"/>
                <w:kern w:val="0"/>
                <w:sz w:val="24"/>
              </w:rPr>
            </w:pPr>
            <w:r>
              <w:rPr>
                <w:rFonts w:hint="eastAsia" w:ascii="宋体" w:hAnsi="宋体" w:cs="宋体"/>
                <w:b/>
                <w:bCs/>
                <w:color w:val="000000"/>
                <w:kern w:val="0"/>
                <w:sz w:val="24"/>
              </w:rPr>
              <w:t>总分：90.94</w:t>
            </w:r>
          </w:p>
        </w:tc>
        <w:tc>
          <w:tcPr>
            <w:tcW w:w="2268"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pStyle w:val="2"/>
        <w:sectPr>
          <w:pgSz w:w="11906" w:h="16838"/>
          <w:pgMar w:top="1440" w:right="896" w:bottom="1440" w:left="612" w:header="851" w:footer="992" w:gutter="0"/>
          <w:cols w:space="425"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126"/>
        <w:gridCol w:w="851"/>
        <w:gridCol w:w="1459"/>
        <w:gridCol w:w="1121"/>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shd w:val="clear" w:color="auto" w:fill="auto"/>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项目支出事后绩效自评表（59）</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9"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2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2019年生活垃圾运输费</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436"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04"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环境办</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31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53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31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288.076</w:t>
            </w:r>
          </w:p>
        </w:tc>
        <w:tc>
          <w:tcPr>
            <w:tcW w:w="112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288.076</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54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310" w:type="dxa"/>
            <w:gridSpan w:val="2"/>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288.076</w:t>
            </w:r>
          </w:p>
        </w:tc>
        <w:tc>
          <w:tcPr>
            <w:tcW w:w="112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288.076</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6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31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2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2848" w:hRule="atLeast"/>
          <w:jc w:val="center"/>
        </w:trPr>
        <w:tc>
          <w:tcPr>
            <w:tcW w:w="89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408"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按照55元/吨的生活垃圾运输费标准，按照2018年摸底测算数下拨至各村，</w:t>
            </w:r>
            <w:r>
              <w:rPr>
                <w:rFonts w:ascii="宋体" w:hAnsi="宋体" w:cs="宋体"/>
                <w:sz w:val="24"/>
              </w:rPr>
              <w:t>努力改善城乡人居环境</w:t>
            </w:r>
            <w:r>
              <w:rPr>
                <w:rFonts w:hint="eastAsia" w:ascii="宋体" w:hAnsi="宋体" w:cs="宋体"/>
                <w:sz w:val="24"/>
              </w:rPr>
              <w:t>。</w:t>
            </w:r>
          </w:p>
        </w:tc>
        <w:tc>
          <w:tcPr>
            <w:tcW w:w="6904" w:type="dxa"/>
            <w:gridSpan w:val="5"/>
            <w:tcBorders>
              <w:top w:val="single" w:color="auto" w:sz="4" w:space="0"/>
              <w:left w:val="nil"/>
              <w:bottom w:val="single" w:color="auto" w:sz="4" w:space="0"/>
              <w:right w:val="single" w:color="000000" w:sz="4" w:space="0"/>
            </w:tcBorders>
            <w:shd w:val="clear" w:color="auto" w:fill="auto"/>
            <w:vAlign w:val="center"/>
          </w:tcPr>
          <w:p>
            <w:pPr>
              <w:widowControl/>
            </w:pPr>
            <w:r>
              <w:rPr>
                <w:rFonts w:hint="eastAsia"/>
              </w:rPr>
              <w:t>年度总体目标完成情况综述：</w:t>
            </w:r>
          </w:p>
          <w:p>
            <w:pPr>
              <w:widowControl/>
              <w:numPr>
                <w:ilvl w:val="0"/>
                <w:numId w:val="7"/>
              </w:numPr>
            </w:pPr>
            <w:r>
              <w:rPr>
                <w:rFonts w:hint="eastAsia"/>
              </w:rPr>
              <w:t>根据2018年测算的生活垃圾产出量，按照55元/吨的标准下拨至各村，以便于各村垃圾运输工作开展。</w:t>
            </w:r>
          </w:p>
          <w:p>
            <w:pPr>
              <w:pStyle w:val="2"/>
              <w:numPr>
                <w:ilvl w:val="0"/>
                <w:numId w:val="7"/>
              </w:numPr>
            </w:pPr>
            <w:r>
              <w:rPr>
                <w:rFonts w:hint="eastAsia"/>
              </w:rPr>
              <w:t>明确资金用途，仅可用于</w:t>
            </w:r>
            <w:r>
              <w:t>支付垃圾运转车司机工资；车辆油耗；车辆维护、修理等费用</w:t>
            </w:r>
          </w:p>
          <w:p>
            <w:pPr>
              <w:pStyle w:val="2"/>
              <w:numPr>
                <w:ilvl w:val="0"/>
                <w:numId w:val="7"/>
              </w:numPr>
            </w:pPr>
            <w:r>
              <w:rPr>
                <w:rFonts w:hint="eastAsia"/>
              </w:rPr>
              <w:t>加强垃圾运输管理 ，确保无抛洒、无遗漏、无异味，规范垃圾运输管理。</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4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60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下拨标准</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r>
              <w:rPr>
                <w:rFonts w:hint="eastAsia" w:ascii="宋体" w:hAnsi="宋体"/>
                <w:sz w:val="24"/>
              </w:rPr>
              <w:t xml:space="preserve"> </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55元/吨</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55元/吨</w:t>
            </w:r>
          </w:p>
        </w:tc>
        <w:tc>
          <w:tcPr>
            <w:tcW w:w="2806"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asciiTheme="minorEastAsia" w:hAnsiTheme="minorEastAsia"/>
                <w:sz w:val="24"/>
              </w:rPr>
              <w:t>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5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下拨吨数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8</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52377.5吨</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52377.5吨</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8</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8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下拨单位</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7</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12个</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12个</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7</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1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12个村覆利率100%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2"/>
                <w:szCs w:val="22"/>
              </w:rPr>
              <w:br w:type="page"/>
            </w:r>
            <w:r>
              <w:rPr>
                <w:rFonts w:hint="eastAsia" w:ascii="宋体" w:hAnsi="宋体" w:cs="宋体"/>
                <w:color w:val="000000"/>
                <w:kern w:val="0"/>
                <w:sz w:val="22"/>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4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按照各村测算值100%下拨</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21"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拨付时间</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6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288.076</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288.076</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68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asciiTheme="minorEastAsia" w:hAnsiTheme="minorEastAsia"/>
                <w:sz w:val="24"/>
              </w:rPr>
              <w:t>保障农村地区生活垃圾运输有序开展，提升地区人居环境质量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asciiTheme="minorEastAsia" w:hAnsiTheme="minorEastAsia"/>
                <w:sz w:val="24"/>
              </w:rPr>
              <w:t>20</w:t>
            </w:r>
          </w:p>
        </w:tc>
        <w:tc>
          <w:tcPr>
            <w:tcW w:w="1459" w:type="dxa"/>
            <w:tcBorders>
              <w:top w:val="single" w:color="auto" w:sz="4" w:space="0"/>
              <w:left w:val="nil"/>
              <w:bottom w:val="single" w:color="auto" w:sz="4" w:space="0"/>
              <w:right w:val="single" w:color="auto" w:sz="4" w:space="0"/>
            </w:tcBorders>
            <w:shd w:val="clear" w:color="auto" w:fill="auto"/>
            <w:noWrap/>
            <w:vAlign w:val="center"/>
          </w:tcPr>
          <w:p>
            <w:pPr>
              <w:jc w:val="center"/>
              <w:rPr>
                <w:rFonts w:cs="宋体" w:asciiTheme="minorEastAsia" w:hAnsiTheme="minorEastAsia"/>
                <w:sz w:val="24"/>
              </w:rPr>
            </w:pPr>
            <w:r>
              <w:rPr>
                <w:rFonts w:hint="eastAsia" w:asciiTheme="minorEastAsia" w:hAnsiTheme="minorEastAsia"/>
                <w:sz w:val="24"/>
              </w:rPr>
              <w:t>保障农村地区生活垃圾运输有序开展，提升地区人居环境质量</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预期目标实现较好</w:t>
            </w:r>
          </w:p>
        </w:tc>
        <w:tc>
          <w:tcPr>
            <w:tcW w:w="2806" w:type="dxa"/>
            <w:gridSpan w:val="2"/>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后续监管材料未提供</w:t>
            </w: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shd w:val="clear" w:color="auto" w:fill="auto"/>
            <w:noWrap/>
            <w:vAlign w:val="center"/>
          </w:tcPr>
          <w:p>
            <w:pPr>
              <w:widowControl/>
              <w:rPr>
                <w:rFonts w:ascii="宋体" w:hAnsi="宋体"/>
                <w:sz w:val="24"/>
              </w:rPr>
            </w:pPr>
            <w:r>
              <w:rPr>
                <w:rFonts w:hint="eastAsia" w:ascii="宋体" w:hAnsi="宋体"/>
                <w:sz w:val="24"/>
              </w:rPr>
              <w:t>对资金是否及时到位开展满意度调查</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20</w:t>
            </w:r>
          </w:p>
        </w:tc>
        <w:tc>
          <w:tcPr>
            <w:tcW w:w="145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得到基层单位好评</w:t>
            </w:r>
          </w:p>
        </w:tc>
        <w:tc>
          <w:tcPr>
            <w:tcW w:w="112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好评率达98%</w:t>
            </w:r>
          </w:p>
        </w:tc>
        <w:tc>
          <w:tcPr>
            <w:tcW w:w="2806" w:type="dxa"/>
            <w:gridSpan w:val="2"/>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同效益指标得分计算方式。</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15.6</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同时应对村民开展满意度调查</w:t>
            </w: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93.6</w:t>
            </w:r>
          </w:p>
        </w:tc>
      </w:tr>
    </w:tbl>
    <w:p>
      <w:pPr>
        <w:pStyle w:val="2"/>
        <w:sectPr>
          <w:pgSz w:w="16838" w:h="11906" w:orient="landscape"/>
          <w:pgMar w:top="499" w:right="1440" w:bottom="612" w:left="1440" w:header="851" w:footer="992" w:gutter="0"/>
          <w:cols w:space="425" w:num="1"/>
          <w:docGrid w:type="lines" w:linePitch="312" w:charSpace="0"/>
        </w:sectPr>
      </w:pPr>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blPrEx>
          <w:tblCellMar>
            <w:top w:w="0" w:type="dxa"/>
            <w:left w:w="108" w:type="dxa"/>
            <w:bottom w:w="0" w:type="dxa"/>
            <w:right w:w="108" w:type="dxa"/>
          </w:tblCellMar>
        </w:tblPrEx>
        <w:trPr>
          <w:trHeight w:val="457" w:hRule="atLeast"/>
          <w:jc w:val="center"/>
        </w:trPr>
        <w:tc>
          <w:tcPr>
            <w:tcW w:w="15205" w:type="dxa"/>
            <w:gridSpan w:val="11"/>
            <w:tcBorders>
              <w:top w:val="nil"/>
              <w:left w:val="nil"/>
              <w:bottom w:val="nil"/>
              <w:right w:val="nil"/>
            </w:tcBorders>
            <w:shd w:val="clear" w:color="auto" w:fill="auto"/>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项目支出事后绩效自评表（表60）</w:t>
            </w:r>
            <w:r>
              <w:rPr>
                <w:rFonts w:hint="eastAsia" w:ascii="方正小标宋简体" w:hAnsi="黑体" w:eastAsia="方正小标宋简体" w:cs="宋体"/>
                <w:color w:val="000000"/>
                <w:kern w:val="0"/>
                <w:sz w:val="32"/>
                <w:szCs w:val="32"/>
              </w:rPr>
              <w:t xml:space="preserve"> </w:t>
            </w:r>
          </w:p>
        </w:tc>
      </w:tr>
      <w:tr>
        <w:trPr>
          <w:trHeight w:val="229" w:hRule="atLeast"/>
          <w:jc w:val="center"/>
        </w:trPr>
        <w:tc>
          <w:tcPr>
            <w:tcW w:w="15205" w:type="dxa"/>
            <w:gridSpan w:val="11"/>
            <w:tcBorders>
              <w:top w:val="nil"/>
              <w:left w:val="nil"/>
              <w:bottom w:val="nil"/>
              <w:right w:val="nil"/>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大红门核心区域环境提升</w:t>
            </w:r>
          </w:p>
        </w:tc>
      </w:tr>
      <w:tr>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环境办</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53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cs="宋体"/>
                <w:color w:val="9C0006"/>
                <w:sz w:val="22"/>
                <w:szCs w:val="22"/>
              </w:rPr>
            </w:pPr>
            <w:r>
              <w:rPr>
                <w:rFonts w:hint="eastAsia" w:ascii="宋体" w:hAnsi="宋体" w:cs="宋体"/>
                <w:kern w:val="0"/>
                <w:sz w:val="24"/>
                <w:lang w:bidi="ar"/>
              </w:rPr>
              <w:t>633.60</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cs="宋体"/>
                <w:kern w:val="0"/>
                <w:sz w:val="24"/>
                <w:lang w:bidi="ar"/>
              </w:rPr>
              <w:t>633.60</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10</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rPr>
          <w:trHeight w:val="54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sz w:val="24"/>
              </w:rPr>
            </w:pPr>
            <w:r>
              <w:rPr>
                <w:rFonts w:hint="eastAsia" w:ascii="宋体" w:hAnsi="宋体" w:cs="宋体"/>
                <w:kern w:val="0"/>
                <w:sz w:val="24"/>
                <w:lang w:bidi="ar"/>
              </w:rPr>
              <w:t>633.60</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cs="宋体"/>
                <w:kern w:val="0"/>
                <w:sz w:val="24"/>
                <w:lang w:bidi="ar"/>
              </w:rPr>
              <w:t>633.60</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10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6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2353" w:hRule="atLeast"/>
          <w:jc w:val="center"/>
        </w:trPr>
        <w:tc>
          <w:tcPr>
            <w:tcW w:w="89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年初设定目标:鉴于</w:t>
            </w:r>
            <w:r>
              <w:rPr>
                <w:rFonts w:ascii="宋体" w:hAnsi="宋体" w:cs="宋体"/>
                <w:sz w:val="24"/>
              </w:rPr>
              <w:t>南苑大红门地区风貌低于北京中轴线应当有的标准，</w:t>
            </w:r>
            <w:r>
              <w:rPr>
                <w:rFonts w:hint="eastAsia" w:ascii="宋体" w:hAnsi="宋体" w:cs="宋体"/>
                <w:color w:val="000000"/>
                <w:kern w:val="0"/>
                <w:sz w:val="24"/>
              </w:rPr>
              <w:t>为了提升南苑-大红门地区的整体面貌，巩固疏整促成果，现实施大红门核心区域环境提升工程，提升区域环境质量</w:t>
            </w:r>
            <w:r>
              <w:rPr>
                <w:rFonts w:ascii="宋体" w:hAnsi="宋体" w:cs="宋体"/>
                <w:sz w:val="24"/>
              </w:rPr>
              <w:t>。</w:t>
            </w:r>
          </w:p>
        </w:tc>
        <w:tc>
          <w:tcPr>
            <w:tcW w:w="6981" w:type="dxa"/>
            <w:gridSpan w:val="5"/>
            <w:tcBorders>
              <w:top w:val="single" w:color="auto" w:sz="4" w:space="0"/>
              <w:left w:val="nil"/>
              <w:bottom w:val="single" w:color="auto" w:sz="4" w:space="0"/>
              <w:right w:val="single" w:color="000000" w:sz="4" w:space="0"/>
            </w:tcBorders>
            <w:shd w:val="clear" w:color="auto" w:fill="auto"/>
            <w:vAlign w:val="center"/>
          </w:tcPr>
          <w:p>
            <w:pPr>
              <w:widowControl/>
              <w:rPr>
                <w:rFonts w:cs="宋体" w:asciiTheme="minorEastAsia" w:hAnsiTheme="minorEastAsia"/>
                <w:color w:val="000000"/>
                <w:kern w:val="0"/>
                <w:sz w:val="24"/>
              </w:rPr>
            </w:pPr>
            <w:r>
              <w:rPr>
                <w:rFonts w:hint="eastAsia" w:cs="宋体" w:asciiTheme="minorEastAsia" w:hAnsiTheme="minorEastAsia"/>
                <w:color w:val="000000"/>
                <w:kern w:val="0"/>
                <w:sz w:val="24"/>
              </w:rPr>
              <w:t>年度总体目标完成情况综述：</w:t>
            </w:r>
          </w:p>
          <w:p>
            <w:pPr>
              <w:widowControl/>
              <w:rPr>
                <w:rFonts w:cs="宋体" w:asciiTheme="minorEastAsia" w:hAnsiTheme="minorEastAsia"/>
                <w:color w:val="000000"/>
                <w:kern w:val="0"/>
                <w:sz w:val="24"/>
              </w:rPr>
            </w:pPr>
            <w:r>
              <w:rPr>
                <w:rFonts w:hint="eastAsia" w:ascii="宋体" w:hAnsi="宋体" w:cs="宋体"/>
                <w:color w:val="000000"/>
                <w:kern w:val="0"/>
                <w:sz w:val="24"/>
              </w:rPr>
              <w:t>经招投标及区评审中心审定，确定大红门核心区环境工程提升工程造价，提升了南苑-大红门地区的整体面貌，巩固疏整促成果，提升了南中轴两侧区域环境质量</w:t>
            </w:r>
            <w:r>
              <w:rPr>
                <w:rFonts w:ascii="宋体" w:hAnsi="宋体" w:cs="宋体"/>
                <w:sz w:val="24"/>
              </w:rPr>
              <w:t>。</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rPr>
          <w:trHeight w:val="87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存量市场周边整治提升三处</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8</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三处</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三处</w:t>
            </w:r>
          </w:p>
        </w:tc>
        <w:tc>
          <w:tcPr>
            <w:tcW w:w="2806"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asciiTheme="minorEastAsia" w:hAnsiTheme="minorEastAsia"/>
                <w:sz w:val="24"/>
              </w:rPr>
              <w:t>8</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6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南苑路东侧胡同综合整治二处</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6</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二处</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二处</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6</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0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南苑路两侧整治提升两处</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6</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两处</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两处</w:t>
            </w:r>
          </w:p>
        </w:tc>
        <w:tc>
          <w:tcPr>
            <w:tcW w:w="2806"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6</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0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对私搭乱建、违建拆除率100%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br w:type="page"/>
            </w: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6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市政工程、景观工程与评审及合同吻合率100%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rPr>
          <w:trHeight w:val="135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工程完成时间</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rPr>
          <w:trHeight w:val="96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cs="宋体"/>
                <w:kern w:val="0"/>
                <w:sz w:val="24"/>
                <w:lang w:bidi="ar"/>
              </w:rPr>
              <w:t>633.60</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cs="宋体"/>
                <w:kern w:val="0"/>
                <w:sz w:val="24"/>
                <w:lang w:bidi="ar"/>
              </w:rPr>
              <w:t>633.60</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68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asciiTheme="minorEastAsia" w:hAnsiTheme="minorEastAsia"/>
                <w:sz w:val="24"/>
              </w:rPr>
              <w:t>改善了大红门核心区域景观，南中轴两侧风貌显著提升</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asciiTheme="minorEastAsia" w:hAnsiTheme="minorEastAsia"/>
                <w:sz w:val="24"/>
              </w:rPr>
              <w:t>20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cs="宋体" w:asciiTheme="minorEastAsia" w:hAnsiTheme="minorEastAsia"/>
                <w:sz w:val="24"/>
              </w:rPr>
            </w:pPr>
            <w:r>
              <w:rPr>
                <w:rFonts w:hint="eastAsia" w:asciiTheme="minorEastAsia" w:hAnsiTheme="minorEastAsia"/>
                <w:sz w:val="24"/>
              </w:rPr>
              <w:t>改善了大红门核心区域景观，南中轴两侧风貌显著提升</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达到预期目标</w:t>
            </w:r>
          </w:p>
        </w:tc>
        <w:tc>
          <w:tcPr>
            <w:tcW w:w="2806" w:type="dxa"/>
            <w:gridSpan w:val="2"/>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数量指标、进步指标需细化</w:t>
            </w: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整治效果得到周边群众好评</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20</w:t>
            </w:r>
          </w:p>
        </w:tc>
        <w:tc>
          <w:tcPr>
            <w:tcW w:w="1382"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组织管理及培训质量得到学员好评</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好评率达90%</w:t>
            </w:r>
          </w:p>
        </w:tc>
        <w:tc>
          <w:tcPr>
            <w:tcW w:w="2806" w:type="dxa"/>
            <w:gridSpan w:val="2"/>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同效益指标得分计算方式。</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r>
      <w:tr>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94</w:t>
            </w:r>
          </w:p>
        </w:tc>
      </w:tr>
    </w:tbl>
    <w:p>
      <w:pPr>
        <w:pStyle w:val="2"/>
        <w:sectPr>
          <w:pgSz w:w="16838" w:h="11906" w:orient="landscape"/>
          <w:pgMar w:top="612" w:right="1440" w:bottom="896" w:left="1440" w:header="851" w:footer="992" w:gutter="0"/>
          <w:cols w:space="425" w:num="1"/>
          <w:docGrid w:type="lines" w:linePitch="312" w:charSpace="0"/>
        </w:sectPr>
      </w:pPr>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shd w:val="clear" w:color="auto" w:fill="auto"/>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项目支出事后绩效自评表（表61）</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生活垃圾分类示范片区创建资金</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环境办</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53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500</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402.98</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80.6</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8.06</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blPrEx>
          <w:tblCellMar>
            <w:top w:w="0" w:type="dxa"/>
            <w:left w:w="108" w:type="dxa"/>
            <w:bottom w:w="0" w:type="dxa"/>
            <w:right w:w="108" w:type="dxa"/>
          </w:tblCellMar>
        </w:tblPrEx>
        <w:trPr>
          <w:trHeight w:val="54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500</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402.98</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80.6</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8.06</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50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blPrEx>
          <w:tblCellMar>
            <w:top w:w="0" w:type="dxa"/>
            <w:left w:w="108" w:type="dxa"/>
            <w:bottom w:w="0" w:type="dxa"/>
            <w:right w:w="108" w:type="dxa"/>
          </w:tblCellMar>
        </w:tblPrEx>
        <w:trPr>
          <w:trHeight w:val="2848" w:hRule="atLeast"/>
          <w:jc w:val="center"/>
        </w:trPr>
        <w:tc>
          <w:tcPr>
            <w:tcW w:w="89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推进生活垃圾分类示范区创建，开展垃圾分类宣传，倡导垃圾分类新风尚。</w:t>
            </w:r>
          </w:p>
        </w:tc>
        <w:tc>
          <w:tcPr>
            <w:tcW w:w="6981" w:type="dxa"/>
            <w:gridSpan w:val="5"/>
            <w:tcBorders>
              <w:top w:val="single" w:color="auto" w:sz="4" w:space="0"/>
              <w:left w:val="nil"/>
              <w:bottom w:val="single" w:color="auto" w:sz="4" w:space="0"/>
              <w:right w:val="single" w:color="000000" w:sz="4" w:space="0"/>
            </w:tcBorders>
            <w:shd w:val="clear" w:color="auto" w:fill="auto"/>
            <w:vAlign w:val="center"/>
          </w:tcPr>
          <w:p>
            <w:pPr>
              <w:widowControl/>
              <w:rPr>
                <w:rFonts w:cs="宋体" w:asciiTheme="minorEastAsia" w:hAnsiTheme="minorEastAsia"/>
                <w:color w:val="000000"/>
                <w:kern w:val="0"/>
                <w:sz w:val="24"/>
              </w:rPr>
            </w:pPr>
            <w:r>
              <w:rPr>
                <w:rFonts w:hint="eastAsia" w:cs="宋体" w:asciiTheme="minorEastAsia" w:hAnsiTheme="minorEastAsia"/>
                <w:color w:val="000000"/>
                <w:kern w:val="0"/>
                <w:sz w:val="24"/>
              </w:rPr>
              <w:t>年度总体目标完成情况综述：</w:t>
            </w:r>
          </w:p>
          <w:p>
            <w:pPr>
              <w:widowControl/>
              <w:rPr>
                <w:rFonts w:cs="宋体" w:asciiTheme="minorEastAsia" w:hAnsiTheme="minorEastAsia"/>
                <w:color w:val="000000"/>
                <w:kern w:val="0"/>
                <w:sz w:val="24"/>
              </w:rPr>
            </w:pPr>
            <w:r>
              <w:rPr>
                <w:rFonts w:hint="eastAsia" w:cs="宋体" w:asciiTheme="minorEastAsia" w:hAnsiTheme="minorEastAsia"/>
                <w:color w:val="000000"/>
                <w:kern w:val="0"/>
                <w:sz w:val="24"/>
              </w:rPr>
              <w:t>开展垃圾分类宣传，提升地区群众垃圾分类意识，推动槐房、南苑、新宫、福海棠华苑社区垃圾分类示范区创建。</w:t>
            </w:r>
          </w:p>
          <w:p>
            <w:pPr>
              <w:widowControl/>
              <w:rPr>
                <w:rFonts w:cs="宋体" w:asciiTheme="minorEastAsia" w:hAnsiTheme="minorEastAsia"/>
                <w:color w:val="000000"/>
                <w:kern w:val="0"/>
                <w:sz w:val="24"/>
              </w:rPr>
            </w:pP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cs="宋体" w:asciiTheme="minorEastAsia" w:hAnsiTheme="minorEastAsia"/>
                <w:color w:val="000000"/>
                <w:kern w:val="0"/>
                <w:sz w:val="24"/>
              </w:rPr>
              <w:t>槐房、南苑、新宫、福海棠华苑社区</w:t>
            </w:r>
            <w:r>
              <w:rPr>
                <w:rFonts w:hint="eastAsia" w:ascii="宋体" w:hAnsi="宋体"/>
                <w:sz w:val="24"/>
              </w:rPr>
              <w:t>创建示范区</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4个</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4个</w:t>
            </w:r>
          </w:p>
        </w:tc>
        <w:tc>
          <w:tcPr>
            <w:tcW w:w="2806"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asciiTheme="minorEastAsia" w:hAnsiTheme="minorEastAsia"/>
                <w:sz w:val="24"/>
              </w:rPr>
              <w:t>10</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6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垃圾分类宣传展板</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2</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ind w:firstLine="480" w:firstLineChars="200"/>
              <w:rPr>
                <w:rFonts w:ascii="宋体" w:hAnsi="宋体"/>
                <w:sz w:val="24"/>
              </w:rPr>
            </w:pPr>
            <w:r>
              <w:rPr>
                <w:rFonts w:hint="eastAsia" w:ascii="宋体" w:hAnsi="宋体"/>
                <w:sz w:val="24"/>
              </w:rPr>
              <w:t>40块</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40块</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2</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垃圾分类日志及宣传手册</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3</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300册</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300册</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3</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75"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cs="宋体"/>
                <w:sz w:val="24"/>
              </w:rPr>
              <w:t>分类垃圾桶站建设</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4处</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4处</w:t>
            </w:r>
          </w:p>
        </w:tc>
        <w:tc>
          <w:tcPr>
            <w:tcW w:w="2806"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asciiTheme="minorEastAsia" w:hAnsiTheme="minorEastAsia"/>
                <w:sz w:val="24"/>
              </w:rPr>
              <w:t>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80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创建覆盖率100%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4"/>
              </w:rPr>
              <w:br w:type="page"/>
            </w:r>
            <w:r>
              <w:rPr>
                <w:rFonts w:hint="eastAsia" w:ascii="宋体" w:hAnsi="宋体" w:cs="宋体"/>
                <w:color w:val="000000"/>
                <w:kern w:val="0"/>
                <w:sz w:val="24"/>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1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完成时间</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当年</w:t>
            </w:r>
            <w:r>
              <w:rPr>
                <w:rFonts w:ascii="宋体" w:hAnsi="宋体"/>
                <w:sz w:val="24"/>
              </w:rPr>
              <w:t>12</w:t>
            </w:r>
            <w:r>
              <w:rPr>
                <w:rFonts w:hint="eastAsia" w:ascii="宋体" w:hAnsi="宋体"/>
                <w:sz w:val="24"/>
              </w:rPr>
              <w:t>月前完成</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次年5月完成</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r>
              <w:rPr>
                <w:rFonts w:hint="eastAsia" w:ascii="宋体" w:hAnsi="宋体" w:cs="宋体"/>
                <w:color w:val="000000"/>
                <w:kern w:val="0"/>
                <w:sz w:val="24"/>
              </w:rPr>
              <w:t>6</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r>
              <w:rPr>
                <w:rFonts w:hint="eastAsia" w:ascii="宋体" w:hAnsi="宋体" w:cs="宋体"/>
                <w:color w:val="000000"/>
                <w:kern w:val="0"/>
                <w:sz w:val="24"/>
              </w:rPr>
              <w:t>合同签订至2020年5月</w:t>
            </w:r>
          </w:p>
        </w:tc>
      </w:tr>
      <w:tr>
        <w:tblPrEx>
          <w:tblCellMar>
            <w:top w:w="0" w:type="dxa"/>
            <w:left w:w="108" w:type="dxa"/>
            <w:bottom w:w="0" w:type="dxa"/>
            <w:right w:w="108" w:type="dxa"/>
          </w:tblCellMar>
        </w:tblPrEx>
        <w:trPr>
          <w:trHeight w:val="60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500</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402.98</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8.06</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73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cs="宋体" w:asciiTheme="minorEastAsia" w:hAnsiTheme="minorEastAsia"/>
                <w:color w:val="000000"/>
                <w:kern w:val="0"/>
                <w:sz w:val="24"/>
              </w:rPr>
              <w:t>提升地区群众垃圾分类意识，通过垃圾分类示范区创建带动垃圾分类成为新风尚。</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asciiTheme="minorEastAsia" w:hAnsiTheme="minorEastAsia"/>
                <w:sz w:val="24"/>
              </w:rPr>
              <w:t>20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cs="宋体" w:asciiTheme="minorEastAsia" w:hAnsiTheme="minorEastAsia"/>
                <w:sz w:val="24"/>
              </w:rPr>
            </w:pPr>
            <w:r>
              <w:rPr>
                <w:rFonts w:hint="eastAsia" w:cs="宋体" w:asciiTheme="minorEastAsia" w:hAnsiTheme="minorEastAsia"/>
                <w:color w:val="000000"/>
                <w:kern w:val="0"/>
                <w:sz w:val="24"/>
              </w:rPr>
              <w:t>提升地区群众垃圾分类意识，通过创建带动垃圾分类成为新风尚。</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达到预期目标</w:t>
            </w:r>
          </w:p>
        </w:tc>
        <w:tc>
          <w:tcPr>
            <w:tcW w:w="2806" w:type="dxa"/>
            <w:gridSpan w:val="2"/>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0"/>
                <w:szCs w:val="20"/>
              </w:rPr>
              <w:t>1.若为定性指标，则根据“四档”原则分别按照指标分值的100-90%(含90%)、90-75%(含75%)、75-60%（含60%）、60-0%来记分。2.若为定量指标，完成值达到指标值，记满分；未达到指标值，按B/A或A/B*该指标分值记分。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创建工作进度未按时完成，质量指标需细化</w:t>
            </w:r>
          </w:p>
        </w:tc>
      </w:tr>
      <w:tr>
        <w:tblPrEx>
          <w:tblCellMar>
            <w:top w:w="0" w:type="dxa"/>
            <w:left w:w="108" w:type="dxa"/>
            <w:bottom w:w="0" w:type="dxa"/>
            <w:right w:w="108" w:type="dxa"/>
          </w:tblCellMar>
        </w:tblPrEx>
        <w:trPr>
          <w:trHeight w:val="1137"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垃圾分类创建验收通过</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20</w:t>
            </w:r>
          </w:p>
        </w:tc>
        <w:tc>
          <w:tcPr>
            <w:tcW w:w="1382"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通过率100%</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通过率100%</w:t>
            </w:r>
          </w:p>
        </w:tc>
        <w:tc>
          <w:tcPr>
            <w:tcW w:w="2806" w:type="dxa"/>
            <w:gridSpan w:val="2"/>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同效益指标得分计算方式。</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周围居民满意度未体现</w:t>
            </w: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87.12</w:t>
            </w:r>
          </w:p>
        </w:tc>
      </w:tr>
    </w:tbl>
    <w:p>
      <w:pPr>
        <w:pStyle w:val="2"/>
        <w:sectPr>
          <w:pgSz w:w="16838" w:h="11906" w:orient="landscape"/>
          <w:pgMar w:top="612" w:right="1440" w:bottom="896" w:left="1440" w:header="851" w:footer="992" w:gutter="0"/>
          <w:cols w:space="425" w:num="1"/>
          <w:docGrid w:type="lines" w:linePitch="312" w:charSpace="0"/>
        </w:sectPr>
      </w:pPr>
    </w:p>
    <w:tbl>
      <w:tblPr>
        <w:tblStyle w:val="14"/>
        <w:tblW w:w="15205" w:type="dxa"/>
        <w:jc w:val="center"/>
        <w:tblLayout w:type="autofit"/>
        <w:tblCellMar>
          <w:top w:w="0" w:type="dxa"/>
          <w:left w:w="108" w:type="dxa"/>
          <w:bottom w:w="0" w:type="dxa"/>
          <w:right w:w="108" w:type="dxa"/>
        </w:tblCellMar>
      </w:tblPr>
      <w:tblGrid>
        <w:gridCol w:w="893"/>
        <w:gridCol w:w="1375"/>
        <w:gridCol w:w="1597"/>
        <w:gridCol w:w="2126"/>
        <w:gridCol w:w="851"/>
        <w:gridCol w:w="1382"/>
        <w:gridCol w:w="1198"/>
        <w:gridCol w:w="1351"/>
        <w:gridCol w:w="1455"/>
        <w:gridCol w:w="1276"/>
        <w:gridCol w:w="1701"/>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shd w:val="clear" w:color="auto" w:fill="auto"/>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 xml:space="preserve">                                项目支出事后绩效自评表（表62）</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（2020年度）</w:t>
            </w:r>
          </w:p>
        </w:tc>
      </w:tr>
      <w:tr>
        <w:tblPrEx>
          <w:tblCellMar>
            <w:top w:w="0" w:type="dxa"/>
            <w:left w:w="108" w:type="dxa"/>
            <w:bottom w:w="0" w:type="dxa"/>
            <w:right w:w="108" w:type="dxa"/>
          </w:tblCellMar>
        </w:tblPrEx>
        <w:trPr>
          <w:trHeight w:val="57" w:hRule="atLeast"/>
          <w:jc w:val="center"/>
        </w:trPr>
        <w:tc>
          <w:tcPr>
            <w:tcW w:w="893"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7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597"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p>
        </w:tc>
        <w:tc>
          <w:tcPr>
            <w:tcW w:w="212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82"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98"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5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455"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76"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70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32"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34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2019年拆违控违第六批资金</w:t>
            </w:r>
          </w:p>
        </w:tc>
      </w:tr>
      <w:tr>
        <w:tblPrEx>
          <w:tblCellMar>
            <w:top w:w="0" w:type="dxa"/>
            <w:left w:w="108" w:type="dxa"/>
            <w:bottom w:w="0" w:type="dxa"/>
            <w:right w:w="108" w:type="dxa"/>
          </w:tblCellMar>
        </w:tblPrEx>
        <w:trPr>
          <w:trHeight w:val="493" w:hRule="atLeast"/>
          <w:jc w:val="center"/>
        </w:trPr>
        <w:tc>
          <w:tcPr>
            <w:tcW w:w="3865"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主管部门及代码</w:t>
            </w:r>
          </w:p>
        </w:tc>
        <w:tc>
          <w:tcPr>
            <w:tcW w:w="4359"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南苑乡人民政府177000</w:t>
            </w:r>
          </w:p>
        </w:tc>
        <w:tc>
          <w:tcPr>
            <w:tcW w:w="6981"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480" w:firstLineChars="200"/>
              <w:jc w:val="center"/>
              <w:rPr>
                <w:rFonts w:ascii="宋体" w:hAnsi="宋体" w:cs="宋体"/>
                <w:color w:val="000000"/>
                <w:kern w:val="0"/>
                <w:sz w:val="24"/>
              </w:rPr>
            </w:pPr>
            <w:r>
              <w:rPr>
                <w:rFonts w:hint="eastAsia" w:ascii="宋体" w:hAnsi="宋体" w:cs="宋体"/>
                <w:color w:val="000000"/>
                <w:kern w:val="0"/>
                <w:sz w:val="24"/>
              </w:rPr>
              <w:t>实施单位:</w:t>
            </w:r>
            <w:r>
              <w:rPr>
                <w:rFonts w:hint="eastAsia"/>
              </w:rPr>
              <w:t xml:space="preserve"> </w:t>
            </w:r>
            <w:r>
              <w:rPr>
                <w:rFonts w:hint="eastAsia" w:ascii="宋体" w:hAnsi="宋体" w:cs="宋体"/>
                <w:color w:val="000000"/>
                <w:kern w:val="0"/>
                <w:sz w:val="24"/>
              </w:rPr>
              <w:t>环境办</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项目资金（万元）</w:t>
            </w: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2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年初预算数（A）</w:t>
            </w:r>
          </w:p>
        </w:tc>
        <w:tc>
          <w:tcPr>
            <w:tcW w:w="11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全年执行数（B）</w:t>
            </w:r>
          </w:p>
        </w:tc>
        <w:tc>
          <w:tcPr>
            <w:tcW w:w="13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分值</w:t>
            </w:r>
          </w:p>
          <w:p>
            <w:pPr>
              <w:widowControl/>
              <w:jc w:val="center"/>
              <w:rPr>
                <w:rFonts w:ascii="宋体" w:hAnsi="宋体" w:cs="宋体"/>
                <w:b/>
                <w:color w:val="000000"/>
                <w:kern w:val="0"/>
                <w:sz w:val="24"/>
              </w:rPr>
            </w:pPr>
            <w:r>
              <w:rPr>
                <w:rFonts w:hint="eastAsia" w:ascii="宋体" w:hAnsi="宋体" w:cs="宋体"/>
                <w:b/>
                <w:color w:val="000000"/>
                <w:kern w:val="0"/>
                <w:sz w:val="24"/>
              </w:rPr>
              <w:t>（10分）</w:t>
            </w:r>
          </w:p>
        </w:tc>
        <w:tc>
          <w:tcPr>
            <w:tcW w:w="14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执行率（B/A)</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得分</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r>
      <w:tr>
        <w:tblPrEx>
          <w:tblCellMar>
            <w:top w:w="0" w:type="dxa"/>
            <w:left w:w="108" w:type="dxa"/>
            <w:bottom w:w="0" w:type="dxa"/>
            <w:right w:w="108" w:type="dxa"/>
          </w:tblCellMar>
        </w:tblPrEx>
        <w:trPr>
          <w:trHeight w:val="53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年度资金总额：</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1002.89</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999.91</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99</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9.9</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执行率*该指标分值，最高不得超过分值上限。</w:t>
            </w:r>
          </w:p>
        </w:tc>
      </w:tr>
      <w:tr>
        <w:trPr>
          <w:trHeight w:val="54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其中：财政拨款</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1002.89</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999.91</w:t>
            </w:r>
          </w:p>
        </w:tc>
        <w:tc>
          <w:tcPr>
            <w:tcW w:w="13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10</w:t>
            </w:r>
          </w:p>
        </w:tc>
        <w:tc>
          <w:tcPr>
            <w:tcW w:w="1455"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99</w:t>
            </w:r>
            <w:r>
              <w:rPr>
                <w:rFonts w:ascii="宋体" w:hAnsi="宋体"/>
                <w:sz w:val="24"/>
              </w:rPr>
              <w:t>%</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宋体" w:hAnsi="宋体"/>
                <w:sz w:val="24"/>
              </w:rPr>
            </w:pPr>
            <w:r>
              <w:rPr>
                <w:rFonts w:hint="eastAsia" w:ascii="宋体" w:hAnsi="宋体"/>
                <w:sz w:val="24"/>
              </w:rPr>
              <w:t>9.9</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565"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4"/>
              </w:rPr>
            </w:pPr>
          </w:p>
        </w:tc>
        <w:tc>
          <w:tcPr>
            <w:tcW w:w="2126" w:type="dxa"/>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23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19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3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4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r>
      <w:tr>
        <w:trPr>
          <w:trHeight w:val="1981" w:hRule="atLeast"/>
          <w:jc w:val="center"/>
        </w:trPr>
        <w:tc>
          <w:tcPr>
            <w:tcW w:w="89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年度总体目标</w:t>
            </w:r>
          </w:p>
        </w:tc>
        <w:tc>
          <w:tcPr>
            <w:tcW w:w="7331"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left"/>
            </w:pPr>
            <w:r>
              <w:rPr>
                <w:rFonts w:hint="eastAsia" w:ascii="宋体" w:hAnsi="宋体" w:cs="宋体"/>
                <w:color w:val="000000"/>
                <w:kern w:val="0"/>
                <w:sz w:val="24"/>
              </w:rPr>
              <w:t>年初设定目标:</w:t>
            </w:r>
            <w:r>
              <w:rPr>
                <w:rFonts w:hint="eastAsia"/>
              </w:rPr>
              <w:t xml:space="preserve"> </w:t>
            </w:r>
          </w:p>
          <w:p>
            <w:pPr>
              <w:widowControl/>
              <w:jc w:val="left"/>
              <w:rPr>
                <w:rFonts w:ascii="宋体" w:hAnsi="宋体" w:cs="宋体"/>
                <w:color w:val="000000"/>
                <w:kern w:val="0"/>
                <w:sz w:val="24"/>
              </w:rPr>
            </w:pPr>
            <w:r>
              <w:rPr>
                <w:rFonts w:hint="eastAsia" w:ascii="宋体" w:hAnsi="宋体" w:cs="宋体"/>
                <w:color w:val="000000"/>
                <w:kern w:val="0"/>
                <w:sz w:val="24"/>
              </w:rPr>
              <w:t>对区城管执法局核定的违法建设面积进行拆除，并进行垃圾清运及环境平整提升。</w:t>
            </w:r>
          </w:p>
        </w:tc>
        <w:tc>
          <w:tcPr>
            <w:tcW w:w="6981" w:type="dxa"/>
            <w:gridSpan w:val="5"/>
            <w:tcBorders>
              <w:top w:val="single" w:color="auto" w:sz="4" w:space="0"/>
              <w:left w:val="nil"/>
              <w:bottom w:val="single" w:color="auto" w:sz="4" w:space="0"/>
              <w:right w:val="single" w:color="000000" w:sz="4" w:space="0"/>
            </w:tcBorders>
            <w:shd w:val="clear" w:color="auto" w:fill="auto"/>
            <w:vAlign w:val="center"/>
          </w:tcPr>
          <w:p>
            <w:pPr>
              <w:widowControl/>
              <w:rPr>
                <w:rFonts w:cs="宋体" w:asciiTheme="minorEastAsia" w:hAnsiTheme="minorEastAsia"/>
                <w:color w:val="000000"/>
                <w:kern w:val="0"/>
                <w:sz w:val="24"/>
              </w:rPr>
            </w:pPr>
            <w:r>
              <w:rPr>
                <w:rFonts w:hint="eastAsia" w:cs="宋体" w:asciiTheme="minorEastAsia" w:hAnsiTheme="minorEastAsia"/>
                <w:color w:val="000000"/>
                <w:kern w:val="0"/>
                <w:sz w:val="24"/>
              </w:rPr>
              <w:t>年度总体目标完成情况综述：</w:t>
            </w:r>
          </w:p>
          <w:p>
            <w:pPr>
              <w:widowControl/>
              <w:rPr>
                <w:rFonts w:cs="宋体" w:asciiTheme="minorEastAsia" w:hAnsiTheme="minorEastAsia"/>
                <w:color w:val="000000"/>
                <w:kern w:val="0"/>
                <w:sz w:val="24"/>
              </w:rPr>
            </w:pPr>
            <w:r>
              <w:rPr>
                <w:rFonts w:hint="eastAsia" w:cs="宋体" w:asciiTheme="minorEastAsia" w:hAnsiTheme="minorEastAsia"/>
                <w:color w:val="000000"/>
                <w:kern w:val="0"/>
                <w:sz w:val="24"/>
              </w:rPr>
              <w:t>按照拆除面积下拨大红门村、东罗园村、新宫村、槐房村、西铁营村、金城源、中苑盛世等7家单位拆违控违资金，并对东罗园拆违区域进行环境整治及提升，巩固疏整促成果</w:t>
            </w:r>
          </w:p>
        </w:tc>
      </w:tr>
      <w:tr>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绩效指标</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一级指标</w:t>
            </w:r>
          </w:p>
        </w:tc>
        <w:tc>
          <w:tcPr>
            <w:tcW w:w="159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二级指标</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三级指标</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分值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年度指标值(A)</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全年实际值(B)</w:t>
            </w:r>
          </w:p>
        </w:tc>
        <w:tc>
          <w:tcPr>
            <w:tcW w:w="28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得分计算方法</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得分</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未完成</w:t>
            </w:r>
          </w:p>
          <w:p>
            <w:pPr>
              <w:widowControl/>
              <w:jc w:val="center"/>
              <w:rPr>
                <w:rFonts w:ascii="宋体" w:hAnsi="宋体" w:cs="宋体"/>
                <w:color w:val="000000"/>
                <w:kern w:val="0"/>
                <w:sz w:val="24"/>
              </w:rPr>
            </w:pPr>
            <w:r>
              <w:rPr>
                <w:rFonts w:hint="eastAsia" w:ascii="宋体" w:hAnsi="宋体" w:cs="宋体"/>
                <w:color w:val="000000"/>
                <w:kern w:val="0"/>
                <w:sz w:val="24"/>
              </w:rPr>
              <w:t>原因分析</w:t>
            </w: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产</w:t>
            </w:r>
          </w:p>
          <w:p>
            <w:pPr>
              <w:widowControl/>
              <w:jc w:val="center"/>
              <w:rPr>
                <w:rFonts w:ascii="宋体" w:hAnsi="宋体" w:cs="宋体"/>
                <w:kern w:val="0"/>
                <w:sz w:val="24"/>
              </w:rPr>
            </w:pPr>
            <w:r>
              <w:rPr>
                <w:rFonts w:hint="eastAsia" w:ascii="宋体" w:hAnsi="宋体" w:cs="宋体"/>
                <w:kern w:val="0"/>
                <w:sz w:val="24"/>
              </w:rPr>
              <w:t>出</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0分)</w:t>
            </w: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数量指标</w:t>
            </w:r>
          </w:p>
          <w:p>
            <w:pPr>
              <w:widowControl/>
              <w:jc w:val="center"/>
              <w:rPr>
                <w:rFonts w:ascii="宋体" w:hAnsi="宋体" w:cs="宋体"/>
                <w:kern w:val="0"/>
                <w:sz w:val="24"/>
              </w:rPr>
            </w:pPr>
            <w:r>
              <w:rPr>
                <w:rFonts w:hint="eastAsia" w:ascii="宋体" w:hAnsi="宋体" w:cs="宋体"/>
                <w:kern w:val="0"/>
                <w:sz w:val="24"/>
              </w:rPr>
              <w:t>（20分）</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cs="宋体" w:asciiTheme="minorEastAsia" w:hAnsiTheme="minorEastAsia"/>
                <w:color w:val="000000"/>
                <w:kern w:val="0"/>
                <w:sz w:val="24"/>
              </w:rPr>
              <w:t>下拨大红门村、东罗园村、新宫村、槐房村、西铁营村、金城源、中苑盛世等7家单位拆违控违资金</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r>
              <w:rPr>
                <w:rFonts w:hint="eastAsia" w:ascii="宋体" w:hAnsi="宋体"/>
                <w:sz w:val="24"/>
              </w:rPr>
              <w:t xml:space="preserve"> </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7家</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7家</w:t>
            </w:r>
          </w:p>
        </w:tc>
        <w:tc>
          <w:tcPr>
            <w:tcW w:w="2806"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完成值达到指标值，记满分；未达到指标值，按B/A或A/B*该指标分值记分。</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asciiTheme="minorEastAsia" w:hAnsiTheme="minorEastAsia"/>
                <w:sz w:val="24"/>
              </w:rPr>
              <w:t>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东罗园村拆违区域环境提升工程费、监理费、设计费、评审费</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15</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1家</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1家</w:t>
            </w:r>
          </w:p>
        </w:tc>
        <w:tc>
          <w:tcPr>
            <w:tcW w:w="2806" w:type="dxa"/>
            <w:gridSpan w:val="2"/>
            <w:vMerge w:val="continue"/>
            <w:tcBorders>
              <w:left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1</w:t>
            </w:r>
            <w:r>
              <w:rPr>
                <w:rFonts w:asciiTheme="minorEastAsia" w:hAnsiTheme="minorEastAsia"/>
                <w:sz w:val="24"/>
              </w:rPr>
              <w:t>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rPr>
          <w:trHeight w:val="75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质量指标</w:t>
            </w:r>
          </w:p>
          <w:p>
            <w:pPr>
              <w:widowControl/>
              <w:jc w:val="center"/>
              <w:rPr>
                <w:rFonts w:ascii="宋体" w:hAnsi="宋体" w:cs="宋体"/>
                <w:kern w:val="0"/>
                <w:sz w:val="24"/>
              </w:rPr>
            </w:pPr>
            <w:r>
              <w:rPr>
                <w:rFonts w:hint="eastAsia" w:ascii="宋体" w:hAnsi="宋体" w:cs="宋体"/>
                <w:kern w:val="0"/>
                <w:sz w:val="24"/>
              </w:rPr>
              <w:t>（10分）</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资金按面积配比发放100%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 w:val="22"/>
                <w:szCs w:val="22"/>
              </w:rPr>
              <w:br w:type="page"/>
            </w:r>
            <w:r>
              <w:rPr>
                <w:rFonts w:hint="eastAsia" w:ascii="宋体" w:hAnsi="宋体" w:cs="宋体"/>
                <w:color w:val="000000"/>
                <w:kern w:val="0"/>
                <w:sz w:val="22"/>
                <w:szCs w:val="22"/>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8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东罗园村环境提升达标100%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100%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100%</w:t>
            </w:r>
          </w:p>
        </w:tc>
        <w:tc>
          <w:tcPr>
            <w:tcW w:w="280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722"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进度指标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支出时间</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次年4月底</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次年4月底</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r>
              <w:rPr>
                <w:rFonts w:hint="eastAsia" w:ascii="宋体" w:hAnsi="宋体" w:cs="宋体"/>
                <w:color w:val="000000"/>
                <w:kern w:val="0"/>
                <w:sz w:val="24"/>
              </w:rPr>
              <w:t>10</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49"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项目预算控制数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10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1002.89</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999.91</w:t>
            </w:r>
          </w:p>
        </w:tc>
        <w:tc>
          <w:tcPr>
            <w:tcW w:w="2806"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9.9</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right="-122" w:rightChars="-58"/>
              <w:jc w:val="center"/>
              <w:rPr>
                <w:rFonts w:ascii="宋体" w:hAnsi="宋体" w:cs="宋体"/>
                <w:color w:val="000000"/>
                <w:kern w:val="0"/>
                <w:sz w:val="24"/>
              </w:rPr>
            </w:pPr>
          </w:p>
        </w:tc>
      </w:tr>
      <w:tr>
        <w:tblPrEx>
          <w:tblCellMar>
            <w:top w:w="0" w:type="dxa"/>
            <w:left w:w="108" w:type="dxa"/>
            <w:bottom w:w="0" w:type="dxa"/>
            <w:right w:w="108" w:type="dxa"/>
          </w:tblCellMar>
        </w:tblPrEx>
        <w:trPr>
          <w:trHeight w:val="2688"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w:t>
            </w:r>
          </w:p>
          <w:p>
            <w:pPr>
              <w:widowControl/>
              <w:jc w:val="center"/>
              <w:rPr>
                <w:rFonts w:ascii="宋体" w:hAnsi="宋体" w:cs="宋体"/>
                <w:kern w:val="0"/>
                <w:sz w:val="24"/>
              </w:rPr>
            </w:pPr>
            <w:r>
              <w:rPr>
                <w:rFonts w:hint="eastAsia" w:ascii="宋体" w:hAnsi="宋体" w:cs="宋体"/>
                <w:kern w:val="0"/>
                <w:sz w:val="24"/>
              </w:rPr>
              <w:t>果</w:t>
            </w:r>
          </w:p>
          <w:p>
            <w:pPr>
              <w:widowControl/>
              <w:jc w:val="center"/>
              <w:rPr>
                <w:rFonts w:ascii="宋体" w:hAnsi="宋体" w:cs="宋体"/>
                <w:kern w:val="0"/>
                <w:sz w:val="24"/>
              </w:rPr>
            </w:pPr>
            <w:r>
              <w:rPr>
                <w:rFonts w:hint="eastAsia" w:ascii="宋体" w:hAnsi="宋体" w:cs="宋体"/>
                <w:kern w:val="0"/>
                <w:sz w:val="24"/>
              </w:rPr>
              <w:t>指</w:t>
            </w:r>
          </w:p>
          <w:p>
            <w:pPr>
              <w:widowControl/>
              <w:jc w:val="center"/>
              <w:rPr>
                <w:rFonts w:ascii="宋体" w:hAnsi="宋体" w:cs="宋体"/>
                <w:kern w:val="0"/>
                <w:sz w:val="24"/>
              </w:rPr>
            </w:pPr>
            <w:r>
              <w:rPr>
                <w:rFonts w:hint="eastAsia" w:ascii="宋体" w:hAnsi="宋体" w:cs="宋体"/>
                <w:kern w:val="0"/>
                <w:sz w:val="24"/>
              </w:rPr>
              <w:t>标</w:t>
            </w:r>
          </w:p>
          <w:p>
            <w:pPr>
              <w:widowControl/>
              <w:jc w:val="center"/>
              <w:rPr>
                <w:rFonts w:ascii="宋体" w:hAnsi="宋体" w:cs="宋体"/>
                <w:kern w:val="0"/>
                <w:sz w:val="24"/>
              </w:rPr>
            </w:pPr>
            <w:r>
              <w:rPr>
                <w:rFonts w:hint="eastAsia" w:ascii="宋体" w:hAnsi="宋体" w:cs="宋体"/>
                <w:kern w:val="0"/>
                <w:sz w:val="24"/>
              </w:rPr>
              <w:t>(40分)</w:t>
            </w:r>
          </w:p>
        </w:tc>
        <w:tc>
          <w:tcPr>
            <w:tcW w:w="1597"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效益</w:t>
            </w:r>
          </w:p>
          <w:p>
            <w:pPr>
              <w:widowControl/>
              <w:jc w:val="center"/>
              <w:rPr>
                <w:rFonts w:ascii="宋体" w:hAnsi="宋体" w:cs="宋体"/>
                <w:kern w:val="0"/>
                <w:sz w:val="24"/>
              </w:rPr>
            </w:pPr>
            <w:r>
              <w:rPr>
                <w:rFonts w:hint="eastAsia" w:ascii="宋体" w:hAnsi="宋体" w:cs="宋体"/>
                <w:kern w:val="0"/>
                <w:sz w:val="24"/>
              </w:rPr>
              <w:t>指标</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sz w:val="24"/>
              </w:rPr>
            </w:pPr>
            <w:r>
              <w:rPr>
                <w:rFonts w:hint="eastAsia" w:asciiTheme="minorEastAsia" w:hAnsiTheme="minorEastAsia"/>
                <w:sz w:val="24"/>
              </w:rPr>
              <w:t>打击违法建设，提升环境质量，巩固疏整促成果</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asciiTheme="minorEastAsia" w:hAnsiTheme="minorEastAsia"/>
                <w:sz w:val="24"/>
              </w:rPr>
              <w:t>20</w:t>
            </w:r>
          </w:p>
        </w:tc>
        <w:tc>
          <w:tcPr>
            <w:tcW w:w="1382" w:type="dxa"/>
            <w:tcBorders>
              <w:top w:val="single" w:color="auto" w:sz="4" w:space="0"/>
              <w:left w:val="nil"/>
              <w:bottom w:val="single" w:color="auto" w:sz="4" w:space="0"/>
              <w:right w:val="single" w:color="auto" w:sz="4" w:space="0"/>
            </w:tcBorders>
            <w:shd w:val="clear" w:color="auto" w:fill="auto"/>
            <w:noWrap/>
            <w:vAlign w:val="center"/>
          </w:tcPr>
          <w:p>
            <w:pPr>
              <w:jc w:val="center"/>
              <w:rPr>
                <w:rFonts w:cs="宋体" w:asciiTheme="minorEastAsia" w:hAnsiTheme="minorEastAsia"/>
                <w:sz w:val="24"/>
              </w:rPr>
            </w:pPr>
            <w:r>
              <w:rPr>
                <w:rFonts w:hint="eastAsia" w:asciiTheme="minorEastAsia" w:hAnsiTheme="minorEastAsia"/>
                <w:sz w:val="24"/>
              </w:rPr>
              <w:t>打击违法建设，提升环境质量，巩固疏整促成果</w:t>
            </w:r>
          </w:p>
        </w:tc>
        <w:tc>
          <w:tcPr>
            <w:tcW w:w="1198"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Theme="minorEastAsia" w:hAnsiTheme="minorEastAsia"/>
                <w:sz w:val="24"/>
              </w:rPr>
            </w:pPr>
            <w:r>
              <w:rPr>
                <w:rFonts w:hint="eastAsia" w:asciiTheme="minorEastAsia" w:hAnsiTheme="minorEastAsia"/>
                <w:sz w:val="24"/>
              </w:rPr>
              <w:t>达到预期目标</w:t>
            </w:r>
          </w:p>
        </w:tc>
        <w:tc>
          <w:tcPr>
            <w:tcW w:w="2806" w:type="dxa"/>
            <w:gridSpan w:val="2"/>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1.若为定性指标，则根据“四档”原则分别按照指标分值的100-90%(含90%)、90-75%(含75%)、75-60%（含60%）、60-0%来记分。</w:t>
            </w:r>
          </w:p>
          <w:p>
            <w:pPr>
              <w:widowControl/>
              <w:jc w:val="left"/>
              <w:rPr>
                <w:rFonts w:ascii="宋体" w:hAnsi="宋体" w:cs="宋体"/>
                <w:color w:val="000000"/>
                <w:kern w:val="0"/>
                <w:sz w:val="24"/>
              </w:rPr>
            </w:pPr>
            <w:r>
              <w:rPr>
                <w:rFonts w:hint="eastAsia" w:ascii="宋体" w:hAnsi="宋体" w:cs="宋体"/>
                <w:color w:val="000000"/>
                <w:kern w:val="0"/>
                <w:szCs w:val="21"/>
              </w:rPr>
              <w:t>2.若为定量指标，完成值达到指标值，记满分；未达到指标值，按B/A或A/B*该指标分值记分。</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数量指标、质量指标不细化</w:t>
            </w:r>
          </w:p>
        </w:tc>
      </w:tr>
      <w:tr>
        <w:tblPrEx>
          <w:tblCellMar>
            <w:top w:w="0" w:type="dxa"/>
            <w:left w:w="108" w:type="dxa"/>
            <w:bottom w:w="0" w:type="dxa"/>
            <w:right w:w="108" w:type="dxa"/>
          </w:tblCellMar>
        </w:tblPrEx>
        <w:trPr>
          <w:trHeight w:val="1203"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5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服务对象</w:t>
            </w:r>
          </w:p>
          <w:p>
            <w:pPr>
              <w:widowControl/>
              <w:jc w:val="center"/>
              <w:rPr>
                <w:rFonts w:ascii="宋体" w:hAnsi="宋体" w:cs="宋体"/>
                <w:kern w:val="0"/>
                <w:sz w:val="24"/>
              </w:rPr>
            </w:pPr>
            <w:r>
              <w:rPr>
                <w:rFonts w:hint="eastAsia" w:ascii="宋体" w:hAnsi="宋体" w:cs="宋体"/>
                <w:kern w:val="0"/>
                <w:sz w:val="24"/>
              </w:rPr>
              <w:t>满意度指标</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sz w:val="24"/>
              </w:rPr>
            </w:pPr>
            <w:r>
              <w:rPr>
                <w:rFonts w:hint="eastAsia" w:ascii="宋体" w:hAnsi="宋体"/>
                <w:sz w:val="24"/>
              </w:rPr>
              <w:t>得到拆违单位好评</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ascii="宋体" w:hAnsi="宋体"/>
                <w:sz w:val="24"/>
              </w:rPr>
              <w:t>20</w:t>
            </w:r>
          </w:p>
        </w:tc>
        <w:tc>
          <w:tcPr>
            <w:tcW w:w="1382"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4"/>
              </w:rPr>
            </w:pPr>
            <w:r>
              <w:rPr>
                <w:rFonts w:hint="eastAsia" w:ascii="宋体" w:hAnsi="宋体"/>
                <w:sz w:val="24"/>
              </w:rPr>
              <w:t>组织管理及培训质量得到学员好评</w:t>
            </w:r>
          </w:p>
        </w:tc>
        <w:tc>
          <w:tcPr>
            <w:tcW w:w="119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24"/>
              </w:rPr>
            </w:pPr>
            <w:r>
              <w:rPr>
                <w:rFonts w:hint="eastAsia" w:ascii="宋体" w:hAnsi="宋体"/>
                <w:sz w:val="24"/>
              </w:rPr>
              <w:t>好评率达98%</w:t>
            </w:r>
          </w:p>
        </w:tc>
        <w:tc>
          <w:tcPr>
            <w:tcW w:w="2806" w:type="dxa"/>
            <w:gridSpan w:val="2"/>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同效益指标得分计算方式。</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居民好评度未体现</w:t>
            </w:r>
          </w:p>
        </w:tc>
      </w:tr>
      <w:tr>
        <w:tblPrEx>
          <w:tblCellMar>
            <w:top w:w="0" w:type="dxa"/>
            <w:left w:w="108" w:type="dxa"/>
            <w:bottom w:w="0" w:type="dxa"/>
            <w:right w:w="108" w:type="dxa"/>
          </w:tblCellMar>
        </w:tblPrEx>
        <w:trPr>
          <w:trHeight w:val="433" w:hRule="atLeast"/>
          <w:jc w:val="center"/>
        </w:trPr>
        <w:tc>
          <w:tcPr>
            <w:tcW w:w="1222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29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89.8</w:t>
            </w:r>
          </w:p>
        </w:tc>
      </w:tr>
    </w:tbl>
    <w:p>
      <w:pPr>
        <w:pStyle w:val="2"/>
      </w:pPr>
    </w:p>
    <w:p>
      <w:pPr>
        <w:pStyle w:val="2"/>
        <w:sectPr>
          <w:pgSz w:w="16838" w:h="11906" w:orient="landscape"/>
          <w:pgMar w:top="986" w:right="1349" w:bottom="703" w:left="1236" w:header="851" w:footer="992" w:gutter="0"/>
          <w:cols w:space="720" w:num="1"/>
          <w:docGrid w:type="lines" w:linePitch="312" w:charSpace="0"/>
        </w:sectPr>
      </w:pPr>
    </w:p>
    <w:p>
      <w:pPr>
        <w:spacing w:line="800" w:lineRule="exact"/>
        <w:jc w:val="center"/>
        <w:rPr>
          <w:rFonts w:ascii="华文中宋" w:hAnsi="华文中宋" w:eastAsia="华文中宋" w:cs="华文中宋"/>
          <w:b/>
          <w:bCs/>
          <w:sz w:val="52"/>
          <w:szCs w:val="52"/>
        </w:rPr>
      </w:pPr>
      <w:r>
        <w:rPr>
          <w:rFonts w:hint="eastAsia" w:ascii="华文中宋" w:hAnsi="华文中宋" w:eastAsia="华文中宋" w:cs="华文中宋"/>
          <w:b/>
          <w:bCs/>
          <w:sz w:val="52"/>
          <w:szCs w:val="52"/>
        </w:rPr>
        <w:t>丰台区财政支出项目</w:t>
      </w:r>
    </w:p>
    <w:p>
      <w:pPr>
        <w:spacing w:line="800" w:lineRule="exact"/>
        <w:jc w:val="center"/>
        <w:rPr>
          <w:rFonts w:ascii="华文中宋" w:hAnsi="华文中宋" w:eastAsia="华文中宋" w:cs="华文中宋"/>
          <w:b/>
          <w:bCs/>
          <w:sz w:val="52"/>
          <w:szCs w:val="52"/>
        </w:rPr>
      </w:pPr>
      <w:r>
        <w:rPr>
          <w:rFonts w:hint="eastAsia" w:ascii="华文中宋" w:hAnsi="华文中宋" w:eastAsia="华文中宋" w:cs="华文中宋"/>
          <w:b/>
          <w:bCs/>
          <w:sz w:val="52"/>
          <w:szCs w:val="52"/>
        </w:rPr>
        <w:t>绩效评价报告</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ind w:firstLine="627" w:firstLineChars="196"/>
        <w:rPr>
          <w:rFonts w:ascii="仿宋_GB2312" w:hAnsi="仿宋_GB2312" w:eastAsia="仿宋_GB2312" w:cs="仿宋_GB2312"/>
          <w:sz w:val="32"/>
          <w:szCs w:val="32"/>
        </w:rPr>
      </w:pPr>
    </w:p>
    <w:p>
      <w:pPr>
        <w:spacing w:line="560" w:lineRule="exact"/>
        <w:ind w:firstLine="627" w:firstLineChars="196"/>
        <w:rPr>
          <w:rFonts w:ascii="仿宋_GB2312" w:hAnsi="仿宋_GB2312" w:eastAsia="仿宋_GB2312" w:cs="仿宋_GB2312"/>
          <w:sz w:val="32"/>
          <w:szCs w:val="32"/>
        </w:rPr>
      </w:pPr>
    </w:p>
    <w:p>
      <w:pPr>
        <w:spacing w:line="560" w:lineRule="exact"/>
        <w:ind w:firstLine="627" w:firstLineChars="196"/>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u w:val="single"/>
        </w:rPr>
        <w:t xml:space="preserve">       北京市丰台区南苑乡人民政府     </w:t>
      </w:r>
    </w:p>
    <w:p>
      <w:pPr>
        <w:spacing w:line="560" w:lineRule="exact"/>
        <w:ind w:firstLine="627" w:firstLineChars="196"/>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项目单位</w:t>
      </w:r>
      <w:r>
        <w:rPr>
          <w:rFonts w:hint="eastAsia" w:ascii="仿宋_GB2312" w:hAnsi="仿宋_GB2312" w:eastAsia="仿宋_GB2312" w:cs="仿宋_GB2312"/>
          <w:sz w:val="32"/>
          <w:szCs w:val="32"/>
          <w:u w:val="single"/>
        </w:rPr>
        <w:t xml:space="preserve">       北京市丰台区南苑乡人民政府     </w:t>
      </w:r>
    </w:p>
    <w:p>
      <w:pPr>
        <w:spacing w:line="560" w:lineRule="exact"/>
        <w:ind w:firstLine="627" w:firstLineChars="196"/>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u w:val="single"/>
        </w:rPr>
        <w:t xml:space="preserve"> 2019年平原造林地块土地复垦一次性补助 </w:t>
      </w:r>
    </w:p>
    <w:p>
      <w:pPr>
        <w:spacing w:line="56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评价单位</w:t>
      </w:r>
      <w:r>
        <w:rPr>
          <w:rFonts w:hint="eastAsia" w:ascii="仿宋_GB2312" w:hAnsi="仿宋_GB2312" w:eastAsia="仿宋_GB2312" w:cs="仿宋_GB2312"/>
          <w:sz w:val="32"/>
          <w:szCs w:val="32"/>
          <w:u w:val="single"/>
        </w:rPr>
        <w:t xml:space="preserve">       北京市丰台区南苑乡人民政府     </w:t>
      </w:r>
    </w:p>
    <w:p>
      <w:pPr>
        <w:spacing w:line="560" w:lineRule="exact"/>
        <w:ind w:firstLine="937" w:firstLineChars="293"/>
        <w:jc w:val="left"/>
        <w:rPr>
          <w:rFonts w:ascii="仿宋_GB2312" w:hAnsi="仿宋_GB2312" w:eastAsia="仿宋_GB2312" w:cs="仿宋_GB2312"/>
          <w:sz w:val="32"/>
          <w:szCs w:val="32"/>
        </w:rPr>
      </w:pPr>
    </w:p>
    <w:p>
      <w:pPr>
        <w:spacing w:line="560" w:lineRule="exact"/>
        <w:ind w:firstLine="1600" w:firstLineChars="500"/>
        <w:rPr>
          <w:rFonts w:ascii="仿宋_GB2312" w:hAnsi="仿宋_GB2312" w:eastAsia="仿宋_GB2312" w:cs="仿宋_GB2312"/>
          <w:sz w:val="32"/>
          <w:szCs w:val="32"/>
          <w:u w:val="single"/>
        </w:rPr>
      </w:pPr>
    </w:p>
    <w:p>
      <w:pPr>
        <w:spacing w:line="560" w:lineRule="exact"/>
        <w:rPr>
          <w:rFonts w:ascii="仿宋_GB2312" w:hAnsi="仿宋_GB2312" w:eastAsia="仿宋_GB2312" w:cs="仿宋_GB2312"/>
          <w:sz w:val="32"/>
          <w:szCs w:val="32"/>
          <w:u w:val="single"/>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丰台区财政局</w:t>
      </w:r>
    </w:p>
    <w:p>
      <w:pPr>
        <w:spacing w:line="560" w:lineRule="exact"/>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二〇二〇年六月</w:t>
      </w:r>
    </w:p>
    <w:p>
      <w:pPr>
        <w:rPr>
          <w:rFonts w:ascii="仿宋_GB2312" w:hAnsi="仿宋_GB2312" w:eastAsia="仿宋_GB2312" w:cs="仿宋_GB2312"/>
          <w:b/>
          <w:sz w:val="32"/>
          <w:szCs w:val="32"/>
        </w:rPr>
      </w:pPr>
      <w:r>
        <w:rPr>
          <w:rFonts w:hint="eastAsia" w:ascii="仿宋_GB2312" w:hAnsi="仿宋_GB2312" w:eastAsia="仿宋_GB2312" w:cs="仿宋_GB2312"/>
          <w:bCs/>
          <w:sz w:val="32"/>
          <w:szCs w:val="32"/>
        </w:rPr>
        <w:br w:type="page"/>
      </w:r>
      <w:r>
        <w:rPr>
          <w:rFonts w:hint="eastAsia" w:ascii="仿宋_GB2312" w:hAnsi="仿宋_GB2312" w:eastAsia="仿宋_GB2312" w:cs="仿宋_GB2312"/>
          <w:b/>
          <w:sz w:val="32"/>
          <w:szCs w:val="32"/>
        </w:rPr>
        <w:t xml:space="preserve"> 1#地块 公益东桥东侧土地复垦前后对比照片</w:t>
      </w:r>
    </w:p>
    <w:p>
      <w:pPr>
        <w:rPr>
          <w:rFonts w:ascii="仿宋_GB2312" w:hAnsi="仿宋_GB2312" w:cs="仿宋_GB2312"/>
          <w:b/>
          <w:sz w:val="32"/>
          <w:szCs w:val="32"/>
        </w:rPr>
      </w:pPr>
      <w:r>
        <w:drawing>
          <wp:inline distT="0" distB="0" distL="114300" distR="114300">
            <wp:extent cx="2749550" cy="2062480"/>
            <wp:effectExtent l="0" t="0" r="12700" b="13970"/>
            <wp:docPr id="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
                    <pic:cNvPicPr>
                      <a:picLocks noChangeAspect="1"/>
                    </pic:cNvPicPr>
                  </pic:nvPicPr>
                  <pic:blipFill>
                    <a:blip r:embed="rId9"/>
                    <a:stretch>
                      <a:fillRect/>
                    </a:stretch>
                  </pic:blipFill>
                  <pic:spPr>
                    <a:xfrm>
                      <a:off x="0" y="0"/>
                      <a:ext cx="2749550" cy="2062480"/>
                    </a:xfrm>
                    <a:prstGeom prst="rect">
                      <a:avLst/>
                    </a:prstGeom>
                    <a:noFill/>
                    <a:ln>
                      <a:noFill/>
                    </a:ln>
                  </pic:spPr>
                </pic:pic>
              </a:graphicData>
            </a:graphic>
          </wp:inline>
        </w:drawing>
      </w:r>
      <w:r>
        <w:rPr>
          <w:rFonts w:hint="eastAsia"/>
        </w:rPr>
        <w:t xml:space="preserve"> </w:t>
      </w:r>
      <w:r>
        <w:drawing>
          <wp:inline distT="0" distB="0" distL="114300" distR="114300">
            <wp:extent cx="2772410" cy="2078990"/>
            <wp:effectExtent l="0" t="0" r="8890" b="16510"/>
            <wp:docPr id="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
                    <pic:cNvPicPr>
                      <a:picLocks noChangeAspect="1"/>
                    </pic:cNvPicPr>
                  </pic:nvPicPr>
                  <pic:blipFill>
                    <a:blip r:embed="rId10"/>
                    <a:stretch>
                      <a:fillRect/>
                    </a:stretch>
                  </pic:blipFill>
                  <pic:spPr>
                    <a:xfrm>
                      <a:off x="0" y="0"/>
                      <a:ext cx="2772410" cy="2078990"/>
                    </a:xfrm>
                    <a:prstGeom prst="rect">
                      <a:avLst/>
                    </a:prstGeom>
                    <a:noFill/>
                    <a:ln>
                      <a:noFill/>
                    </a:ln>
                  </pic:spPr>
                </pic:pic>
              </a:graphicData>
            </a:graphic>
          </wp:inline>
        </w:drawing>
      </w:r>
    </w:p>
    <w:p>
      <w:pPr>
        <w:ind w:firstLine="1606" w:firstLineChars="500"/>
        <w:rPr>
          <w:rFonts w:ascii="仿宋_GB2312" w:hAnsi="仿宋_GB2312" w:eastAsia="仿宋_GB2312" w:cs="仿宋_GB2312"/>
          <w:b/>
          <w:sz w:val="32"/>
          <w:szCs w:val="32"/>
        </w:rPr>
      </w:pPr>
      <w:r>
        <w:rPr>
          <w:rFonts w:hint="eastAsia" w:ascii="仿宋_GB2312" w:hAnsi="仿宋_GB2312" w:eastAsia="仿宋_GB2312" w:cs="仿宋_GB2312"/>
          <w:b/>
          <w:sz w:val="32"/>
          <w:szCs w:val="32"/>
        </w:rPr>
        <w:t>复垦前                     复垦后</w:t>
      </w:r>
    </w:p>
    <w:p>
      <w:pPr>
        <w:ind w:firstLine="1606" w:firstLineChars="500"/>
        <w:rPr>
          <w:rFonts w:ascii="仿宋_GB2312" w:hAnsi="仿宋_GB2312" w:eastAsia="仿宋_GB2312" w:cs="仿宋_GB2312"/>
          <w:b/>
          <w:sz w:val="32"/>
          <w:szCs w:val="32"/>
        </w:rPr>
      </w:pPr>
    </w:p>
    <w:p>
      <w:pPr>
        <w:ind w:firstLine="1050" w:firstLineChars="500"/>
        <w:rPr>
          <w:rFonts w:ascii="仿宋_GB2312" w:hAnsi="仿宋_GB2312" w:eastAsia="仿宋_GB2312" w:cs="仿宋_GB2312"/>
          <w:b/>
          <w:sz w:val="32"/>
          <w:szCs w:val="32"/>
        </w:rPr>
      </w:pPr>
      <w:r>
        <w:drawing>
          <wp:inline distT="0" distB="0" distL="114300" distR="114300">
            <wp:extent cx="4508500" cy="4835525"/>
            <wp:effectExtent l="0" t="0" r="6350" b="3175"/>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11"/>
                    <a:stretch>
                      <a:fillRect/>
                    </a:stretch>
                  </pic:blipFill>
                  <pic:spPr>
                    <a:xfrm>
                      <a:off x="0" y="0"/>
                      <a:ext cx="4508500" cy="4835525"/>
                    </a:xfrm>
                    <a:prstGeom prst="rect">
                      <a:avLst/>
                    </a:prstGeom>
                    <a:noFill/>
                    <a:ln>
                      <a:noFill/>
                    </a:ln>
                  </pic:spPr>
                </pic:pic>
              </a:graphicData>
            </a:graphic>
          </wp:inline>
        </w:drawing>
      </w:r>
    </w:p>
    <w:p>
      <w:pPr>
        <w:rPr>
          <w:rFonts w:ascii="方正小标宋简体" w:hAnsi="Leelawadee UI" w:eastAsia="方正小标宋简体" w:cs="Leelawadee UI"/>
          <w:bCs/>
          <w:kern w:val="0"/>
          <w:sz w:val="44"/>
          <w:szCs w:val="28"/>
        </w:rPr>
      </w:pPr>
      <w:r>
        <w:rPr>
          <w:rFonts w:hint="eastAsia" w:ascii="仿宋_GB2312" w:hAnsi="仿宋_GB2312" w:eastAsia="仿宋_GB2312" w:cs="仿宋_GB2312"/>
          <w:b/>
          <w:sz w:val="32"/>
          <w:szCs w:val="32"/>
        </w:rPr>
        <w:br w:type="page"/>
      </w:r>
      <w:r>
        <w:rPr>
          <w:rFonts w:hint="eastAsia" w:ascii="方正小标宋简体" w:hAnsi="Leelawadee UI" w:eastAsia="方正小标宋简体" w:cs="Leelawadee UI"/>
          <w:bCs/>
          <w:kern w:val="0"/>
          <w:sz w:val="44"/>
          <w:szCs w:val="28"/>
        </w:rPr>
        <w:t>目   录</w:t>
      </w:r>
    </w:p>
    <w:p>
      <w:pPr>
        <w:pStyle w:val="10"/>
        <w:tabs>
          <w:tab w:val="right" w:leader="dot" w:pos="8306"/>
        </w:tabs>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fldChar w:fldCharType="begin"/>
      </w:r>
      <w:r>
        <w:instrText xml:space="preserve"> HYPERLINK \l "_Toc10350" </w:instrText>
      </w:r>
      <w:r>
        <w:fldChar w:fldCharType="separate"/>
      </w:r>
      <w:r>
        <w:rPr>
          <w:rFonts w:hint="eastAsia" w:ascii="仿宋_GB2312" w:hAnsi="仿宋_GB2312" w:eastAsia="仿宋_GB2312" w:cs="仿宋_GB2312"/>
          <w:b/>
          <w:bCs/>
          <w:sz w:val="32"/>
          <w:szCs w:val="32"/>
        </w:rPr>
        <w:t>一、项目概述</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_Toc10350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"_Toc31733" </w:instrText>
      </w:r>
      <w:r>
        <w:fldChar w:fldCharType="separate"/>
      </w:r>
      <w:r>
        <w:rPr>
          <w:rFonts w:hint="eastAsia" w:ascii="仿宋_GB2312" w:hAnsi="仿宋_GB2312" w:eastAsia="仿宋_GB2312" w:cs="仿宋_GB2312"/>
          <w:sz w:val="32"/>
          <w:szCs w:val="32"/>
        </w:rPr>
        <w:t>（一）项目概况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"_Toc6491" </w:instrText>
      </w:r>
      <w:r>
        <w:fldChar w:fldCharType="separate"/>
      </w:r>
      <w:r>
        <w:rPr>
          <w:rFonts w:hint="eastAsia" w:ascii="仿宋_GB2312" w:hAnsi="仿宋_GB2312" w:eastAsia="仿宋_GB2312" w:cs="仿宋_GB2312"/>
          <w:sz w:val="32"/>
          <w:szCs w:val="32"/>
        </w:rPr>
        <w:t>（二）项目资金情况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_Toc6491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"_Toc27563" </w:instrText>
      </w:r>
      <w:r>
        <w:fldChar w:fldCharType="separate"/>
      </w:r>
      <w:r>
        <w:rPr>
          <w:rFonts w:hint="eastAsia" w:ascii="仿宋_GB2312" w:hAnsi="仿宋_GB2312" w:eastAsia="仿宋_GB2312" w:cs="仿宋_GB2312"/>
          <w:sz w:val="32"/>
          <w:szCs w:val="32"/>
        </w:rPr>
        <w:t>（三）绩效目标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"_Toc24035" </w:instrText>
      </w:r>
      <w:r>
        <w:fldChar w:fldCharType="separate"/>
      </w:r>
      <w:r>
        <w:rPr>
          <w:rFonts w:hint="eastAsia" w:ascii="仿宋_GB2312" w:hAnsi="仿宋_GB2312" w:eastAsia="仿宋_GB2312" w:cs="仿宋_GB2312"/>
          <w:b/>
          <w:bCs/>
          <w:sz w:val="32"/>
          <w:szCs w:val="32"/>
        </w:rPr>
        <w:t>二、评价工作简述</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_Toc24035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"_Toc20914" </w:instrText>
      </w:r>
      <w:r>
        <w:fldChar w:fldCharType="separate"/>
      </w:r>
      <w:r>
        <w:rPr>
          <w:rFonts w:hint="eastAsia" w:ascii="仿宋_GB2312" w:hAnsi="仿宋_GB2312" w:eastAsia="仿宋_GB2312" w:cs="仿宋_GB2312"/>
          <w:sz w:val="32"/>
          <w:szCs w:val="32"/>
        </w:rPr>
        <w:t>（一）基本情况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_Toc20914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"_Toc17684" </w:instrText>
      </w:r>
      <w:r>
        <w:fldChar w:fldCharType="separate"/>
      </w:r>
      <w:r>
        <w:rPr>
          <w:rFonts w:hint="eastAsia" w:ascii="仿宋_GB2312" w:hAnsi="仿宋_GB2312" w:eastAsia="仿宋_GB2312" w:cs="仿宋_GB2312"/>
          <w:sz w:val="32"/>
          <w:szCs w:val="32"/>
        </w:rPr>
        <w:t>（二）评价组织实施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_Toc17684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"_Toc13297" </w:instrText>
      </w:r>
      <w:r>
        <w:fldChar w:fldCharType="separate"/>
      </w:r>
      <w:r>
        <w:rPr>
          <w:rFonts w:hint="eastAsia" w:ascii="仿宋_GB2312" w:hAnsi="仿宋_GB2312" w:eastAsia="仿宋_GB2312" w:cs="仿宋_GB2312"/>
          <w:b/>
          <w:bCs/>
          <w:sz w:val="32"/>
          <w:szCs w:val="32"/>
        </w:rPr>
        <w:t>三、绩效评价分析</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_Toc13297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6</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"_Toc11260" </w:instrText>
      </w:r>
      <w:r>
        <w:fldChar w:fldCharType="separate"/>
      </w:r>
      <w:r>
        <w:rPr>
          <w:rFonts w:hint="eastAsia" w:ascii="仿宋_GB2312" w:hAnsi="仿宋_GB2312" w:eastAsia="仿宋_GB2312" w:cs="仿宋_GB2312"/>
          <w:sz w:val="32"/>
          <w:szCs w:val="32"/>
        </w:rPr>
        <w:t>（一）项目绩效目标评价分析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"_Toc22241" </w:instrText>
      </w:r>
      <w:r>
        <w:fldChar w:fldCharType="separate"/>
      </w:r>
      <w:r>
        <w:rPr>
          <w:rFonts w:hint="eastAsia" w:ascii="仿宋_GB2312" w:hAnsi="仿宋_GB2312" w:eastAsia="仿宋_GB2312" w:cs="仿宋_GB2312"/>
          <w:sz w:val="32"/>
          <w:szCs w:val="32"/>
        </w:rPr>
        <w:t>（二）项目绩效控制评价分析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tabs>
          <w:tab w:val="right" w:leader="dot" w:pos="8306"/>
        </w:tabs>
        <w:spacing w:line="600" w:lineRule="exact"/>
        <w:rPr>
          <w:rFonts w:ascii="仿宋_GB2312" w:hAnsi="仿宋_GB2312" w:eastAsia="仿宋_GB2312" w:cs="仿宋_GB2312"/>
          <w:sz w:val="32"/>
          <w:szCs w:val="32"/>
        </w:rPr>
      </w:pPr>
      <w:r>
        <w:fldChar w:fldCharType="begin"/>
      </w:r>
      <w:r>
        <w:instrText xml:space="preserve"> HYPERLINK \l "_Toc14931" </w:instrText>
      </w:r>
      <w:r>
        <w:fldChar w:fldCharType="separate"/>
      </w:r>
      <w:r>
        <w:rPr>
          <w:rFonts w:hint="eastAsia" w:ascii="仿宋_GB2312" w:hAnsi="仿宋_GB2312" w:eastAsia="仿宋_GB2312" w:cs="仿宋_GB2312"/>
          <w:sz w:val="32"/>
          <w:szCs w:val="32"/>
        </w:rPr>
        <w:t>（三）项目产出及效果评价分析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"_Toc19470" </w:instrText>
      </w:r>
      <w:r>
        <w:fldChar w:fldCharType="separate"/>
      </w:r>
      <w:r>
        <w:rPr>
          <w:rFonts w:hint="eastAsia" w:ascii="仿宋_GB2312" w:hAnsi="仿宋_GB2312" w:eastAsia="仿宋_GB2312" w:cs="仿宋_GB2312"/>
          <w:b/>
          <w:bCs/>
          <w:sz w:val="32"/>
          <w:szCs w:val="32"/>
        </w:rPr>
        <w:t>四、评价结论</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_Toc19470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12</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"_Toc26966" </w:instrText>
      </w:r>
      <w:r>
        <w:fldChar w:fldCharType="separate"/>
      </w:r>
      <w:r>
        <w:rPr>
          <w:rFonts w:hint="eastAsia" w:ascii="仿宋_GB2312" w:hAnsi="仿宋_GB2312" w:eastAsia="仿宋_GB2312" w:cs="仿宋_GB2312"/>
          <w:b/>
          <w:bCs/>
          <w:sz w:val="32"/>
          <w:szCs w:val="32"/>
        </w:rPr>
        <w:t>五、问题</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_Toc26966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12</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"_Toc13142" </w:instrText>
      </w:r>
      <w:r>
        <w:fldChar w:fldCharType="separate"/>
      </w:r>
      <w:r>
        <w:rPr>
          <w:rFonts w:hint="eastAsia" w:ascii="仿宋_GB2312" w:hAnsi="仿宋_GB2312" w:eastAsia="仿宋_GB2312" w:cs="仿宋_GB2312"/>
          <w:b/>
          <w:bCs/>
          <w:sz w:val="32"/>
          <w:szCs w:val="32"/>
        </w:rPr>
        <w:t>六、建议</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_Toc13142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12</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10"/>
        <w:tabs>
          <w:tab w:val="right" w:leader="dot" w:pos="8306"/>
        </w:tabs>
        <w:spacing w:line="600" w:lineRule="exact"/>
        <w:rPr>
          <w:rFonts w:ascii="仿宋_GB2312" w:hAnsi="仿宋_GB2312" w:eastAsia="仿宋_GB2312" w:cs="仿宋_GB2312"/>
          <w:b/>
          <w:bCs/>
          <w:sz w:val="32"/>
          <w:szCs w:val="32"/>
        </w:rPr>
      </w:pPr>
      <w:r>
        <w:fldChar w:fldCharType="begin"/>
      </w:r>
      <w:r>
        <w:instrText xml:space="preserve"> HYPERLINK \l "_Toc351" </w:instrText>
      </w:r>
      <w:r>
        <w:fldChar w:fldCharType="separate"/>
      </w:r>
      <w:r>
        <w:rPr>
          <w:rFonts w:hint="eastAsia" w:ascii="仿宋_GB2312" w:hAnsi="仿宋_GB2312" w:eastAsia="仿宋_GB2312" w:cs="仿宋_GB2312"/>
          <w:b/>
          <w:bCs/>
          <w:sz w:val="32"/>
          <w:szCs w:val="32"/>
        </w:rPr>
        <w:t>七、附件</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_Toc351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13</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spacing w:after="312" w:afterLines="100" w:line="600" w:lineRule="exact"/>
        <w:jc w:val="cente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p>
      <w:pPr>
        <w:spacing w:after="312" w:afterLines="100" w:line="500" w:lineRule="exact"/>
        <w:jc w:val="center"/>
        <w:outlineLvl w:val="0"/>
        <w:rPr>
          <w:rFonts w:ascii="方正小标宋简体" w:hAnsi="Leelawadee UI" w:eastAsia="方正小标宋简体" w:cs="Leelawadee UI"/>
          <w:bCs/>
          <w:kern w:val="0"/>
          <w:sz w:val="44"/>
          <w:szCs w:val="28"/>
        </w:rPr>
        <w:sectPr>
          <w:headerReference r:id="rId6" w:type="default"/>
          <w:pgSz w:w="11906" w:h="16838"/>
          <w:pgMar w:top="1587" w:right="1474" w:bottom="1417" w:left="1587" w:header="851" w:footer="992" w:gutter="0"/>
          <w:pgNumType w:start="1"/>
          <w:cols w:space="720" w:num="1"/>
          <w:docGrid w:type="lines" w:linePitch="312" w:charSpace="0"/>
        </w:sectPr>
      </w:pPr>
    </w:p>
    <w:p>
      <w:pPr>
        <w:spacing w:after="312" w:afterLines="100" w:line="560" w:lineRule="exact"/>
        <w:jc w:val="center"/>
        <w:outlineLvl w:val="0"/>
        <w:rPr>
          <w:rFonts w:ascii="方正小标宋简体" w:hAnsi="Leelawadee UI" w:eastAsia="方正小标宋简体" w:cs="Leelawadee UI"/>
          <w:bCs/>
          <w:kern w:val="0"/>
          <w:sz w:val="44"/>
          <w:szCs w:val="28"/>
        </w:rPr>
      </w:pPr>
      <w:r>
        <w:rPr>
          <w:rFonts w:hint="eastAsia" w:ascii="方正小标宋简体" w:hAnsi="Leelawadee UI" w:eastAsia="方正小标宋简体" w:cs="Leelawadee UI"/>
          <w:bCs/>
          <w:kern w:val="0"/>
          <w:sz w:val="44"/>
          <w:szCs w:val="28"/>
        </w:rPr>
        <w:t>2019年平原造林地块土地复垦一次性</w:t>
      </w:r>
    </w:p>
    <w:p>
      <w:pPr>
        <w:spacing w:after="312" w:afterLines="100" w:line="560" w:lineRule="exact"/>
        <w:jc w:val="center"/>
        <w:outlineLvl w:val="0"/>
        <w:rPr>
          <w:rFonts w:ascii="方正小标宋简体" w:hAnsi="Leelawadee UI" w:eastAsia="方正小标宋简体" w:cs="Leelawadee UI"/>
          <w:bCs/>
          <w:kern w:val="0"/>
          <w:sz w:val="44"/>
          <w:szCs w:val="28"/>
        </w:rPr>
      </w:pPr>
      <w:r>
        <w:rPr>
          <w:rFonts w:hint="eastAsia" w:ascii="方正小标宋简体" w:hAnsi="Leelawadee UI" w:eastAsia="方正小标宋简体" w:cs="Leelawadee UI"/>
          <w:bCs/>
          <w:kern w:val="0"/>
          <w:sz w:val="44"/>
          <w:szCs w:val="28"/>
        </w:rPr>
        <w:t>补助项目绩效评价报告</w:t>
      </w:r>
    </w:p>
    <w:p>
      <w:pPr>
        <w:ind w:firstLine="640" w:firstLineChars="200"/>
        <w:rPr>
          <w:rFonts w:ascii="黑体" w:hAnsi="黑体" w:eastAsia="黑体" w:cs="黑体"/>
          <w:sz w:val="36"/>
          <w:szCs w:val="36"/>
        </w:rPr>
      </w:pPr>
      <w:bookmarkStart w:id="0" w:name="_Toc390080623"/>
      <w:r>
        <w:rPr>
          <w:rFonts w:hint="eastAsia" w:ascii="仿宋_GB2312" w:hAnsi="仿宋_GB2312" w:eastAsia="仿宋_GB2312" w:cs="仿宋_GB2312"/>
          <w:sz w:val="32"/>
          <w:szCs w:val="32"/>
        </w:rPr>
        <w:t>为提高财政支出管理水平，检验财政支出预期目标实现程度，考核财政支出效率和综合效果，为以后年度财政资金安排提供重要依据，根据《</w:t>
      </w:r>
      <w:r>
        <w:rPr>
          <w:rFonts w:hint="eastAsia" w:ascii="仿宋_GB2312" w:eastAsia="仿宋_GB2312"/>
          <w:sz w:val="32"/>
          <w:szCs w:val="32"/>
        </w:rPr>
        <w:t>丰台区财政支出绩效评价管理暂行办法</w:t>
      </w:r>
      <w:r>
        <w:rPr>
          <w:rFonts w:hint="eastAsia" w:ascii="仿宋_GB2312" w:hAnsi="仿宋_GB2312" w:eastAsia="仿宋_GB2312" w:cs="仿宋_GB2312"/>
          <w:bCs/>
          <w:kern w:val="44"/>
          <w:sz w:val="32"/>
          <w:szCs w:val="32"/>
        </w:rPr>
        <w:t xml:space="preserve"> 》</w:t>
      </w:r>
      <w:r>
        <w:rPr>
          <w:rFonts w:hint="eastAsia" w:ascii="仿宋_GB2312" w:hAnsi="仿宋_GB2312" w:eastAsia="仿宋_GB2312" w:cs="仿宋_GB2312"/>
          <w:sz w:val="32"/>
          <w:szCs w:val="32"/>
        </w:rPr>
        <w:t>（丰财绩效〔2012〕729 号) 和《丰台区财政局关于开展2020年绩效自评工作的通知》等文</w:t>
      </w:r>
      <w:r>
        <w:rPr>
          <w:rFonts w:hint="eastAsia" w:ascii="仿宋_GB2312" w:hAnsi="仿宋_GB2312" w:eastAsia="仿宋_GB2312" w:cs="仿宋_GB2312"/>
          <w:bCs/>
          <w:kern w:val="44"/>
          <w:sz w:val="32"/>
          <w:szCs w:val="32"/>
        </w:rPr>
        <w:t>件规定，北京市丰台区南苑乡人民政府成立项目绩效评价工作组，对2019年平原造林地块土地复垦一次性补助</w:t>
      </w:r>
      <w:r>
        <w:rPr>
          <w:rFonts w:hint="eastAsia" w:ascii="仿宋_GB2312" w:hAnsi="仿宋_GB2312" w:eastAsia="仿宋_GB2312" w:cs="仿宋_GB2312"/>
          <w:sz w:val="32"/>
          <w:szCs w:val="32"/>
        </w:rPr>
        <w:t>项目实施绩效评价，形成本项目绩效评价报告。</w:t>
      </w:r>
      <w:bookmarkEnd w:id="0"/>
    </w:p>
    <w:p>
      <w:pPr>
        <w:pStyle w:val="3"/>
        <w:spacing w:line="560" w:lineRule="exact"/>
        <w:ind w:firstLine="640"/>
        <w:rPr>
          <w:rFonts w:ascii="黑体" w:hAnsi="黑体" w:eastAsia="黑体" w:cs="黑体"/>
          <w:b w:val="0"/>
          <w:bCs w:val="0"/>
          <w:szCs w:val="32"/>
        </w:rPr>
      </w:pPr>
      <w:bookmarkStart w:id="1" w:name="_Toc10350"/>
      <w:bookmarkStart w:id="2" w:name="_Toc390080624"/>
      <w:bookmarkStart w:id="3" w:name="_Toc390080628"/>
      <w:r>
        <w:rPr>
          <w:rFonts w:hint="eastAsia" w:ascii="黑体" w:hAnsi="黑体" w:eastAsia="黑体" w:cs="黑体"/>
          <w:b w:val="0"/>
          <w:bCs w:val="0"/>
          <w:szCs w:val="32"/>
        </w:rPr>
        <w:t>一、项目概述</w:t>
      </w:r>
      <w:bookmarkEnd w:id="1"/>
      <w:bookmarkEnd w:id="2"/>
    </w:p>
    <w:p>
      <w:pPr>
        <w:pStyle w:val="4"/>
        <w:spacing w:line="560" w:lineRule="exact"/>
        <w:rPr>
          <w:rFonts w:ascii="楷体" w:hAnsi="楷体" w:eastAsia="楷体" w:cs="楷体"/>
        </w:rPr>
      </w:pPr>
      <w:bookmarkStart w:id="4" w:name="_Toc390080625"/>
      <w:bookmarkStart w:id="5" w:name="_Toc31733"/>
      <w:r>
        <w:rPr>
          <w:rFonts w:hint="eastAsia" w:ascii="楷体" w:hAnsi="楷体" w:eastAsia="楷体" w:cs="楷体"/>
        </w:rPr>
        <w:t>（一）项目概况</w:t>
      </w:r>
      <w:bookmarkEnd w:id="4"/>
      <w:bookmarkEnd w:id="5"/>
      <w:r>
        <w:rPr>
          <w:rFonts w:hint="eastAsia" w:ascii="楷体" w:hAnsi="楷体" w:eastAsia="楷体" w:cs="楷体"/>
        </w:rPr>
        <w:t xml:space="preserve">  </w:t>
      </w:r>
    </w:p>
    <w:p>
      <w:pPr>
        <w:spacing w:line="360" w:lineRule="auto"/>
        <w:ind w:firstLine="640" w:firstLineChars="200"/>
        <w:jc w:val="left"/>
        <w:rPr>
          <w:rFonts w:ascii="仿宋" w:hAnsi="仿宋" w:eastAsia="仿宋" w:cs="仿宋"/>
          <w:sz w:val="32"/>
          <w:szCs w:val="32"/>
        </w:rPr>
      </w:pPr>
      <w:bookmarkStart w:id="6" w:name="_Toc6491"/>
      <w:r>
        <w:rPr>
          <w:rFonts w:hint="eastAsia" w:ascii="仿宋" w:hAnsi="仿宋" w:eastAsia="仿宋" w:cs="仿宋"/>
          <w:sz w:val="32"/>
          <w:szCs w:val="32"/>
        </w:rPr>
        <w:t>为合理利用土地，改善生态环境，推动绿化建设工作不断深入发展，为下一步的绿化工作打下坚实基础，按照丰台区新一轮百万亩造林绿化绿化工作部署，2019年（南苑乡）平原造林土地复垦工程项目</w:t>
      </w:r>
      <w:r>
        <w:rPr>
          <w:rFonts w:hint="eastAsia" w:ascii="仿宋_GB2312" w:hAnsi="Calibri" w:eastAsia="仿宋_GB2312"/>
          <w:sz w:val="32"/>
          <w:szCs w:val="32"/>
        </w:rPr>
        <w:t>经丰台区园林绿化局立项，由</w:t>
      </w:r>
      <w:r>
        <w:rPr>
          <w:rFonts w:hint="eastAsia" w:ascii="仿宋" w:hAnsi="仿宋" w:eastAsia="仿宋" w:cs="仿宋"/>
          <w:sz w:val="32"/>
          <w:szCs w:val="32"/>
        </w:rPr>
        <w:t>北京市丰台区南苑乡人民政府负责组织实施。</w:t>
      </w:r>
    </w:p>
    <w:p>
      <w:pPr>
        <w:spacing w:line="360" w:lineRule="auto"/>
        <w:ind w:firstLine="640" w:firstLineChars="200"/>
        <w:jc w:val="left"/>
        <w:rPr>
          <w:rFonts w:ascii="仿宋" w:hAnsi="仿宋" w:eastAsia="仿宋" w:cs="仿宋"/>
          <w:sz w:val="32"/>
          <w:szCs w:val="32"/>
        </w:rPr>
      </w:pPr>
      <w:r>
        <w:rPr>
          <w:rFonts w:hint="eastAsia" w:ascii="仿宋_GB2312" w:hAnsi="Calibri" w:eastAsia="仿宋_GB2312"/>
          <w:sz w:val="32"/>
          <w:szCs w:val="32"/>
        </w:rPr>
        <w:t>2019年南苑乡平原造林土地复垦工程主要包括：对218亩规划内土地进行拆除构建物、渣土外运、回填土方等，使其恢复种植条件</w:t>
      </w:r>
      <w:r>
        <w:rPr>
          <w:rFonts w:hint="eastAsia" w:ascii="仿宋" w:hAnsi="仿宋" w:eastAsia="仿宋" w:cs="仿宋"/>
          <w:sz w:val="32"/>
          <w:szCs w:val="32"/>
        </w:rPr>
        <w:t>。</w:t>
      </w:r>
    </w:p>
    <w:p>
      <w:pPr>
        <w:adjustRightInd w:val="0"/>
        <w:snapToGrid w:val="0"/>
        <w:spacing w:line="560" w:lineRule="exact"/>
        <w:ind w:firstLine="640"/>
        <w:rPr>
          <w:rFonts w:ascii="仿宋_GB2312" w:hAnsi="仿宋_GB2312" w:eastAsia="仿宋_GB2312" w:cs="仿宋_GB2312"/>
          <w:color w:val="000000"/>
          <w:sz w:val="32"/>
          <w:szCs w:val="32"/>
        </w:rPr>
      </w:pPr>
      <w:r>
        <w:rPr>
          <w:rFonts w:hint="eastAsia" w:ascii="仿宋_GB2312" w:hAnsi="Calibri" w:eastAsia="仿宋_GB2312"/>
          <w:sz w:val="32"/>
          <w:szCs w:val="32"/>
        </w:rPr>
        <w:t>2019年南苑乡平原造林土地复垦</w:t>
      </w:r>
      <w:r>
        <w:rPr>
          <w:rFonts w:hint="eastAsia" w:ascii="仿宋_GB2312" w:hAnsi="仿宋_GB2312" w:eastAsia="仿宋_GB2312" w:cs="仿宋_GB2312"/>
          <w:color w:val="000000"/>
          <w:sz w:val="32"/>
          <w:szCs w:val="32"/>
        </w:rPr>
        <w:t>项目主责单位</w:t>
      </w:r>
      <w:r>
        <w:rPr>
          <w:rFonts w:hint="eastAsia" w:ascii="仿宋" w:hAnsi="仿宋" w:eastAsia="仿宋" w:cs="仿宋"/>
          <w:sz w:val="32"/>
          <w:szCs w:val="32"/>
        </w:rPr>
        <w:t>北京市丰台区南苑乡人民政府</w:t>
      </w:r>
      <w:r>
        <w:rPr>
          <w:rFonts w:hint="eastAsia" w:ascii="仿宋_GB2312" w:hAnsi="仿宋_GB2312" w:eastAsia="仿宋_GB2312" w:cs="仿宋_GB2312"/>
          <w:color w:val="000000"/>
          <w:sz w:val="32"/>
          <w:szCs w:val="32"/>
        </w:rPr>
        <w:t>，在项目整体执行过程中负责对项目的过程监管。具体组织实施部门为</w:t>
      </w:r>
      <w:r>
        <w:rPr>
          <w:rFonts w:hint="eastAsia" w:ascii="仿宋_GB2312" w:hAnsi="仿宋_GB2312" w:eastAsia="仿宋_GB2312" w:cs="仿宋_GB2312"/>
          <w:sz w:val="32"/>
          <w:szCs w:val="32"/>
        </w:rPr>
        <w:t>北京市丰台区南苑乡农业服务中心（南苑乡林业站）（以下简称乡农服中心），</w:t>
      </w:r>
      <w:r>
        <w:rPr>
          <w:rFonts w:hint="eastAsia" w:ascii="仿宋_GB2312" w:hAnsi="仿宋_GB2312" w:eastAsia="仿宋_GB2312" w:cs="仿宋_GB2312"/>
          <w:color w:val="000000"/>
          <w:sz w:val="32"/>
          <w:szCs w:val="32"/>
        </w:rPr>
        <w:t>负责项目的具体组织、日常管理以及验收结款事项。</w:t>
      </w:r>
    </w:p>
    <w:p>
      <w:pPr>
        <w:pStyle w:val="4"/>
        <w:spacing w:line="560" w:lineRule="exact"/>
        <w:rPr>
          <w:rFonts w:ascii="楷体" w:hAnsi="楷体" w:eastAsia="楷体" w:cs="楷体"/>
        </w:rPr>
      </w:pPr>
      <w:r>
        <w:rPr>
          <w:rFonts w:hint="eastAsia" w:ascii="楷体" w:hAnsi="楷体" w:eastAsia="楷体" w:cs="楷体"/>
        </w:rPr>
        <w:t>（二）项目资金情况</w:t>
      </w:r>
      <w:bookmarkEnd w:id="6"/>
      <w:r>
        <w:rPr>
          <w:rFonts w:hint="eastAsia" w:ascii="楷体" w:hAnsi="楷体" w:eastAsia="楷体" w:cs="楷体"/>
        </w:rPr>
        <w:t xml:space="preserve">  </w:t>
      </w:r>
    </w:p>
    <w:p>
      <w:pPr>
        <w:adjustRightInd w:val="0"/>
        <w:snapToGrid w:val="0"/>
        <w:spacing w:line="560" w:lineRule="exact"/>
        <w:ind w:firstLine="640"/>
        <w:rPr>
          <w:rFonts w:ascii="仿宋_GB2312" w:hAnsi="Calibri" w:eastAsia="仿宋_GB2312"/>
          <w:sz w:val="32"/>
          <w:szCs w:val="32"/>
        </w:rPr>
      </w:pPr>
      <w:bookmarkStart w:id="7" w:name="_Toc27563"/>
      <w:r>
        <w:rPr>
          <w:rFonts w:hint="eastAsia" w:ascii="仿宋_GB2312" w:hAnsi="仿宋_GB2312" w:eastAsia="仿宋_GB2312" w:cs="仿宋_GB2312"/>
          <w:sz w:val="32"/>
          <w:szCs w:val="32"/>
        </w:rPr>
        <w:t>项目预算批复为1090万元，全部为财政资金。资金分三笔下达，2019年1月28日下达930万、120万，</w:t>
      </w:r>
      <w:r>
        <w:rPr>
          <w:rFonts w:hint="eastAsia" w:ascii="仿宋_GB2312" w:hAnsi="仿宋_GB2312" w:eastAsia="仿宋_GB2312" w:cs="仿宋_GB2312"/>
          <w:sz w:val="32"/>
          <w:szCs w:val="32"/>
          <w:lang w:eastAsia="zh-CN"/>
        </w:rPr>
        <w:t>5月8日</w:t>
      </w:r>
      <w:r>
        <w:rPr>
          <w:rFonts w:hint="eastAsia" w:ascii="仿宋_GB2312" w:hAnsi="仿宋_GB2312" w:eastAsia="仿宋_GB2312" w:cs="仿宋_GB2312"/>
          <w:sz w:val="32"/>
          <w:szCs w:val="32"/>
        </w:rPr>
        <w:t>下达40万，共1090万。2019年5月30日，经履行三重一大程序，项目资金1090万由乡政府拨至乡农服中心。经在项目实施过程中，根据项目合同以及实际需求，使用预算资金共计1013.5万元</w:t>
      </w:r>
      <w:r>
        <w:rPr>
          <w:rFonts w:hint="eastAsia" w:ascii="仿宋_GB2312" w:hAnsi="仿宋_GB2312" w:eastAsia="仿宋_GB2312" w:cs="仿宋_GB2312"/>
          <w:color w:val="000000"/>
          <w:sz w:val="32"/>
          <w:szCs w:val="32"/>
        </w:rPr>
        <w:t>，其中</w:t>
      </w:r>
      <w:r>
        <w:rPr>
          <w:rFonts w:hint="eastAsia" w:ascii="仿宋_GB2312" w:hAnsi="Calibri" w:eastAsia="仿宋_GB2312"/>
          <w:sz w:val="32"/>
          <w:szCs w:val="32"/>
        </w:rPr>
        <w:t>监理费用支出15.2万元，土地勘察费用支出14.91万元，方案编制费用支出26.52万元，下拨村集体经济组织956.87万元。未使用的经费中76.5万元，含待支出费用50万（其中复垦施工费40万、项目审计费预计10万）。支出情况如下表所示：</w:t>
      </w:r>
    </w:p>
    <w:p>
      <w:pPr>
        <w:adjustRightInd w:val="0"/>
        <w:snapToGrid w:val="0"/>
        <w:spacing w:line="560" w:lineRule="exact"/>
        <w:ind w:firstLine="640"/>
        <w:rPr>
          <w:rFonts w:ascii="仿宋_GB2312" w:hAnsi="Calibri" w:eastAsia="仿宋_GB2312"/>
          <w:sz w:val="32"/>
          <w:szCs w:val="32"/>
        </w:rPr>
      </w:pPr>
    </w:p>
    <w:tbl>
      <w:tblPr>
        <w:tblStyle w:val="15"/>
        <w:tblW w:w="8522"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1583"/>
        <w:gridCol w:w="2634"/>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8" w:type="dxa"/>
          </w:tcPr>
          <w:p>
            <w:pPr>
              <w:spacing w:line="360" w:lineRule="auto"/>
              <w:rPr>
                <w:rFonts w:ascii="仿宋" w:hAnsi="仿宋" w:eastAsia="仿宋" w:cs="仿宋"/>
                <w:sz w:val="28"/>
                <w:szCs w:val="28"/>
              </w:rPr>
            </w:pPr>
            <w:r>
              <w:rPr>
                <w:rFonts w:hint="eastAsia" w:ascii="仿宋" w:hAnsi="仿宋" w:eastAsia="仿宋" w:cs="仿宋"/>
                <w:sz w:val="28"/>
                <w:szCs w:val="28"/>
              </w:rPr>
              <w:t>项目负责人</w:t>
            </w:r>
          </w:p>
        </w:tc>
        <w:tc>
          <w:tcPr>
            <w:tcW w:w="1583" w:type="dxa"/>
          </w:tcPr>
          <w:p>
            <w:pPr>
              <w:spacing w:line="360" w:lineRule="auto"/>
              <w:rPr>
                <w:rFonts w:ascii="仿宋" w:hAnsi="仿宋" w:eastAsia="仿宋" w:cs="仿宋"/>
                <w:sz w:val="28"/>
                <w:szCs w:val="28"/>
              </w:rPr>
            </w:pPr>
            <w:r>
              <w:rPr>
                <w:rFonts w:hint="eastAsia" w:ascii="仿宋" w:hAnsi="仿宋" w:eastAsia="仿宋" w:cs="仿宋"/>
                <w:sz w:val="28"/>
                <w:szCs w:val="28"/>
              </w:rPr>
              <w:t>黄伟</w:t>
            </w:r>
          </w:p>
        </w:tc>
        <w:tc>
          <w:tcPr>
            <w:tcW w:w="2634" w:type="dxa"/>
          </w:tcPr>
          <w:p>
            <w:pPr>
              <w:spacing w:line="360" w:lineRule="auto"/>
              <w:rPr>
                <w:rFonts w:ascii="仿宋" w:hAnsi="仿宋" w:eastAsia="仿宋" w:cs="仿宋"/>
                <w:sz w:val="28"/>
                <w:szCs w:val="28"/>
              </w:rPr>
            </w:pPr>
            <w:r>
              <w:rPr>
                <w:rFonts w:hint="eastAsia" w:ascii="仿宋" w:hAnsi="仿宋" w:eastAsia="仿宋" w:cs="仿宋"/>
                <w:sz w:val="28"/>
                <w:szCs w:val="28"/>
              </w:rPr>
              <w:t>联系电话</w:t>
            </w:r>
          </w:p>
        </w:tc>
        <w:tc>
          <w:tcPr>
            <w:tcW w:w="1827" w:type="dxa"/>
          </w:tcPr>
          <w:p>
            <w:pPr>
              <w:spacing w:line="360" w:lineRule="auto"/>
              <w:rPr>
                <w:rFonts w:ascii="仿宋" w:hAnsi="仿宋" w:eastAsia="仿宋" w:cs="仿宋"/>
                <w:sz w:val="28"/>
                <w:szCs w:val="28"/>
              </w:rPr>
            </w:pPr>
            <w:r>
              <w:rPr>
                <w:rFonts w:hint="eastAsia" w:ascii="仿宋" w:hAnsi="仿宋" w:eastAsia="仿宋" w:cs="仿宋"/>
                <w:sz w:val="28"/>
                <w:szCs w:val="28"/>
              </w:rPr>
              <w:t>67236607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pPr>
              <w:spacing w:line="360" w:lineRule="auto"/>
              <w:rPr>
                <w:rFonts w:ascii="仿宋" w:hAnsi="仿宋" w:eastAsia="仿宋" w:cs="仿宋"/>
                <w:sz w:val="28"/>
                <w:szCs w:val="28"/>
              </w:rPr>
            </w:pPr>
            <w:r>
              <w:rPr>
                <w:rFonts w:hint="eastAsia" w:ascii="仿宋" w:hAnsi="仿宋" w:eastAsia="仿宋" w:cs="仿宋"/>
                <w:sz w:val="28"/>
                <w:szCs w:val="28"/>
              </w:rPr>
              <w:t>项目开始时间</w:t>
            </w:r>
          </w:p>
        </w:tc>
        <w:tc>
          <w:tcPr>
            <w:tcW w:w="1583" w:type="dxa"/>
          </w:tcPr>
          <w:p>
            <w:pPr>
              <w:spacing w:line="360" w:lineRule="auto"/>
              <w:rPr>
                <w:rFonts w:ascii="仿宋" w:hAnsi="仿宋" w:eastAsia="仿宋" w:cs="仿宋"/>
                <w:sz w:val="28"/>
                <w:szCs w:val="28"/>
              </w:rPr>
            </w:pPr>
            <w:r>
              <w:rPr>
                <w:rFonts w:hint="eastAsia" w:ascii="仿宋" w:hAnsi="仿宋" w:eastAsia="仿宋" w:cs="仿宋"/>
                <w:sz w:val="28"/>
                <w:szCs w:val="28"/>
              </w:rPr>
              <w:t>2019年1月</w:t>
            </w:r>
          </w:p>
        </w:tc>
        <w:tc>
          <w:tcPr>
            <w:tcW w:w="2634" w:type="dxa"/>
          </w:tcPr>
          <w:p>
            <w:pPr>
              <w:spacing w:line="360" w:lineRule="auto"/>
              <w:rPr>
                <w:rFonts w:ascii="仿宋" w:hAnsi="仿宋" w:eastAsia="仿宋" w:cs="仿宋"/>
                <w:sz w:val="28"/>
                <w:szCs w:val="28"/>
              </w:rPr>
            </w:pPr>
            <w:r>
              <w:rPr>
                <w:rFonts w:hint="eastAsia" w:ascii="仿宋" w:hAnsi="仿宋" w:eastAsia="仿宋" w:cs="仿宋"/>
                <w:sz w:val="28"/>
                <w:szCs w:val="28"/>
              </w:rPr>
              <w:t>项目完成时间</w:t>
            </w:r>
          </w:p>
        </w:tc>
        <w:tc>
          <w:tcPr>
            <w:tcW w:w="1827" w:type="dxa"/>
          </w:tcPr>
          <w:p>
            <w:pPr>
              <w:spacing w:line="360" w:lineRule="auto"/>
              <w:rPr>
                <w:rFonts w:ascii="仿宋" w:hAnsi="仿宋" w:eastAsia="仿宋" w:cs="仿宋"/>
                <w:sz w:val="28"/>
                <w:szCs w:val="28"/>
              </w:rPr>
            </w:pPr>
            <w:r>
              <w:rPr>
                <w:rFonts w:hint="eastAsia" w:ascii="仿宋" w:hAnsi="仿宋" w:eastAsia="仿宋" w:cs="仿宋"/>
                <w:sz w:val="28"/>
                <w:szCs w:val="28"/>
              </w:rPr>
              <w:t>2019年12月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pPr>
              <w:spacing w:line="360" w:lineRule="auto"/>
              <w:rPr>
                <w:rFonts w:ascii="仿宋" w:hAnsi="仿宋" w:eastAsia="仿宋" w:cs="仿宋"/>
                <w:sz w:val="28"/>
                <w:szCs w:val="28"/>
              </w:rPr>
            </w:pPr>
            <w:r>
              <w:rPr>
                <w:rFonts w:hint="eastAsia" w:ascii="仿宋" w:hAnsi="仿宋" w:eastAsia="仿宋" w:cs="仿宋"/>
                <w:sz w:val="28"/>
                <w:szCs w:val="28"/>
              </w:rPr>
              <w:t>项目总预算</w:t>
            </w:r>
          </w:p>
        </w:tc>
        <w:tc>
          <w:tcPr>
            <w:tcW w:w="1583" w:type="dxa"/>
          </w:tcPr>
          <w:p>
            <w:pPr>
              <w:spacing w:line="360" w:lineRule="auto"/>
              <w:rPr>
                <w:rFonts w:ascii="仿宋" w:hAnsi="仿宋" w:eastAsia="仿宋" w:cs="仿宋"/>
                <w:sz w:val="28"/>
                <w:szCs w:val="28"/>
              </w:rPr>
            </w:pPr>
            <w:r>
              <w:rPr>
                <w:rFonts w:hint="eastAsia" w:ascii="仿宋" w:hAnsi="仿宋" w:eastAsia="仿宋" w:cs="仿宋"/>
                <w:sz w:val="28"/>
                <w:szCs w:val="28"/>
              </w:rPr>
              <w:t>1090万</w:t>
            </w:r>
          </w:p>
        </w:tc>
        <w:tc>
          <w:tcPr>
            <w:tcW w:w="2634" w:type="dxa"/>
          </w:tcPr>
          <w:p>
            <w:pPr>
              <w:spacing w:line="360" w:lineRule="auto"/>
              <w:rPr>
                <w:rFonts w:ascii="仿宋" w:hAnsi="仿宋" w:eastAsia="仿宋" w:cs="仿宋"/>
                <w:sz w:val="28"/>
                <w:szCs w:val="28"/>
              </w:rPr>
            </w:pPr>
            <w:r>
              <w:rPr>
                <w:rFonts w:hint="eastAsia" w:ascii="仿宋" w:hAnsi="仿宋" w:eastAsia="仿宋" w:cs="仿宋"/>
                <w:sz w:val="28"/>
                <w:szCs w:val="28"/>
              </w:rPr>
              <w:t>其中：区财政拨款</w:t>
            </w:r>
          </w:p>
        </w:tc>
        <w:tc>
          <w:tcPr>
            <w:tcW w:w="1827" w:type="dxa"/>
          </w:tcPr>
          <w:p>
            <w:pPr>
              <w:spacing w:line="360" w:lineRule="auto"/>
              <w:rPr>
                <w:rFonts w:ascii="仿宋" w:hAnsi="仿宋" w:eastAsia="仿宋" w:cs="仿宋"/>
                <w:sz w:val="28"/>
                <w:szCs w:val="28"/>
              </w:rPr>
            </w:pPr>
            <w:r>
              <w:rPr>
                <w:rFonts w:hint="eastAsia" w:ascii="仿宋" w:hAnsi="仿宋" w:eastAsia="仿宋" w:cs="仿宋"/>
                <w:sz w:val="28"/>
                <w:szCs w:val="28"/>
              </w:rPr>
              <w:t>1090万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pPr>
              <w:spacing w:line="360" w:lineRule="auto"/>
              <w:rPr>
                <w:rFonts w:ascii="仿宋" w:hAnsi="仿宋" w:eastAsia="仿宋" w:cs="仿宋"/>
                <w:sz w:val="28"/>
                <w:szCs w:val="28"/>
              </w:rPr>
            </w:pPr>
            <w:r>
              <w:rPr>
                <w:rFonts w:hint="eastAsia" w:ascii="仿宋" w:hAnsi="仿宋" w:eastAsia="仿宋" w:cs="仿宋"/>
                <w:sz w:val="28"/>
                <w:szCs w:val="28"/>
              </w:rPr>
              <w:t>项目实际到位金额</w:t>
            </w:r>
          </w:p>
        </w:tc>
        <w:tc>
          <w:tcPr>
            <w:tcW w:w="1583" w:type="dxa"/>
          </w:tcPr>
          <w:p>
            <w:pPr>
              <w:spacing w:line="360" w:lineRule="auto"/>
              <w:rPr>
                <w:rFonts w:ascii="仿宋" w:hAnsi="仿宋" w:eastAsia="仿宋" w:cs="仿宋"/>
                <w:sz w:val="28"/>
                <w:szCs w:val="28"/>
              </w:rPr>
            </w:pPr>
            <w:r>
              <w:rPr>
                <w:rFonts w:hint="eastAsia" w:ascii="仿宋" w:hAnsi="仿宋" w:eastAsia="仿宋" w:cs="仿宋"/>
                <w:sz w:val="28"/>
                <w:szCs w:val="28"/>
              </w:rPr>
              <w:t>1090万</w:t>
            </w:r>
          </w:p>
        </w:tc>
        <w:tc>
          <w:tcPr>
            <w:tcW w:w="2634" w:type="dxa"/>
          </w:tcPr>
          <w:p>
            <w:pPr>
              <w:spacing w:line="360" w:lineRule="auto"/>
              <w:rPr>
                <w:rFonts w:ascii="仿宋" w:hAnsi="仿宋" w:eastAsia="仿宋" w:cs="仿宋"/>
                <w:sz w:val="28"/>
                <w:szCs w:val="28"/>
              </w:rPr>
            </w:pPr>
            <w:r>
              <w:rPr>
                <w:rFonts w:hint="eastAsia" w:ascii="仿宋" w:hAnsi="仿宋" w:eastAsia="仿宋" w:cs="仿宋"/>
                <w:sz w:val="28"/>
                <w:szCs w:val="28"/>
              </w:rPr>
              <w:t>其中：区财政拨款</w:t>
            </w:r>
          </w:p>
        </w:tc>
        <w:tc>
          <w:tcPr>
            <w:tcW w:w="1827" w:type="dxa"/>
          </w:tcPr>
          <w:p>
            <w:pPr>
              <w:spacing w:line="360" w:lineRule="auto"/>
              <w:rPr>
                <w:rFonts w:ascii="仿宋" w:hAnsi="仿宋" w:eastAsia="仿宋" w:cs="仿宋"/>
                <w:sz w:val="28"/>
                <w:szCs w:val="28"/>
              </w:rPr>
            </w:pPr>
            <w:r>
              <w:rPr>
                <w:rFonts w:hint="eastAsia" w:ascii="仿宋" w:hAnsi="仿宋" w:eastAsia="仿宋" w:cs="仿宋"/>
                <w:sz w:val="28"/>
                <w:szCs w:val="28"/>
              </w:rPr>
              <w:t>1090万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pPr>
              <w:spacing w:line="360" w:lineRule="auto"/>
              <w:rPr>
                <w:rFonts w:ascii="仿宋" w:hAnsi="仿宋" w:eastAsia="仿宋" w:cs="仿宋"/>
                <w:sz w:val="28"/>
                <w:szCs w:val="28"/>
              </w:rPr>
            </w:pPr>
            <w:r>
              <w:rPr>
                <w:rFonts w:hint="eastAsia" w:ascii="仿宋" w:hAnsi="仿宋" w:eastAsia="仿宋" w:cs="仿宋"/>
                <w:sz w:val="28"/>
                <w:szCs w:val="28"/>
              </w:rPr>
              <w:t>项目实际支出金额</w:t>
            </w:r>
          </w:p>
        </w:tc>
        <w:tc>
          <w:tcPr>
            <w:tcW w:w="1583" w:type="dxa"/>
          </w:tcPr>
          <w:p>
            <w:pPr>
              <w:spacing w:line="360" w:lineRule="auto"/>
              <w:rPr>
                <w:rFonts w:ascii="仿宋" w:hAnsi="仿宋" w:eastAsia="仿宋" w:cs="仿宋"/>
                <w:sz w:val="28"/>
                <w:szCs w:val="28"/>
              </w:rPr>
            </w:pPr>
            <w:r>
              <w:rPr>
                <w:rFonts w:hint="eastAsia" w:ascii="仿宋" w:hAnsi="仿宋" w:eastAsia="仿宋" w:cs="仿宋"/>
                <w:sz w:val="28"/>
                <w:szCs w:val="28"/>
              </w:rPr>
              <w:t>1013.5万</w:t>
            </w:r>
          </w:p>
        </w:tc>
        <w:tc>
          <w:tcPr>
            <w:tcW w:w="2634" w:type="dxa"/>
          </w:tcPr>
          <w:p>
            <w:pPr>
              <w:spacing w:line="360" w:lineRule="auto"/>
              <w:rPr>
                <w:rFonts w:ascii="仿宋" w:hAnsi="仿宋" w:eastAsia="仿宋" w:cs="仿宋"/>
                <w:sz w:val="28"/>
                <w:szCs w:val="28"/>
              </w:rPr>
            </w:pPr>
            <w:r>
              <w:rPr>
                <w:rFonts w:hint="eastAsia" w:ascii="仿宋" w:hAnsi="仿宋" w:eastAsia="仿宋" w:cs="仿宋"/>
                <w:sz w:val="28"/>
                <w:szCs w:val="28"/>
              </w:rPr>
              <w:t>其中：区财政拨款</w:t>
            </w:r>
          </w:p>
        </w:tc>
        <w:tc>
          <w:tcPr>
            <w:tcW w:w="1827" w:type="dxa"/>
          </w:tcPr>
          <w:p>
            <w:pPr>
              <w:spacing w:line="360" w:lineRule="auto"/>
              <w:rPr>
                <w:rFonts w:ascii="仿宋" w:hAnsi="仿宋" w:eastAsia="仿宋" w:cs="仿宋"/>
                <w:sz w:val="28"/>
                <w:szCs w:val="28"/>
              </w:rPr>
            </w:pPr>
            <w:r>
              <w:rPr>
                <w:rFonts w:hint="eastAsia" w:ascii="仿宋" w:hAnsi="仿宋" w:eastAsia="仿宋" w:cs="仿宋"/>
                <w:sz w:val="28"/>
                <w:szCs w:val="28"/>
              </w:rPr>
              <w:t>1013.5万</w:t>
            </w:r>
          </w:p>
        </w:tc>
      </w:tr>
    </w:tbl>
    <w:p>
      <w:pPr>
        <w:adjustRightInd w:val="0"/>
        <w:snapToGrid w:val="0"/>
        <w:spacing w:line="560" w:lineRule="exact"/>
        <w:rPr>
          <w:rFonts w:ascii="仿宋_GB2312" w:hAnsi="Calibri" w:eastAsia="仿宋_GB2312"/>
          <w:sz w:val="32"/>
          <w:szCs w:val="32"/>
        </w:rPr>
      </w:pPr>
    </w:p>
    <w:p>
      <w:pPr>
        <w:pStyle w:val="4"/>
        <w:spacing w:line="560" w:lineRule="exact"/>
        <w:rPr>
          <w:rFonts w:ascii="楷体" w:hAnsi="楷体" w:eastAsia="楷体" w:cs="楷体"/>
        </w:rPr>
      </w:pPr>
      <w:r>
        <w:rPr>
          <w:rFonts w:hint="eastAsia" w:ascii="楷体" w:hAnsi="楷体" w:eastAsia="楷体" w:cs="楷体"/>
        </w:rPr>
        <w:t>（三）绩效目标</w:t>
      </w:r>
      <w:bookmarkEnd w:id="7"/>
    </w:p>
    <w:p>
      <w:pPr>
        <w:widowControl/>
        <w:adjustRightInd w:val="0"/>
        <w:snapToGrid w:val="0"/>
        <w:spacing w:line="560" w:lineRule="exact"/>
        <w:ind w:firstLine="640" w:firstLineChars="200"/>
        <w:rPr>
          <w:rFonts w:ascii="仿宋_GB2312" w:hAnsi="仿宋_GB2312" w:eastAsia="仿宋_GB2312" w:cs="仿宋_GB2312"/>
          <w:color w:val="000000"/>
          <w:sz w:val="32"/>
          <w:szCs w:val="32"/>
        </w:rPr>
      </w:pPr>
      <w:bookmarkStart w:id="8" w:name="_Toc24035"/>
      <w:r>
        <w:rPr>
          <w:rFonts w:hint="eastAsia" w:ascii="仿宋_GB2312" w:hAnsi="仿宋_GB2312" w:eastAsia="仿宋_GB2312" w:cs="仿宋_GB2312"/>
          <w:color w:val="000000"/>
          <w:sz w:val="32"/>
          <w:szCs w:val="32"/>
        </w:rPr>
        <w:t>1.总体目标</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明确218亩复垦项目的位置、面积、目标任务、工程规划设计、实施进度及完成期限，通过</w:t>
      </w:r>
      <w:r>
        <w:rPr>
          <w:rFonts w:hint="eastAsia" w:ascii="仿宋_GB2312" w:hAnsi="Calibri" w:eastAsia="仿宋_GB2312"/>
          <w:sz w:val="32"/>
          <w:szCs w:val="32"/>
        </w:rPr>
        <w:t>对划定的土地进行拆除构建物、渣土外运、回填土方等，使其恢复可种植条件。</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2.绩效指标</w:t>
      </w:r>
    </w:p>
    <w:p>
      <w:pPr>
        <w:widowControl/>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（1）产出指标</w:t>
      </w:r>
    </w:p>
    <w:p>
      <w:pPr>
        <w:pStyle w:val="25"/>
        <w:spacing w:before="0"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①</w:t>
      </w:r>
      <w:r>
        <w:rPr>
          <w:rFonts w:hint="eastAsia" w:ascii="仿宋_GB2312" w:hAnsi="仿宋_GB2312" w:eastAsia="仿宋_GB2312" w:cs="仿宋_GB2312"/>
          <w:color w:val="000000"/>
          <w:sz w:val="32"/>
          <w:szCs w:val="32"/>
        </w:rPr>
        <w:t>对划定的218亩土地进行土地复垦</w:t>
      </w:r>
    </w:p>
    <w:p>
      <w:pPr>
        <w:pStyle w:val="25"/>
        <w:spacing w:before="0"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②</w:t>
      </w:r>
      <w:r>
        <w:rPr>
          <w:rFonts w:hint="eastAsia" w:ascii="仿宋_GB2312" w:hAnsi="仿宋_GB2312" w:eastAsia="仿宋_GB2312" w:cs="仿宋_GB2312"/>
          <w:color w:val="000000"/>
          <w:sz w:val="32"/>
          <w:szCs w:val="32"/>
        </w:rPr>
        <w:t>保证复垦土地渣土清运干净。</w:t>
      </w:r>
    </w:p>
    <w:p>
      <w:pPr>
        <w:pStyle w:val="25"/>
        <w:spacing w:before="0"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③</w:t>
      </w:r>
      <w:r>
        <w:rPr>
          <w:rFonts w:hint="eastAsia" w:ascii="仿宋_GB2312" w:hAnsi="仿宋_GB2312" w:eastAsia="仿宋_GB2312" w:cs="仿宋_GB2312"/>
          <w:color w:val="000000"/>
          <w:sz w:val="32"/>
          <w:szCs w:val="32"/>
        </w:rPr>
        <w:t>保证复垦土地覆土厚度达到规定标准。</w:t>
      </w:r>
    </w:p>
    <w:p>
      <w:pPr>
        <w:pStyle w:val="25"/>
        <w:spacing w:before="0" w:after="0" w:line="560" w:lineRule="exact"/>
        <w:ind w:firstLine="56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EQ \o\ac(</w:instrText>
      </w:r>
      <w:r>
        <w:rPr>
          <w:rFonts w:hint="eastAsia" w:ascii="仿宋_GB2312" w:hAnsi="仿宋_GB2312" w:eastAsia="仿宋_GB2312" w:cs="仿宋_GB2312"/>
          <w:color w:val="000000"/>
          <w:position w:val="-5"/>
          <w:sz w:val="42"/>
          <w:szCs w:val="28"/>
        </w:rPr>
        <w:instrText xml:space="preserve">○</w:instrText>
      </w:r>
      <w:r>
        <w:rPr>
          <w:rFonts w:hint="eastAsia" w:ascii="仿宋_GB2312" w:hAnsi="仿宋_GB2312" w:eastAsia="仿宋_GB2312" w:cs="仿宋_GB2312"/>
          <w:color w:val="000000"/>
          <w:sz w:val="28"/>
          <w:szCs w:val="28"/>
        </w:rPr>
        <w:instrText xml:space="preserve">,4)</w:instrTex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32"/>
          <w:szCs w:val="32"/>
        </w:rPr>
        <w:t>2019年12月底前竣工。</w:t>
      </w:r>
    </w:p>
    <w:p>
      <w:pPr>
        <w:spacing w:line="560" w:lineRule="exact"/>
        <w:ind w:firstLine="560" w:firstLineChars="200"/>
        <w:jc w:val="left"/>
        <w:rPr>
          <w:rFonts w:ascii="仿宋_GB2312" w:hAnsi="仿宋_GB2312" w:eastAsia="仿宋_GB2312" w:cs="仿宋_GB2312"/>
          <w:sz w:val="32"/>
          <w:szCs w:val="32"/>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EQ \o\ac(</w:instrText>
      </w:r>
      <w:r>
        <w:rPr>
          <w:rFonts w:hint="eastAsia" w:ascii="仿宋_GB2312" w:hAnsi="仿宋_GB2312" w:eastAsia="仿宋_GB2312" w:cs="仿宋_GB2312"/>
          <w:position w:val="-5"/>
          <w:sz w:val="42"/>
          <w:szCs w:val="28"/>
        </w:rPr>
        <w:instrText xml:space="preserve">○</w:instrText>
      </w:r>
      <w:r>
        <w:rPr>
          <w:rFonts w:hint="eastAsia" w:ascii="仿宋_GB2312" w:hAnsi="仿宋_GB2312" w:eastAsia="仿宋_GB2312" w:cs="仿宋_GB2312"/>
          <w:sz w:val="28"/>
          <w:szCs w:val="28"/>
        </w:rPr>
        <w:instrText xml:space="preserve">,5)</w:instrTex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32"/>
          <w:szCs w:val="32"/>
        </w:rPr>
        <w:t>按照5万元/亩的标准支付土地复垦费，成本控制在1090万元内。</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（2）效果指标: </w:t>
      </w:r>
    </w:p>
    <w:p>
      <w:pPr>
        <w:widowControl/>
        <w:adjustRightInd w:val="0"/>
        <w:snapToGrid w:val="0"/>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①社会效益：平原造林土地复垦在改善地区土质的同时提升景观效果，为周围群众提供良好的视觉感受，提升地区绿色指数，营造宜居环境。</w:t>
      </w:r>
    </w:p>
    <w:p>
      <w:pPr>
        <w:widowControl/>
        <w:adjustRightInd w:val="0"/>
        <w:snapToGrid w:val="0"/>
        <w:spacing w:line="560" w:lineRule="exac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②可持续影响：通过土地复垦，改良地块土质，使其符合种植条件，提升生态环境品质。</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③服务对象满意度：对周边群众就平原造林复垦工作带来的环境改善进行满意度调查，满意度不低于90%。</w:t>
      </w:r>
    </w:p>
    <w:p>
      <w:pPr>
        <w:pStyle w:val="3"/>
        <w:spacing w:line="560" w:lineRule="exact"/>
        <w:ind w:firstLine="640"/>
        <w:rPr>
          <w:rFonts w:ascii="黑体" w:hAnsi="黑体" w:eastAsia="黑体" w:cs="黑体"/>
          <w:b w:val="0"/>
          <w:bCs w:val="0"/>
          <w:szCs w:val="32"/>
        </w:rPr>
      </w:pPr>
      <w:r>
        <w:rPr>
          <w:rFonts w:hint="eastAsia" w:ascii="黑体" w:hAnsi="黑体" w:eastAsia="黑体" w:cs="黑体"/>
          <w:b w:val="0"/>
          <w:bCs w:val="0"/>
          <w:szCs w:val="32"/>
        </w:rPr>
        <w:t>二、评价工作简述</w:t>
      </w:r>
      <w:bookmarkEnd w:id="3"/>
      <w:bookmarkEnd w:id="8"/>
    </w:p>
    <w:p>
      <w:pPr>
        <w:pStyle w:val="4"/>
        <w:spacing w:line="560" w:lineRule="exact"/>
        <w:rPr>
          <w:rFonts w:ascii="楷体" w:hAnsi="楷体" w:eastAsia="楷体" w:cs="楷体"/>
        </w:rPr>
      </w:pPr>
      <w:bookmarkStart w:id="9" w:name="_Toc20914"/>
      <w:r>
        <w:rPr>
          <w:rFonts w:hint="eastAsia" w:ascii="楷体" w:hAnsi="楷体" w:eastAsia="楷体" w:cs="楷体"/>
        </w:rPr>
        <w:t>（一）基本情况</w:t>
      </w:r>
      <w:bookmarkEnd w:id="9"/>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1.评价目的</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通过绩效评价，衡量和考核该项目资金的绩效，了解、分析、检验资金使用是否达到预期目标，资金管理是否规范，资金使用是否有效，通过总结经验，分析问题，采取切实措施进一步加强和改进财政支出项目管理，提高财政资金使用效益，并为以后此类项目实施的规范性、经济性提供可靠依据。</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2.评价原则和方法</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本次评价工作遵循“客观、公正、科学、规范”的原则，通过对项目的经济性、效率性、效益性的比较和分析，考核支出效率和支出效果。在该项目绩效评价过程中，我乡除了运用传统的审阅、计算、核对、分析性复核等方法外，还运用了统计分析、实地走访、座谈等方法进行评价。</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3.评价指标体系</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根据《丰台区财政支出绩效评价管理暂行办法》，评价工作组结合项目资金的特点及资金使用的具体情况，以资金使用结果为导向，设定了本次评价指标内容和权重，重点对绩效目标及产出指标完成情况、效益实现情况进行综合评价。</w:t>
      </w:r>
    </w:p>
    <w:p>
      <w:pPr>
        <w:pStyle w:val="4"/>
        <w:spacing w:line="560" w:lineRule="exact"/>
        <w:rPr>
          <w:rFonts w:ascii="楷体" w:hAnsi="楷体" w:eastAsia="楷体" w:cs="楷体"/>
        </w:rPr>
      </w:pPr>
      <w:bookmarkStart w:id="10" w:name="_Toc17684"/>
      <w:bookmarkStart w:id="11" w:name="_Toc390080629"/>
      <w:r>
        <w:rPr>
          <w:rFonts w:hint="eastAsia" w:ascii="楷体" w:hAnsi="楷体" w:eastAsia="楷体" w:cs="楷体"/>
        </w:rPr>
        <w:t>（二）评价组织实施</w:t>
      </w:r>
      <w:bookmarkEnd w:id="10"/>
      <w:bookmarkEnd w:id="11"/>
    </w:p>
    <w:p>
      <w:pPr>
        <w:spacing w:line="560" w:lineRule="exact"/>
        <w:ind w:firstLine="640" w:firstLineChars="200"/>
        <w:rPr>
          <w:rFonts w:ascii="仿宋_GB2312" w:hAnsi="仿宋_GB2312" w:eastAsia="仿宋_GB2312" w:cs="仿宋_GB2312"/>
          <w:bCs/>
          <w:kern w:val="44"/>
          <w:sz w:val="32"/>
          <w:szCs w:val="32"/>
        </w:rPr>
      </w:pPr>
      <w:bookmarkStart w:id="12" w:name="_Toc169183188"/>
      <w:r>
        <w:rPr>
          <w:rFonts w:hint="eastAsia" w:ascii="仿宋_GB2312" w:hAnsi="仿宋_GB2312" w:eastAsia="仿宋_GB2312" w:cs="仿宋_GB2312"/>
          <w:bCs/>
          <w:kern w:val="44"/>
          <w:sz w:val="32"/>
          <w:szCs w:val="32"/>
        </w:rPr>
        <w:t>1.前期准备</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一是6月10日组建评价工作组。组长由主管财务副乡长王健担任，成员单位包括财务部门和相关业务部门，根据绩效评价工作职责分工，对2019年项目开展部门自评工作。为评价工作的顺利开展提供组织保障。</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二是6月12日制定项目绩效评价工作方案。为了更好的开展绩效评价工作，根据绩效评价工作要求，制定《南苑乡人民政府2019年绩效评价工作方案》。</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2.审阅核查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一是了解绩效目标设立情况。6月15日至6月18日评价工作组通过查阅项目申报书、单位职能文件、项目立项背景及发展规划等资料，以了解绩效目标设定的明确性、合理性。</w:t>
      </w:r>
    </w:p>
    <w:p>
      <w:pPr>
        <w:widowControl/>
        <w:adjustRightInd w:val="0"/>
        <w:snapToGrid w:val="0"/>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二是了解项目效益实现情况。6月18日至6月24日评价工作组通过查阅工作方案、年度总结报告等项目资料，分析评价项目的绩效实现情况，确认项目绩效是否达到了预期目标，是否保障了划定地块平原造林土地复垦平稳实施，改善土地质量，</w:t>
      </w:r>
      <w:r>
        <w:rPr>
          <w:rFonts w:hint="eastAsia" w:ascii="仿宋_GB2312" w:hAnsi="仿宋_GB2312" w:eastAsia="仿宋_GB2312" w:cs="仿宋_GB2312"/>
          <w:kern w:val="0"/>
          <w:sz w:val="32"/>
          <w:szCs w:val="32"/>
        </w:rPr>
        <w:t>让复垦地块更好实现可种植条件。</w:t>
      </w:r>
    </w:p>
    <w:p>
      <w:pPr>
        <w:widowControl/>
        <w:adjustRightInd w:val="0"/>
        <w:snapToGrid w:val="0"/>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3.资料信息汇总</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6月18日至6月27日，评价工作组在充分调研的基础上，对项目资料进行逐一核实。按照项目支出绩效评价指标体系内容和评价重点，工作组对资料进行分类整理、审阅评议。</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4.出具绩效评价报告</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6月28日，评价工作组在项目绩效报告和审阅项目资料基础上，完成项目绩效评价报告初稿的撰写工作。报告初稿履行审核、沟通、反馈程序后，于6月30日形成项目绩效评价报告终稿。</w:t>
      </w:r>
    </w:p>
    <w:p>
      <w:pPr>
        <w:pStyle w:val="3"/>
        <w:spacing w:line="560" w:lineRule="exact"/>
        <w:ind w:firstLine="640"/>
        <w:rPr>
          <w:rFonts w:ascii="黑体" w:hAnsi="黑体" w:eastAsia="黑体" w:cs="黑体"/>
          <w:b w:val="0"/>
          <w:bCs w:val="0"/>
          <w:szCs w:val="32"/>
        </w:rPr>
      </w:pPr>
      <w:bookmarkStart w:id="13" w:name="_Toc390080630"/>
      <w:bookmarkStart w:id="14" w:name="_Toc13297"/>
      <w:r>
        <w:rPr>
          <w:rFonts w:hint="eastAsia" w:ascii="黑体" w:hAnsi="黑体" w:eastAsia="黑体" w:cs="黑体"/>
          <w:b w:val="0"/>
          <w:bCs w:val="0"/>
          <w:szCs w:val="32"/>
        </w:rPr>
        <w:t>三、</w:t>
      </w:r>
      <w:bookmarkEnd w:id="12"/>
      <w:r>
        <w:rPr>
          <w:rFonts w:hint="eastAsia" w:ascii="黑体" w:hAnsi="黑体" w:eastAsia="黑体" w:cs="黑体"/>
          <w:b w:val="0"/>
          <w:bCs w:val="0"/>
          <w:szCs w:val="32"/>
        </w:rPr>
        <w:t>绩效评价分析</w:t>
      </w:r>
      <w:bookmarkEnd w:id="13"/>
      <w:bookmarkEnd w:id="14"/>
    </w:p>
    <w:p>
      <w:pPr>
        <w:pStyle w:val="4"/>
        <w:spacing w:line="560" w:lineRule="exact"/>
        <w:rPr>
          <w:rFonts w:ascii="楷体" w:hAnsi="楷体" w:eastAsia="楷体" w:cs="楷体"/>
        </w:rPr>
      </w:pPr>
      <w:bookmarkStart w:id="15" w:name="_Toc11260"/>
      <w:bookmarkStart w:id="16" w:name="_Toc390080631"/>
      <w:r>
        <w:rPr>
          <w:rFonts w:hint="eastAsia" w:ascii="楷体" w:hAnsi="楷体" w:eastAsia="楷体" w:cs="楷体"/>
        </w:rPr>
        <w:t>（一）项目绩效目标评价分析</w:t>
      </w:r>
      <w:bookmarkEnd w:id="15"/>
      <w:bookmarkEnd w:id="16"/>
    </w:p>
    <w:p>
      <w:pPr>
        <w:spacing w:line="560" w:lineRule="exact"/>
        <w:ind w:firstLine="640" w:firstLineChars="200"/>
        <w:rPr>
          <w:rFonts w:ascii="仿宋_GB2312" w:hAnsi="仿宋_GB2312" w:eastAsia="仿宋_GB2312" w:cs="仿宋_GB2312"/>
          <w:bCs/>
          <w:kern w:val="44"/>
          <w:sz w:val="32"/>
          <w:szCs w:val="32"/>
        </w:rPr>
      </w:pPr>
      <w:bookmarkStart w:id="17" w:name="_Toc22241"/>
      <w:r>
        <w:rPr>
          <w:rFonts w:hint="eastAsia" w:ascii="仿宋_GB2312" w:hAnsi="仿宋_GB2312" w:eastAsia="仿宋_GB2312" w:cs="仿宋_GB2312"/>
          <w:bCs/>
          <w:kern w:val="44"/>
          <w:sz w:val="32"/>
          <w:szCs w:val="32"/>
        </w:rPr>
        <w:t>南苑乡人民政府根据平原造林土地复垦实际需要，为保障划定范围内土地复垦合规达标，针对土地复垦的</w:t>
      </w:r>
      <w:r>
        <w:rPr>
          <w:rFonts w:hint="eastAsia" w:ascii="仿宋_GB2312" w:hAnsi="仿宋_GB2312" w:eastAsia="仿宋_GB2312" w:cs="仿宋_GB2312"/>
          <w:sz w:val="32"/>
          <w:szCs w:val="32"/>
        </w:rPr>
        <w:t>目标任务、工程规划设计、实施进度及完成期限，</w:t>
      </w:r>
      <w:r>
        <w:rPr>
          <w:rFonts w:hint="eastAsia" w:ascii="仿宋_GB2312" w:hAnsi="仿宋_GB2312" w:eastAsia="仿宋_GB2312" w:cs="仿宋_GB2312"/>
          <w:bCs/>
          <w:kern w:val="44"/>
          <w:sz w:val="32"/>
          <w:szCs w:val="32"/>
        </w:rPr>
        <w:t>制定了工作实施方案，设定了绩效目标和具体产出指标。</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该项目绩效目标设定比较明确、合理；与单位职能及年度工作计划完全相符；项目产出指标的申报立项符合相关政策、办法要求。但项目绩效目标设定缺乏量化，产出指标不量化，部分效果指标可衡量性不足；项目决策方面缺少前期调研、服务商选定等决策资料。</w:t>
      </w:r>
    </w:p>
    <w:p>
      <w:pPr>
        <w:pStyle w:val="4"/>
        <w:spacing w:line="560" w:lineRule="exact"/>
        <w:rPr>
          <w:rFonts w:ascii="楷体" w:hAnsi="楷体" w:eastAsia="楷体" w:cs="楷体"/>
        </w:rPr>
      </w:pPr>
      <w:r>
        <w:rPr>
          <w:rFonts w:hint="eastAsia" w:ascii="楷体" w:hAnsi="楷体" w:eastAsia="楷体" w:cs="楷体"/>
        </w:rPr>
        <w:t>（二）项目绩效控制评价分析</w:t>
      </w:r>
      <w:bookmarkEnd w:id="17"/>
      <w:r>
        <w:rPr>
          <w:rFonts w:hint="eastAsia" w:ascii="楷体" w:hAnsi="楷体" w:eastAsia="楷体" w:cs="楷体"/>
        </w:rPr>
        <w:t xml:space="preserve">  </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1．资金使用及管理情况分析</w:t>
      </w:r>
    </w:p>
    <w:p>
      <w:pPr>
        <w:pStyle w:val="5"/>
        <w:spacing w:line="560" w:lineRule="exact"/>
        <w:ind w:firstLine="640"/>
        <w:rPr>
          <w:rFonts w:hAnsi="仿宋_GB2312" w:cs="仿宋_GB2312"/>
        </w:rPr>
      </w:pPr>
      <w:r>
        <w:rPr>
          <w:rFonts w:hint="eastAsia" w:hAnsi="仿宋_GB2312" w:cs="仿宋_GB2312"/>
        </w:rPr>
        <w:t>依据《中华人民共和国预算法》、《中华人民共和国预算法实施条例》、《北京市预算监督条例》、区财政局《关于2019年部门预算编制通知》要求编报2019年度部门预算，2019年平原造林土地项目经丰台区园林局立项后，报区财政局。区财政局批复项目预算金额为1090万元。2019年1月、5月分930万、120万、40万三笔收到财政拨付资金，并于2019年5月拨付至南苑乡农服中心。</w:t>
      </w:r>
    </w:p>
    <w:p>
      <w:pPr>
        <w:adjustRightInd w:val="0"/>
        <w:snapToGrid w:val="0"/>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在项目执行过程中，南苑乡政府、乡农服中心严格按照预算批复和计划内容管理、组织项目实施。依据预算明细、支付申请和领导批示，将资金及时拨付到位，截止2019年12月实际支出金额1013.5万万元，</w:t>
      </w:r>
      <w:r>
        <w:rPr>
          <w:rFonts w:hint="eastAsia" w:ascii="仿宋_GB2312" w:hAnsi="仿宋_GB2312" w:eastAsia="仿宋_GB2312" w:cs="仿宋_GB2312"/>
          <w:color w:val="000000"/>
          <w:sz w:val="32"/>
          <w:szCs w:val="32"/>
        </w:rPr>
        <w:t>其中</w:t>
      </w:r>
      <w:r>
        <w:rPr>
          <w:rFonts w:hint="eastAsia" w:ascii="仿宋_GB2312" w:hAnsi="Calibri" w:eastAsia="仿宋_GB2312"/>
          <w:sz w:val="32"/>
          <w:szCs w:val="32"/>
        </w:rPr>
        <w:t>监理费用支出15.2万元，土地勘察费用支出14.91万元，方案编制费用支出26.52万元，下拨村集体经济组织956.87万元。未使用的经费中76.5万元，含待支出费用50万（其中复垦施工费40万、项目审计费预计10万）。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管理，严格按照《中华人民共和国预算法》、《中华人民共和国预算法实施条例》、《政府会计制度》及财政预算管理等相关要求，预算管理、资金使用、会计核算严格按内控制度《预算管理制度》和《经费支出管理办法》等执行，并进一步健全财务管理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支出，根据项目经费预算批复及开展业务的需要，填制资金支付申请，列明资金支出内容和实际金额，按资金支出审批权限履行审批程序。按“三重一大”重大事项和大额资金支出要求上党组会集体审议，在确保资金支出符合预算范围，且符合相关标准后批准。财务部门根据领导批示，及时、足额拨付资金，保障各项工作顺利进行。</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项目预算编制比较细化、依据比较充分；项目资金足额、及时拨付到位；单位财务管理制度比较健全，且执行有效；会计核算规范、准确。</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2．项目组织情况分析</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Calibri" w:eastAsia="仿宋_GB2312"/>
          <w:sz w:val="32"/>
          <w:szCs w:val="32"/>
        </w:rPr>
        <w:t>2019年南苑乡平原造林土地复垦</w:t>
      </w:r>
      <w:r>
        <w:rPr>
          <w:rFonts w:hint="eastAsia" w:ascii="仿宋_GB2312" w:hAnsi="仿宋_GB2312" w:eastAsia="仿宋_GB2312" w:cs="仿宋_GB2312"/>
          <w:color w:val="000000"/>
          <w:sz w:val="32"/>
          <w:szCs w:val="32"/>
        </w:rPr>
        <w:t>项目主责单位为</w:t>
      </w:r>
      <w:r>
        <w:rPr>
          <w:rFonts w:hint="eastAsia" w:ascii="仿宋" w:hAnsi="仿宋" w:eastAsia="仿宋" w:cs="仿宋"/>
          <w:sz w:val="32"/>
          <w:szCs w:val="32"/>
        </w:rPr>
        <w:t>北京市丰台区南苑乡人民政府</w:t>
      </w:r>
      <w:r>
        <w:rPr>
          <w:rFonts w:hint="eastAsia" w:ascii="仿宋_GB2312" w:hAnsi="仿宋_GB2312" w:eastAsia="仿宋_GB2312" w:cs="仿宋_GB2312"/>
          <w:color w:val="000000"/>
          <w:sz w:val="32"/>
          <w:szCs w:val="32"/>
        </w:rPr>
        <w:t>，负责对项目的过程监管。具体组织实施部门为</w:t>
      </w:r>
      <w:r>
        <w:rPr>
          <w:rFonts w:hint="eastAsia" w:ascii="仿宋_GB2312" w:hAnsi="仿宋_GB2312" w:eastAsia="仿宋_GB2312" w:cs="仿宋_GB2312"/>
          <w:sz w:val="32"/>
          <w:szCs w:val="32"/>
        </w:rPr>
        <w:t>南苑乡农服中心，</w:t>
      </w:r>
      <w:r>
        <w:rPr>
          <w:rFonts w:hint="eastAsia" w:ascii="仿宋_GB2312" w:hAnsi="仿宋_GB2312" w:eastAsia="仿宋_GB2312" w:cs="仿宋_GB2312"/>
          <w:color w:val="000000"/>
          <w:sz w:val="32"/>
          <w:szCs w:val="32"/>
        </w:rPr>
        <w:t>负责项目的具体组织、日常管理以及验收结款事项。</w:t>
      </w:r>
      <w:r>
        <w:rPr>
          <w:rFonts w:hint="eastAsia" w:ascii="仿宋_GB2312" w:hAnsi="Calibri" w:eastAsia="仿宋_GB2312"/>
          <w:sz w:val="32"/>
          <w:szCs w:val="32"/>
        </w:rPr>
        <w:t>监理单位经竞争性磋商确定为北京铭正洋林工程监理责任有限公司，勘察设计单位经比价确定为建设综合勘察研究设计院有限公司。</w:t>
      </w:r>
      <w:r>
        <w:rPr>
          <w:rFonts w:hint="eastAsia" w:ascii="仿宋_GB2312" w:hAnsi="仿宋_GB2312" w:eastAsia="仿宋_GB2312" w:cs="仿宋_GB2312"/>
          <w:color w:val="000000"/>
          <w:sz w:val="32"/>
          <w:szCs w:val="32"/>
        </w:rPr>
        <w:t>具体实施则按照土地所属村或集体经济组织负责。</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该项目组织机构健全、职责分工比较明确，保质保量完成了项目的组织实施，较好的完成了工作任务，实现了预期目标。但作为项目主责单位与、监理公司、村或集体经济组织之间的职责分工尚需进一步明确。</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3．项目管理情况分析</w:t>
      </w:r>
    </w:p>
    <w:p>
      <w:pPr>
        <w:adjustRightInd w:val="0"/>
        <w:snapToGrid w:val="0"/>
        <w:spacing w:line="560" w:lineRule="exact"/>
        <w:ind w:firstLine="640" w:firstLineChars="200"/>
        <w:rPr>
          <w:rFonts w:ascii="仿宋_GB2312" w:hAnsi="Calibri" w:eastAsia="仿宋_GB2312"/>
          <w:sz w:val="32"/>
          <w:szCs w:val="32"/>
        </w:rPr>
      </w:pPr>
      <w:bookmarkStart w:id="18" w:name="_Toc14931"/>
      <w:r>
        <w:rPr>
          <w:rFonts w:hint="eastAsia" w:ascii="仿宋_GB2312" w:hAnsi="Calibri" w:eastAsia="仿宋_GB2312"/>
          <w:sz w:val="32"/>
          <w:szCs w:val="32"/>
        </w:rPr>
        <w:t>2019年南苑乡平原造林土地复垦工程按照土地所属区划分为5个工程项目，分别为槐房村项目、新宫村项目、大红门村项目、南苑村项目、卢沟桥乡糖厂项目。依据属地管理原则，除卢沟桥乡糖厂项目外，其他4个项目由村或集体经济组织作为绿化土地复垦工作的实施主体，负责完成土地复垦的招投标程序和土地复垦工作；乡农服中心（统筹监理、地勘、设计和审计工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按照财政资金管理要求，项目资金达到100万元以上要严格执行招投标程序，小于100万的项目由村或集体经济组织自行确定施工单位，签订施工合同。</w:t>
      </w:r>
    </w:p>
    <w:p>
      <w:pPr>
        <w:adjustRightInd w:val="0"/>
        <w:snapToGrid w:val="0"/>
        <w:spacing w:line="560" w:lineRule="exact"/>
        <w:ind w:firstLine="640" w:firstLineChars="200"/>
        <w:outlineLvl w:val="0"/>
        <w:rPr>
          <w:rFonts w:ascii="仿宋_GB2312" w:hAnsi="Calibri" w:eastAsia="仿宋_GB2312"/>
          <w:sz w:val="32"/>
          <w:szCs w:val="32"/>
        </w:rPr>
      </w:pPr>
      <w:r>
        <w:rPr>
          <w:rFonts w:hint="eastAsia" w:ascii="仿宋_GB2312" w:hAnsi="Calibri" w:eastAsia="仿宋_GB2312"/>
          <w:sz w:val="32"/>
          <w:szCs w:val="32"/>
        </w:rPr>
        <w:t>监理单位按照要求，对我乡所有平原造林土地复垦项目进行监督管理，对工程施工进行巡查、检查，按照施工标准，做好工程质量把关工作，验收合格后方可由招标单位支付工程款。截止2019年12月，我乡平原造林土地复垦项目均210亩已完成，卢沟桥乡糖厂项目8亩待验收。</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该项目管理机制健全，且执行比较有效。但未制定土地复垦项目管理制度；未制定行之有效的实施方案，缺少统筹的安排与计划；反映项目管理过程的记录、文件等未充分收集。</w:t>
      </w:r>
    </w:p>
    <w:p>
      <w:pPr>
        <w:pStyle w:val="4"/>
        <w:spacing w:line="560" w:lineRule="exact"/>
        <w:rPr>
          <w:rFonts w:ascii="楷体" w:hAnsi="楷体" w:eastAsia="楷体" w:cs="楷体"/>
        </w:rPr>
      </w:pPr>
      <w:r>
        <w:rPr>
          <w:rFonts w:hint="eastAsia" w:ascii="楷体" w:hAnsi="楷体" w:eastAsia="楷体" w:cs="楷体"/>
        </w:rPr>
        <w:t>（三）项目产出及效果评价分析</w:t>
      </w:r>
      <w:bookmarkEnd w:id="18"/>
    </w:p>
    <w:p>
      <w:pPr>
        <w:spacing w:line="560" w:lineRule="exact"/>
        <w:ind w:firstLine="640" w:firstLineChars="200"/>
        <w:rPr>
          <w:rFonts w:ascii="仿宋_GB2312" w:hAnsi="仿宋_GB2312" w:eastAsia="仿宋_GB2312" w:cs="仿宋_GB2312"/>
          <w:bCs/>
          <w:kern w:val="44"/>
          <w:sz w:val="32"/>
          <w:szCs w:val="32"/>
          <w:highlight w:val="yellow"/>
        </w:rPr>
      </w:pPr>
      <w:r>
        <w:rPr>
          <w:rFonts w:hint="eastAsia" w:ascii="仿宋_GB2312" w:hAnsi="仿宋_GB2312" w:eastAsia="仿宋_GB2312" w:cs="仿宋_GB2312"/>
          <w:bCs/>
          <w:kern w:val="44"/>
          <w:sz w:val="32"/>
          <w:szCs w:val="32"/>
        </w:rPr>
        <w:t>1．项目经济性分析</w:t>
      </w:r>
    </w:p>
    <w:p>
      <w:pPr>
        <w:spacing w:line="560" w:lineRule="exact"/>
        <w:ind w:firstLine="640" w:firstLineChars="200"/>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rPr>
        <w:t>该项目严格按照预算批复和计划内容使用财政资金。根据具体业务需求，将资金及时拨付到位，保障了项目的顺利实施。此项预算截止2019年12月底前财政资金支出1013.5万元，剩余资金76.5万，其中卢沟桥乡糖厂地块复垦经费40万因未履行验收程序尚未拨付、项目审计费预计10万尚未支出，实际结余26.5万元。该项目成本控制情况基本良好，但预算支出进度未能按时完成，完成度92.98%。</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2．项目效率性分析</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（1）项目实施进度</w:t>
      </w:r>
    </w:p>
    <w:p>
      <w:pPr>
        <w:spacing w:line="560" w:lineRule="exact"/>
        <w:ind w:firstLine="640" w:firstLineChars="200"/>
        <w:rPr>
          <w:rFonts w:ascii="仿宋_GB2312" w:hAnsi="仿宋_GB2312" w:eastAsia="仿宋_GB2312" w:cs="仿宋_GB2312"/>
          <w:b/>
          <w:sz w:val="32"/>
          <w:szCs w:val="32"/>
          <w:highlight w:val="yellow"/>
        </w:rPr>
      </w:pPr>
      <w:r>
        <w:rPr>
          <w:rFonts w:hint="eastAsia" w:ascii="仿宋_GB2312" w:hAnsi="仿宋_GB2312" w:eastAsia="仿宋_GB2312" w:cs="仿宋_GB2312"/>
          <w:sz w:val="32"/>
          <w:szCs w:val="32"/>
        </w:rPr>
        <w:t>该项目周期为2019年1月至12月，项目实施过程严格按照服务协议</w:t>
      </w:r>
      <w:r>
        <w:rPr>
          <w:rFonts w:hint="eastAsia" w:ascii="仿宋_GB2312" w:hAnsi="仿宋_GB2312" w:eastAsia="仿宋_GB2312" w:cs="仿宋_GB2312"/>
          <w:kern w:val="0"/>
          <w:sz w:val="32"/>
          <w:szCs w:val="32"/>
        </w:rPr>
        <w:t>执行</w:t>
      </w:r>
      <w:r>
        <w:rPr>
          <w:rFonts w:hint="eastAsia" w:ascii="仿宋_GB2312" w:hAnsi="仿宋_GB2312" w:eastAsia="仿宋_GB2312" w:cs="仿宋_GB2312"/>
          <w:bCs/>
          <w:kern w:val="44"/>
          <w:sz w:val="32"/>
          <w:szCs w:val="32"/>
        </w:rPr>
        <w:t>。</w:t>
      </w:r>
      <w:r>
        <w:rPr>
          <w:rFonts w:hint="eastAsia" w:ascii="仿宋_GB2312" w:hAnsi="仿宋_GB2312" w:eastAsia="仿宋_GB2312" w:cs="仿宋_GB2312"/>
          <w:sz w:val="32"/>
          <w:szCs w:val="32"/>
        </w:rPr>
        <w:t>但卢沟桥乡糖厂地块8亩复垦土地尚未履行验收手续</w:t>
      </w:r>
      <w:r>
        <w:rPr>
          <w:rFonts w:hint="eastAsia" w:ascii="仿宋_GB2312" w:hAnsi="仿宋_GB2312" w:eastAsia="仿宋_GB2312" w:cs="仿宋_GB2312"/>
          <w:bCs/>
          <w:kern w:val="44"/>
          <w:sz w:val="32"/>
          <w:szCs w:val="32"/>
        </w:rPr>
        <w:t>，预期进度目标实现96.33%。</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（2）项目完成质量</w:t>
      </w:r>
    </w:p>
    <w:p>
      <w:pPr>
        <w:widowControl/>
        <w:adjustRightInd w:val="0"/>
        <w:snapToGrid w:val="0"/>
        <w:spacing w:line="56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2019年平原造林土地复垦项目实施中各项工作按计划、方案或合同规定有序开展，</w:t>
      </w:r>
      <w:r>
        <w:rPr>
          <w:rFonts w:hint="eastAsia" w:ascii="仿宋_GB2312" w:hAnsi="仿宋_GB2312" w:eastAsia="仿宋_GB2312" w:cs="仿宋_GB2312"/>
          <w:sz w:val="32"/>
          <w:szCs w:val="32"/>
        </w:rPr>
        <w:t>项目整体情况良好，实现了预期的绩效目标。</w:t>
      </w:r>
    </w:p>
    <w:p>
      <w:pPr>
        <w:pStyle w:val="25"/>
        <w:spacing w:before="0"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①已验收的复垦土地红线范围内渣土全部清理干净，符合相关规定。</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②已验收的复垦土地覆土厚度高于图纸要求，符合复垦要求。</w:t>
      </w:r>
      <w:r>
        <w:rPr>
          <w:rFonts w:hint="eastAsia" w:ascii="仿宋_GB2312" w:hAnsi="仿宋_GB2312" w:eastAsia="仿宋_GB2312" w:cs="仿宋_GB2312"/>
          <w:color w:val="000000"/>
          <w:sz w:val="32"/>
          <w:szCs w:val="32"/>
        </w:rPr>
        <w:t>。</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③农服中心与监理单位、村或集体经济组织定期对复垦土地工程进行进度督查、质量把控，对于</w:t>
      </w:r>
      <w:r>
        <w:rPr>
          <w:rFonts w:hint="eastAsia" w:ascii="仿宋_GB2312" w:hAnsi="仿宋_GB2312" w:eastAsia="仿宋_GB2312" w:cs="仿宋_GB2312"/>
          <w:color w:val="000000"/>
          <w:sz w:val="32"/>
          <w:szCs w:val="32"/>
        </w:rPr>
        <w:t>巡检中发现的问题，给出合理的处理建议。</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3．项目效益性分析</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（1）项目预期目标完成情况</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项目预期目标完成情况如下：</w:t>
      </w:r>
    </w:p>
    <w:tbl>
      <w:tblPr>
        <w:tblStyle w:val="14"/>
        <w:tblW w:w="0" w:type="auto"/>
        <w:tblInd w:w="0" w:type="dxa"/>
        <w:tblLayout w:type="fixed"/>
        <w:tblCellMar>
          <w:top w:w="0" w:type="dxa"/>
          <w:left w:w="108" w:type="dxa"/>
          <w:bottom w:w="0" w:type="dxa"/>
          <w:right w:w="108" w:type="dxa"/>
        </w:tblCellMar>
      </w:tblPr>
      <w:tblGrid>
        <w:gridCol w:w="912"/>
        <w:gridCol w:w="3997"/>
        <w:gridCol w:w="3728"/>
      </w:tblGrid>
      <w:tr>
        <w:tblPrEx>
          <w:tblCellMar>
            <w:top w:w="0" w:type="dxa"/>
            <w:left w:w="108" w:type="dxa"/>
            <w:bottom w:w="0" w:type="dxa"/>
            <w:right w:w="108" w:type="dxa"/>
          </w:tblCellMar>
        </w:tblPrEx>
        <w:trPr>
          <w:trHeight w:val="90"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目标</w:t>
            </w:r>
          </w:p>
        </w:tc>
        <w:tc>
          <w:tcPr>
            <w:tcW w:w="3997"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预期目标</w:t>
            </w:r>
          </w:p>
        </w:tc>
        <w:tc>
          <w:tcPr>
            <w:tcW w:w="3728"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实际完成</w:t>
            </w:r>
          </w:p>
        </w:tc>
      </w:tr>
      <w:tr>
        <w:tblPrEx>
          <w:tblCellMar>
            <w:top w:w="0" w:type="dxa"/>
            <w:left w:w="108" w:type="dxa"/>
            <w:bottom w:w="0" w:type="dxa"/>
            <w:right w:w="108" w:type="dxa"/>
          </w:tblCellMar>
        </w:tblPrEx>
        <w:trPr>
          <w:trHeight w:val="669"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数量指标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560" w:lineRule="exact"/>
              <w:ind w:firstLine="480" w:firstLineChars="200"/>
              <w:rPr>
                <w:rFonts w:ascii="仿宋_GB2312" w:hAnsi="仿宋_GB2312" w:eastAsia="仿宋_GB2312" w:cs="仿宋_GB2312"/>
                <w:color w:val="000000"/>
              </w:rPr>
            </w:pPr>
            <w:r>
              <w:rPr>
                <w:rFonts w:hint="eastAsia" w:ascii="仿宋_GB2312" w:hAnsi="仿宋_GB2312" w:eastAsia="仿宋_GB2312" w:cs="仿宋_GB2312"/>
                <w:color w:val="000000"/>
              </w:rPr>
              <w:t>对划定的218亩土地进行土地复垦</w:t>
            </w:r>
          </w:p>
        </w:tc>
        <w:tc>
          <w:tcPr>
            <w:tcW w:w="372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均已完成，其中卢沟桥乡糖厂项目8亩土地待验收。</w:t>
            </w:r>
          </w:p>
        </w:tc>
      </w:tr>
      <w:tr>
        <w:tblPrEx>
          <w:tblCellMar>
            <w:top w:w="0" w:type="dxa"/>
            <w:left w:w="108" w:type="dxa"/>
            <w:bottom w:w="0" w:type="dxa"/>
            <w:right w:w="108" w:type="dxa"/>
          </w:tblCellMar>
        </w:tblPrEx>
        <w:trPr>
          <w:trHeight w:val="2621"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质量指标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560" w:lineRule="exact"/>
              <w:ind w:firstLine="480" w:firstLineChars="200"/>
              <w:rPr>
                <w:rFonts w:ascii="仿宋_GB2312" w:hAnsi="仿宋_GB2312" w:eastAsia="仿宋_GB2312" w:cs="仿宋_GB2312"/>
                <w:color w:val="000000"/>
              </w:rPr>
            </w:pPr>
            <w:r>
              <w:rPr>
                <w:rFonts w:hint="eastAsia" w:ascii="仿宋_GB2312" w:hAnsi="仿宋_GB2312" w:eastAsia="仿宋_GB2312" w:cs="仿宋_GB2312"/>
                <w:color w:val="000000"/>
              </w:rPr>
              <w:t>保证复垦土地渣土清运干净、保证复垦土地覆土厚度不低于图纸要求。</w:t>
            </w:r>
          </w:p>
          <w:p>
            <w:pPr>
              <w:widowControl/>
              <w:jc w:val="left"/>
              <w:rPr>
                <w:rFonts w:ascii="仿宋_GB2312" w:hAnsi="仿宋_GB2312" w:eastAsia="仿宋_GB2312" w:cs="仿宋_GB2312"/>
                <w:color w:val="000000"/>
                <w:kern w:val="0"/>
                <w:sz w:val="24"/>
              </w:rPr>
            </w:pPr>
          </w:p>
        </w:tc>
        <w:tc>
          <w:tcPr>
            <w:tcW w:w="372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红线范围内渣土全部清理干净，</w:t>
            </w:r>
            <w:r>
              <w:rPr>
                <w:rFonts w:hint="eastAsia" w:ascii="仿宋_GB2312" w:hAnsi="仿宋_GB2312" w:eastAsia="仿宋_GB2312" w:cs="仿宋_GB2312"/>
                <w:color w:val="000000"/>
                <w:sz w:val="24"/>
              </w:rPr>
              <w:t>覆土厚度高于图纸要求</w:t>
            </w:r>
          </w:p>
        </w:tc>
      </w:tr>
      <w:tr>
        <w:tblPrEx>
          <w:tblCellMar>
            <w:top w:w="0" w:type="dxa"/>
            <w:left w:w="108" w:type="dxa"/>
            <w:bottom w:w="0" w:type="dxa"/>
            <w:right w:w="108" w:type="dxa"/>
          </w:tblCellMar>
        </w:tblPrEx>
        <w:trPr>
          <w:trHeight w:val="1050"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进度指标</w:t>
            </w:r>
          </w:p>
        </w:tc>
        <w:tc>
          <w:tcPr>
            <w:tcW w:w="3997" w:type="dxa"/>
            <w:tcBorders>
              <w:top w:val="single" w:color="auto" w:sz="4" w:space="0"/>
              <w:left w:val="single" w:color="auto" w:sz="4" w:space="0"/>
              <w:bottom w:val="single" w:color="auto" w:sz="4" w:space="0"/>
              <w:right w:val="single" w:color="auto" w:sz="4" w:space="0"/>
            </w:tcBorders>
            <w:vAlign w:val="center"/>
          </w:tcPr>
          <w:p>
            <w:pPr>
              <w:pStyle w:val="25"/>
              <w:spacing w:before="0" w:after="0" w:line="560" w:lineRule="exact"/>
              <w:ind w:firstLine="480" w:firstLineChars="200"/>
              <w:rPr>
                <w:rFonts w:ascii="仿宋_GB2312" w:hAnsi="仿宋_GB2312" w:eastAsia="仿宋_GB2312" w:cs="仿宋_GB2312"/>
                <w:color w:val="000000"/>
              </w:rPr>
            </w:pPr>
            <w:r>
              <w:rPr>
                <w:rFonts w:hint="eastAsia" w:ascii="仿宋_GB2312" w:hAnsi="仿宋_GB2312" w:eastAsia="仿宋_GB2312" w:cs="仿宋_GB2312"/>
                <w:color w:val="000000"/>
              </w:rPr>
              <w:t>2019年12月底前竣工。</w:t>
            </w:r>
          </w:p>
          <w:p>
            <w:pPr>
              <w:widowControl/>
              <w:jc w:val="left"/>
              <w:rPr>
                <w:rFonts w:ascii="仿宋_GB2312" w:hAnsi="仿宋_GB2312" w:eastAsia="仿宋_GB2312" w:cs="仿宋_GB2312"/>
                <w:kern w:val="0"/>
                <w:sz w:val="24"/>
                <w:highlight w:val="yellow"/>
              </w:rPr>
            </w:pPr>
          </w:p>
        </w:tc>
        <w:tc>
          <w:tcPr>
            <w:tcW w:w="372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000000"/>
                <w:kern w:val="0"/>
                <w:sz w:val="24"/>
                <w:highlight w:val="yellow"/>
              </w:rPr>
            </w:pPr>
            <w:r>
              <w:rPr>
                <w:rFonts w:hint="eastAsia" w:ascii="仿宋_GB2312" w:hAnsi="仿宋_GB2312" w:eastAsia="仿宋_GB2312" w:cs="仿宋_GB2312"/>
                <w:color w:val="000000"/>
                <w:kern w:val="0"/>
                <w:sz w:val="24"/>
              </w:rPr>
              <w:t>均已完成，其中卢沟桥乡糖厂项目8亩土地待验收。</w:t>
            </w:r>
          </w:p>
        </w:tc>
      </w:tr>
      <w:tr>
        <w:tblPrEx>
          <w:tblCellMar>
            <w:top w:w="0" w:type="dxa"/>
            <w:left w:w="108" w:type="dxa"/>
            <w:bottom w:w="0" w:type="dxa"/>
            <w:right w:w="108" w:type="dxa"/>
          </w:tblCellMar>
        </w:tblPrEx>
        <w:trPr>
          <w:trHeight w:val="1055" w:hRule="atLeast"/>
        </w:trPr>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产出</w:t>
            </w:r>
            <w:r>
              <w:rPr>
                <w:rFonts w:hint="eastAsia" w:ascii="仿宋_GB2312" w:hAnsi="仿宋_GB2312" w:eastAsia="仿宋_GB2312" w:cs="仿宋_GB2312"/>
                <w:kern w:val="0"/>
                <w:sz w:val="24"/>
              </w:rPr>
              <w:t>成本指标</w:t>
            </w:r>
          </w:p>
        </w:tc>
        <w:tc>
          <w:tcPr>
            <w:tcW w:w="399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4"/>
              </w:rPr>
            </w:pPr>
            <w:r>
              <w:rPr>
                <w:rFonts w:hint="eastAsia" w:ascii="仿宋_GB2312" w:hAnsi="仿宋_GB2312" w:eastAsia="仿宋_GB2312" w:cs="仿宋_GB2312"/>
                <w:sz w:val="24"/>
              </w:rPr>
              <w:t>总成本控制在预算批复数额以内，成本控制在1090万元内</w:t>
            </w:r>
          </w:p>
        </w:tc>
        <w:tc>
          <w:tcPr>
            <w:tcW w:w="372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sz w:val="24"/>
              </w:rPr>
            </w:pPr>
            <w:r>
              <w:rPr>
                <w:rFonts w:hint="eastAsia" w:ascii="仿宋_GB2312" w:hAnsi="仿宋_GB2312" w:eastAsia="仿宋_GB2312" w:cs="仿宋_GB2312"/>
                <w:sz w:val="24"/>
              </w:rPr>
              <w:t>该项目按照预算批复使用财政资金，已支出1013.5万元</w:t>
            </w:r>
            <w:r>
              <w:rPr>
                <w:rFonts w:hint="eastAsia" w:ascii="仿宋_GB2312" w:hAnsi="仿宋_GB2312" w:eastAsia="仿宋_GB2312" w:cs="仿宋_GB2312"/>
                <w:color w:val="000000"/>
                <w:kern w:val="0"/>
                <w:sz w:val="24"/>
              </w:rPr>
              <w:t>。</w:t>
            </w:r>
          </w:p>
        </w:tc>
      </w:tr>
    </w:tbl>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kern w:val="44"/>
          <w:sz w:val="32"/>
          <w:szCs w:val="32"/>
        </w:rPr>
        <w:t>如上所列，项目实施较好达到了预期目标，一定程度上实现了预期效果，</w:t>
      </w:r>
      <w:r>
        <w:rPr>
          <w:rFonts w:hint="eastAsia" w:ascii="仿宋_GB2312" w:hAnsi="仿宋_GB2312" w:eastAsia="仿宋_GB2312" w:cs="仿宋_GB2312"/>
          <w:sz w:val="32"/>
          <w:szCs w:val="32"/>
        </w:rPr>
        <w:t>各项具体工作指标要求完成情况有待进一步完善，但基本实现了平原造林土地复垦达到可种植条件的根本目的。</w:t>
      </w:r>
    </w:p>
    <w:p>
      <w:pPr>
        <w:spacing w:line="560" w:lineRule="exact"/>
        <w:ind w:firstLine="640" w:firstLineChars="200"/>
        <w:rPr>
          <w:rFonts w:ascii="仿宋_GB2312" w:hAnsi="仿宋_GB2312" w:eastAsia="仿宋_GB2312" w:cs="仿宋_GB2312"/>
          <w:bCs/>
          <w:kern w:val="44"/>
          <w:sz w:val="32"/>
          <w:szCs w:val="32"/>
          <w:highlight w:val="yellow"/>
        </w:rPr>
      </w:pPr>
      <w:r>
        <w:rPr>
          <w:rFonts w:hint="eastAsia" w:ascii="仿宋_GB2312" w:hAnsi="仿宋_GB2312" w:eastAsia="仿宋_GB2312" w:cs="仿宋_GB2312"/>
          <w:bCs/>
          <w:kern w:val="44"/>
          <w:sz w:val="32"/>
          <w:szCs w:val="32"/>
        </w:rPr>
        <w:t>（2）项目实施对社会的影响</w:t>
      </w:r>
    </w:p>
    <w:p>
      <w:pPr>
        <w:spacing w:line="560" w:lineRule="exac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社会效益：平原造林土地复垦在改善地区土质的同时提升景观效果，为周围群众提供良好的视觉感受，提升地区绿色指数，营造宜居环境。</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（3）项目可持续影响</w:t>
      </w:r>
    </w:p>
    <w:p>
      <w:pPr>
        <w:widowControl/>
        <w:adjustRightInd w:val="0"/>
        <w:snapToGrid w:val="0"/>
        <w:spacing w:line="560" w:lineRule="exact"/>
        <w:ind w:firstLine="640"/>
        <w:rPr>
          <w:rFonts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通过土地复垦，改良地块土质，使其符合种植条件，提升生态环境品质。</w:t>
      </w:r>
      <w:r>
        <w:rPr>
          <w:rFonts w:hint="eastAsia" w:ascii="仿宋_GB2312" w:hAnsi="仿宋_GB2312" w:eastAsia="仿宋_GB2312" w:cs="仿宋_GB2312"/>
          <w:bCs/>
          <w:kern w:val="44"/>
          <w:sz w:val="32"/>
          <w:szCs w:val="32"/>
        </w:rPr>
        <w:t>但该项目绩效目标短期内无法量化测量，可持续影响证明资料或数据收集难度较大，支撑材料不足。</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（4）服务对象满意度</w:t>
      </w:r>
    </w:p>
    <w:p>
      <w:pPr>
        <w:spacing w:line="560" w:lineRule="exact"/>
        <w:ind w:firstLine="640"/>
        <w:rPr>
          <w:rFonts w:ascii="仿宋_GB2312" w:hAnsi="仿宋_GB2312" w:eastAsia="仿宋_GB2312" w:cs="仿宋_GB2312"/>
          <w:bCs/>
          <w:kern w:val="44"/>
          <w:sz w:val="32"/>
          <w:szCs w:val="32"/>
        </w:rPr>
      </w:pPr>
      <w:bookmarkStart w:id="19" w:name="_Toc390080633"/>
      <w:bookmarkStart w:id="20" w:name="_Toc19470"/>
      <w:r>
        <w:rPr>
          <w:rFonts w:hint="eastAsia" w:ascii="仿宋_GB2312" w:hAnsi="仿宋_GB2312" w:eastAsia="仿宋_GB2312" w:cs="仿宋_GB2312"/>
          <w:kern w:val="0"/>
          <w:sz w:val="32"/>
          <w:szCs w:val="32"/>
        </w:rPr>
        <w:t>2019年，对周边群众就平原造林复垦工作带来的环境改善进行口头满意度调查，满意度达90%。但由于未留存书面材料，</w:t>
      </w:r>
      <w:r>
        <w:rPr>
          <w:rFonts w:hint="eastAsia" w:ascii="仿宋_GB2312" w:hAnsi="仿宋_GB2312" w:eastAsia="仿宋_GB2312" w:cs="仿宋_GB2312"/>
          <w:bCs/>
          <w:kern w:val="44"/>
          <w:sz w:val="32"/>
          <w:szCs w:val="32"/>
        </w:rPr>
        <w:t>缺少反映服务对象满意度的证明材料。</w:t>
      </w:r>
    </w:p>
    <w:p>
      <w:pPr>
        <w:pStyle w:val="3"/>
        <w:spacing w:line="560" w:lineRule="exact"/>
        <w:ind w:firstLine="640"/>
        <w:rPr>
          <w:rFonts w:ascii="黑体" w:hAnsi="黑体" w:eastAsia="黑体" w:cs="黑体"/>
          <w:b w:val="0"/>
          <w:bCs w:val="0"/>
          <w:szCs w:val="32"/>
        </w:rPr>
      </w:pPr>
      <w:r>
        <w:rPr>
          <w:rFonts w:hint="eastAsia" w:ascii="黑体" w:hAnsi="黑体" w:eastAsia="黑体" w:cs="黑体"/>
          <w:b w:val="0"/>
          <w:bCs w:val="0"/>
          <w:szCs w:val="32"/>
        </w:rPr>
        <w:t>四、评价结论</w:t>
      </w:r>
      <w:bookmarkEnd w:id="19"/>
      <w:bookmarkEnd w:id="20"/>
    </w:p>
    <w:p>
      <w:pPr>
        <w:spacing w:line="360" w:lineRule="auto"/>
        <w:ind w:firstLine="640" w:firstLineChars="200"/>
        <w:rPr>
          <w:rFonts w:ascii="仿宋" w:hAnsi="仿宋" w:eastAsia="仿宋" w:cs="仿宋"/>
          <w:sz w:val="32"/>
          <w:szCs w:val="32"/>
        </w:rPr>
      </w:pPr>
      <w:bookmarkStart w:id="21" w:name="_Toc390080634"/>
      <w:bookmarkStart w:id="22" w:name="_Toc26966"/>
      <w:r>
        <w:rPr>
          <w:rFonts w:hint="eastAsia" w:ascii="仿宋" w:hAnsi="仿宋" w:eastAsia="仿宋" w:cs="仿宋"/>
          <w:sz w:val="32"/>
          <w:szCs w:val="32"/>
        </w:rPr>
        <w:t>绩效评价工作组根据项目实际情况，经专家综合评价2019年平原造林土地复垦一次性补助项目绩效评价综合得分81.2分，项目综合绩效评定结论为“良好”。</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项目决策指标满分15分，综合得分12.82分，项目目标比较明确，决策过程比较规范，不足是项目内容的充分性等资料不够充足。</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项目管理指标满分30分，综合得分 25.31分，项目管理较为明确规范，不足是项目相关制度略有欠缺，日常检查监督材料略有不足。</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项目绩效指标满分55分，综合得分43.07分，项目绩效方面较有成效，不足是尚有3.3%的复垦土地未通过验收，工作进度未按期实现。</w:t>
      </w:r>
    </w:p>
    <w:p>
      <w:pPr>
        <w:spacing w:line="360" w:lineRule="auto"/>
        <w:rPr>
          <w:rFonts w:ascii="仿宋" w:hAnsi="仿宋" w:eastAsia="仿宋" w:cs="仿宋"/>
          <w:sz w:val="32"/>
          <w:szCs w:val="32"/>
        </w:rPr>
      </w:pPr>
      <w:r>
        <w:rPr>
          <w:rFonts w:hint="eastAsia" w:ascii="仿宋" w:hAnsi="仿宋" w:eastAsia="仿宋" w:cs="仿宋"/>
          <w:sz w:val="32"/>
          <w:szCs w:val="32"/>
        </w:rPr>
        <w:t>四、问题</w:t>
      </w:r>
    </w:p>
    <w:p>
      <w:pPr>
        <w:pStyle w:val="3"/>
        <w:spacing w:line="560" w:lineRule="exact"/>
        <w:ind w:firstLine="640"/>
        <w:rPr>
          <w:rFonts w:ascii="黑体" w:hAnsi="黑体" w:eastAsia="黑体" w:cs="黑体"/>
          <w:b w:val="0"/>
          <w:bCs w:val="0"/>
          <w:szCs w:val="32"/>
        </w:rPr>
      </w:pPr>
      <w:r>
        <w:rPr>
          <w:rFonts w:hint="eastAsia" w:ascii="黑体" w:hAnsi="黑体" w:eastAsia="黑体" w:cs="黑体"/>
          <w:b w:val="0"/>
          <w:bCs w:val="0"/>
          <w:szCs w:val="32"/>
        </w:rPr>
        <w:t>五、问题</w:t>
      </w:r>
      <w:bookmarkEnd w:id="21"/>
      <w:bookmarkEnd w:id="22"/>
      <w:r>
        <w:rPr>
          <w:rFonts w:hint="eastAsia" w:ascii="黑体" w:hAnsi="黑体" w:eastAsia="黑体" w:cs="黑体"/>
          <w:b w:val="0"/>
          <w:bCs w:val="0"/>
          <w:szCs w:val="32"/>
        </w:rPr>
        <w:t xml:space="preserve"> </w:t>
      </w:r>
      <w:bookmarkStart w:id="23" w:name="_Toc484595392"/>
      <w:bookmarkStart w:id="24" w:name="_Toc169183194"/>
      <w:bookmarkStart w:id="25" w:name="_Toc13142"/>
      <w:bookmarkStart w:id="26" w:name="_Toc390080635"/>
    </w:p>
    <w:bookmarkEnd w:id="23"/>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1.绩效目标设定不够科学合理明确，较笼统、抽象，产出质量指标和效果指标设置不够科学合理，不够具体量化。</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2.服务满意度指标设计的服务对象过于笼统，服务满意度指标达到90%以上的结果没有足够支撑材料。</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3.未针对信息化项目建立专门的项目管理办法，规范项目实施。且缺乏供应商的选择标准及运维体系、工作运行标准。</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4.缺乏专门针对该项目的实施方案，缺乏项目的监督管理机制，缺乏诸如监督检查、进度和效益跟踪评价、验收考评等相关控制措施。项目过程管理体现不充分。</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5.项目未开展服务对象满意度调查，服务对象满意度效果指标没有得到如实反映。</w:t>
      </w:r>
    </w:p>
    <w:p>
      <w:pPr>
        <w:pStyle w:val="3"/>
        <w:spacing w:line="560" w:lineRule="exact"/>
        <w:ind w:firstLine="640"/>
        <w:rPr>
          <w:rFonts w:ascii="黑体" w:hAnsi="黑体" w:eastAsia="黑体" w:cs="黑体"/>
          <w:b w:val="0"/>
          <w:bCs w:val="0"/>
          <w:szCs w:val="32"/>
        </w:rPr>
      </w:pPr>
      <w:bookmarkStart w:id="27" w:name="_Toc484595395"/>
      <w:r>
        <w:rPr>
          <w:rFonts w:hint="eastAsia" w:ascii="黑体" w:hAnsi="黑体" w:eastAsia="黑体" w:cs="黑体"/>
          <w:b w:val="0"/>
          <w:bCs w:val="0"/>
          <w:szCs w:val="32"/>
        </w:rPr>
        <w:t>六、建议</w:t>
      </w:r>
      <w:bookmarkEnd w:id="27"/>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1.提高预算绩效管理意识，绩效指标应根据绩效目标进一步具体细化，尽量用定性和定量相结合的方式，使其更具有可操作性、可衡量性。</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2.客观设置服务满意度评价的评价指标，满意度调查的对象瞄准度应精确细化，应注重服务满意度调查的对象、时间、内容、抽样调查的比例、结果等有关资料的收集整理分析。</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3.加强项目实施过程管理,管理过程要留有足够痕迹说明。注重监督考核等过程资料的搜集工作，做到各个管理环节都及时准确保留文字、图片等资料。</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4.加强反映项目效果的信息资料的归集，及时、全面、完整提供相关资料，体现绩效成果应有相关材料证明,使项目成果得到有效支撑。</w:t>
      </w:r>
    </w:p>
    <w:p>
      <w:pPr>
        <w:spacing w:line="560" w:lineRule="exact"/>
        <w:ind w:firstLine="640" w:firstLineChars="200"/>
        <w:rPr>
          <w:rFonts w:ascii="仿宋_GB2312" w:hAnsi="仿宋_GB2312" w:eastAsia="仿宋_GB2312" w:cs="仿宋_GB2312"/>
          <w:bCs/>
          <w:kern w:val="44"/>
          <w:sz w:val="32"/>
          <w:szCs w:val="32"/>
        </w:rPr>
      </w:pPr>
      <w:r>
        <w:rPr>
          <w:rFonts w:hint="eastAsia" w:ascii="仿宋_GB2312" w:hAnsi="仿宋_GB2312" w:eastAsia="仿宋_GB2312" w:cs="仿宋_GB2312"/>
          <w:bCs/>
          <w:sz w:val="32"/>
          <w:szCs w:val="32"/>
        </w:rPr>
        <w:t>5.重视服务对象满意度调查工作，建议多角度、多形式的开展项目满意度调查工作，及时了解服务对象的反馈与需求，便于更有针对性地开展相关工作。</w:t>
      </w:r>
    </w:p>
    <w:bookmarkEnd w:id="24"/>
    <w:bookmarkEnd w:id="25"/>
    <w:bookmarkEnd w:id="26"/>
    <w:p>
      <w:pPr>
        <w:pStyle w:val="3"/>
        <w:spacing w:line="560" w:lineRule="exact"/>
        <w:ind w:firstLine="640"/>
        <w:rPr>
          <w:rFonts w:ascii="黑体" w:hAnsi="黑体" w:eastAsia="黑体" w:cs="黑体"/>
          <w:b w:val="0"/>
          <w:bCs w:val="0"/>
          <w:szCs w:val="32"/>
        </w:rPr>
      </w:pPr>
      <w:bookmarkStart w:id="28" w:name="_Toc351"/>
      <w:bookmarkStart w:id="29" w:name="_Toc390080636"/>
      <w:r>
        <w:rPr>
          <w:rFonts w:hint="eastAsia" w:ascii="黑体" w:hAnsi="黑体" w:eastAsia="黑体" w:cs="黑体"/>
          <w:b w:val="0"/>
          <w:bCs w:val="0"/>
          <w:szCs w:val="32"/>
        </w:rPr>
        <w:t>七、附件</w:t>
      </w:r>
      <w:bookmarkEnd w:id="28"/>
      <w:bookmarkEnd w:id="29"/>
    </w:p>
    <w:p>
      <w:pPr>
        <w:spacing w:line="360" w:lineRule="auto"/>
        <w:rPr>
          <w:rFonts w:ascii="仿宋" w:hAnsi="仿宋" w:eastAsia="仿宋" w:cs="仿宋"/>
          <w:sz w:val="32"/>
          <w:szCs w:val="32"/>
        </w:rPr>
      </w:pPr>
      <w:r>
        <w:rPr>
          <w:rFonts w:hint="eastAsia" w:ascii="仿宋" w:hAnsi="仿宋" w:eastAsia="仿宋" w:cs="仿宋"/>
          <w:sz w:val="32"/>
          <w:szCs w:val="32"/>
        </w:rPr>
        <w:t>1、项目基本情况表</w:t>
      </w:r>
    </w:p>
    <w:p>
      <w:pPr>
        <w:spacing w:line="360" w:lineRule="auto"/>
        <w:rPr>
          <w:rFonts w:ascii="仿宋" w:hAnsi="仿宋" w:eastAsia="仿宋" w:cs="仿宋"/>
          <w:sz w:val="32"/>
          <w:szCs w:val="32"/>
        </w:rPr>
      </w:pPr>
      <w:r>
        <w:rPr>
          <w:rFonts w:hint="eastAsia" w:ascii="仿宋" w:hAnsi="仿宋" w:eastAsia="仿宋" w:cs="仿宋"/>
          <w:sz w:val="32"/>
          <w:szCs w:val="32"/>
        </w:rPr>
        <w:t>2、项目预算执行情况表</w:t>
      </w:r>
    </w:p>
    <w:p>
      <w:pPr>
        <w:spacing w:line="360" w:lineRule="auto"/>
        <w:rPr>
          <w:rFonts w:ascii="仿宋" w:hAnsi="仿宋" w:eastAsia="仿宋" w:cs="仿宋"/>
          <w:sz w:val="32"/>
          <w:szCs w:val="32"/>
        </w:rPr>
      </w:pPr>
      <w:r>
        <w:rPr>
          <w:rFonts w:hint="eastAsia" w:ascii="仿宋" w:hAnsi="仿宋" w:eastAsia="仿宋" w:cs="仿宋"/>
          <w:sz w:val="32"/>
          <w:szCs w:val="32"/>
        </w:rPr>
        <w:t>3、项目绩效目标完成情况及收支明细表</w:t>
      </w:r>
    </w:p>
    <w:p>
      <w:pPr>
        <w:spacing w:line="360" w:lineRule="auto"/>
        <w:rPr>
          <w:rFonts w:ascii="仿宋" w:hAnsi="仿宋" w:eastAsia="仿宋" w:cs="仿宋"/>
          <w:sz w:val="32"/>
          <w:szCs w:val="32"/>
        </w:rPr>
      </w:pPr>
      <w:r>
        <w:rPr>
          <w:rFonts w:hint="eastAsia" w:ascii="仿宋" w:hAnsi="仿宋" w:eastAsia="仿宋" w:cs="仿宋"/>
          <w:sz w:val="32"/>
          <w:szCs w:val="32"/>
        </w:rPr>
        <w:t>4、财政支出绩效评价打分表</w:t>
      </w:r>
    </w:p>
    <w:p>
      <w:pPr>
        <w:spacing w:line="360" w:lineRule="auto"/>
        <w:rPr>
          <w:rFonts w:ascii="仿宋" w:hAnsi="仿宋" w:eastAsia="仿宋" w:cs="仿宋"/>
          <w:sz w:val="32"/>
          <w:szCs w:val="32"/>
        </w:rPr>
      </w:pPr>
      <w:r>
        <w:rPr>
          <w:rFonts w:hint="eastAsia" w:ascii="仿宋" w:hAnsi="仿宋" w:eastAsia="仿宋" w:cs="仿宋"/>
          <w:sz w:val="32"/>
          <w:szCs w:val="32"/>
        </w:rPr>
        <w:t>5、专家意见汇总书（含专家评分汇总表、专家组成员名单）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6.反映绩效的相关图片（3幅，扉页位置）</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7、项目绩效自评表</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南苑乡人民政府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2020年6月30日</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rPr>
        <w:t>附件1：</w:t>
      </w:r>
    </w:p>
    <w:tbl>
      <w:tblPr>
        <w:tblStyle w:val="14"/>
        <w:tblW w:w="0" w:type="auto"/>
        <w:tblInd w:w="0" w:type="dxa"/>
        <w:tblLayout w:type="fixed"/>
        <w:tblCellMar>
          <w:top w:w="15" w:type="dxa"/>
          <w:left w:w="15" w:type="dxa"/>
          <w:bottom w:w="15" w:type="dxa"/>
          <w:right w:w="15" w:type="dxa"/>
        </w:tblCellMar>
      </w:tblPr>
      <w:tblGrid>
        <w:gridCol w:w="2014"/>
        <w:gridCol w:w="926"/>
        <w:gridCol w:w="1516"/>
        <w:gridCol w:w="1467"/>
        <w:gridCol w:w="1233"/>
        <w:gridCol w:w="1444"/>
      </w:tblGrid>
      <w:tr>
        <w:tblPrEx>
          <w:tblCellMar>
            <w:top w:w="15" w:type="dxa"/>
            <w:left w:w="15" w:type="dxa"/>
            <w:bottom w:w="15" w:type="dxa"/>
            <w:right w:w="15" w:type="dxa"/>
          </w:tblCellMar>
        </w:tblPrEx>
        <w:trPr>
          <w:trHeight w:val="594" w:hRule="atLeast"/>
        </w:trPr>
        <w:tc>
          <w:tcPr>
            <w:tcW w:w="860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2019年平原造林土地复垦项目基本情况表</w:t>
            </w:r>
          </w:p>
        </w:tc>
      </w:tr>
      <w:tr>
        <w:tblPrEx>
          <w:tblCellMar>
            <w:top w:w="15" w:type="dxa"/>
            <w:left w:w="15" w:type="dxa"/>
            <w:bottom w:w="15" w:type="dxa"/>
            <w:right w:w="15" w:type="dxa"/>
          </w:tblCellMar>
        </w:tblPrEx>
        <w:trPr>
          <w:trHeight w:val="593" w:hRule="atLeast"/>
        </w:trPr>
        <w:tc>
          <w:tcPr>
            <w:tcW w:w="20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村</w:t>
            </w:r>
          </w:p>
        </w:tc>
        <w:tc>
          <w:tcPr>
            <w:tcW w:w="92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编号 </w:t>
            </w:r>
          </w:p>
        </w:tc>
        <w:tc>
          <w:tcPr>
            <w:tcW w:w="15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小地名</w:t>
            </w:r>
          </w:p>
        </w:tc>
        <w:tc>
          <w:tcPr>
            <w:tcW w:w="14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核定面积（亩）</w:t>
            </w:r>
          </w:p>
        </w:tc>
        <w:tc>
          <w:tcPr>
            <w:tcW w:w="123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面积合计（亩）</w:t>
            </w:r>
          </w:p>
        </w:tc>
        <w:tc>
          <w:tcPr>
            <w:tcW w:w="144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复垦总金额（元）</w:t>
            </w:r>
          </w:p>
        </w:tc>
      </w:tr>
      <w:tr>
        <w:tblPrEx>
          <w:tblCellMar>
            <w:top w:w="15" w:type="dxa"/>
            <w:left w:w="15" w:type="dxa"/>
            <w:bottom w:w="15" w:type="dxa"/>
            <w:right w:w="15" w:type="dxa"/>
          </w:tblCellMar>
        </w:tblPrEx>
        <w:trPr>
          <w:trHeight w:val="312"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51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666" w:hRule="atLeast"/>
        </w:trPr>
        <w:tc>
          <w:tcPr>
            <w:tcW w:w="20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槐房</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大红门货站两侧</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w:t>
            </w:r>
          </w:p>
        </w:tc>
        <w:tc>
          <w:tcPr>
            <w:tcW w:w="123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115</w:t>
            </w:r>
          </w:p>
        </w:tc>
        <w:tc>
          <w:tcPr>
            <w:tcW w:w="144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5750000</w:t>
            </w:r>
          </w:p>
        </w:tc>
      </w:tr>
      <w:tr>
        <w:tblPrEx>
          <w:tblCellMar>
            <w:top w:w="15" w:type="dxa"/>
            <w:left w:w="15" w:type="dxa"/>
            <w:bottom w:w="15" w:type="dxa"/>
            <w:right w:w="15" w:type="dxa"/>
          </w:tblCellMar>
        </w:tblPrEx>
        <w:trPr>
          <w:trHeight w:val="666"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公益西桥4s店</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82</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666"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槐房绿化队北侧</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782"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桃苑公园东北角槐房段</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353"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115</w:t>
            </w:r>
          </w:p>
        </w:tc>
        <w:tc>
          <w:tcPr>
            <w:tcW w:w="123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552" w:hRule="atLeast"/>
        </w:trPr>
        <w:tc>
          <w:tcPr>
            <w:tcW w:w="20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大红门</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公益东桥东侧</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23</w:t>
            </w:r>
          </w:p>
        </w:tc>
        <w:tc>
          <w:tcPr>
            <w:tcW w:w="123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75</w:t>
            </w:r>
          </w:p>
        </w:tc>
        <w:tc>
          <w:tcPr>
            <w:tcW w:w="144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3750000</w:t>
            </w:r>
          </w:p>
        </w:tc>
      </w:tr>
      <w:tr>
        <w:tblPrEx>
          <w:tblCellMar>
            <w:top w:w="15" w:type="dxa"/>
            <w:left w:w="15" w:type="dxa"/>
            <w:bottom w:w="15" w:type="dxa"/>
            <w:right w:w="15" w:type="dxa"/>
          </w:tblCellMar>
        </w:tblPrEx>
        <w:trPr>
          <w:trHeight w:val="486"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大红门东桥西侧</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652"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大红门东桥铁路南侧</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33</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354"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75</w:t>
            </w:r>
          </w:p>
        </w:tc>
        <w:tc>
          <w:tcPr>
            <w:tcW w:w="123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470" w:hRule="atLeast"/>
        </w:trPr>
        <w:tc>
          <w:tcPr>
            <w:tcW w:w="20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南苑</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舞蹈学院西北角</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23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14</w:t>
            </w:r>
          </w:p>
        </w:tc>
        <w:tc>
          <w:tcPr>
            <w:tcW w:w="144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700000</w:t>
            </w:r>
          </w:p>
        </w:tc>
      </w:tr>
      <w:tr>
        <w:tblPrEx>
          <w:tblCellMar>
            <w:top w:w="15" w:type="dxa"/>
            <w:left w:w="15" w:type="dxa"/>
            <w:bottom w:w="15" w:type="dxa"/>
            <w:right w:w="15" w:type="dxa"/>
          </w:tblCellMar>
        </w:tblPrEx>
        <w:trPr>
          <w:trHeight w:val="386" w:hRule="atLeast"/>
        </w:trPr>
        <w:tc>
          <w:tcPr>
            <w:tcW w:w="20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舞蹈学院东南角</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348"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14</w:t>
            </w:r>
          </w:p>
        </w:tc>
        <w:tc>
          <w:tcPr>
            <w:tcW w:w="123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666"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新宫</w:t>
            </w:r>
          </w:p>
        </w:tc>
        <w:tc>
          <w:tcPr>
            <w:tcW w:w="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5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槐新公园原空地</w:t>
            </w: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12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144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300000</w:t>
            </w:r>
          </w:p>
        </w:tc>
      </w:tr>
      <w:tr>
        <w:tblPrEx>
          <w:tblCellMar>
            <w:top w:w="15" w:type="dxa"/>
            <w:left w:w="15" w:type="dxa"/>
            <w:bottom w:w="15" w:type="dxa"/>
            <w:right w:w="15" w:type="dxa"/>
          </w:tblCellMar>
        </w:tblPrEx>
        <w:trPr>
          <w:trHeight w:val="348"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小计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lang w:bidi="ar"/>
              </w:rPr>
              <w:t>6</w:t>
            </w:r>
          </w:p>
        </w:tc>
        <w:tc>
          <w:tcPr>
            <w:tcW w:w="123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44"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r>
      <w:tr>
        <w:tblPrEx>
          <w:tblCellMar>
            <w:top w:w="15" w:type="dxa"/>
            <w:left w:w="15" w:type="dxa"/>
            <w:bottom w:w="15" w:type="dxa"/>
            <w:right w:w="15" w:type="dxa"/>
          </w:tblCellMar>
        </w:tblPrEx>
        <w:trPr>
          <w:trHeight w:val="605"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 xml:space="preserve">      原糖厂地块</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r>
              <w:rPr>
                <w:rFonts w:hint="eastAsia" w:ascii="宋体" w:hAnsi="宋体" w:cs="宋体"/>
                <w:color w:val="000000"/>
                <w:szCs w:val="21"/>
              </w:rPr>
              <w:t>1</w:t>
            </w: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r>
              <w:rPr>
                <w:rFonts w:hint="eastAsia" w:ascii="宋体" w:hAnsi="宋体" w:cs="宋体"/>
                <w:color w:val="000000"/>
                <w:szCs w:val="21"/>
              </w:rPr>
              <w:t>卢沟桥乡原糖厂地块</w:t>
            </w:r>
          </w:p>
        </w:tc>
        <w:tc>
          <w:tcPr>
            <w:tcW w:w="14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r>
              <w:rPr>
                <w:rFonts w:hint="eastAsia" w:ascii="宋体" w:hAnsi="宋体" w:cs="宋体"/>
                <w:color w:val="000000"/>
                <w:szCs w:val="21"/>
              </w:rPr>
              <w:t>8</w:t>
            </w:r>
          </w:p>
        </w:tc>
        <w:tc>
          <w:tcPr>
            <w:tcW w:w="12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144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400000</w:t>
            </w:r>
          </w:p>
        </w:tc>
      </w:tr>
      <w:tr>
        <w:tblPrEx>
          <w:tblCellMar>
            <w:top w:w="15" w:type="dxa"/>
            <w:left w:w="15" w:type="dxa"/>
            <w:bottom w:w="15" w:type="dxa"/>
            <w:right w:w="15" w:type="dxa"/>
          </w:tblCellMar>
        </w:tblPrEx>
        <w:trPr>
          <w:trHeight w:val="302"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小计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8</w:t>
            </w:r>
          </w:p>
        </w:tc>
        <w:tc>
          <w:tcPr>
            <w:tcW w:w="12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lang w:bidi="ar"/>
              </w:rPr>
            </w:pPr>
          </w:p>
        </w:tc>
        <w:tc>
          <w:tcPr>
            <w:tcW w:w="1444"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kern w:val="0"/>
                <w:szCs w:val="21"/>
                <w:lang w:bidi="ar"/>
              </w:rPr>
            </w:pPr>
          </w:p>
        </w:tc>
      </w:tr>
      <w:tr>
        <w:tblPrEx>
          <w:tblCellMar>
            <w:top w:w="15" w:type="dxa"/>
            <w:left w:w="15" w:type="dxa"/>
            <w:bottom w:w="15" w:type="dxa"/>
            <w:right w:w="15" w:type="dxa"/>
          </w:tblCellMar>
        </w:tblPrEx>
        <w:trPr>
          <w:trHeight w:val="605" w:hRule="atLeast"/>
        </w:trPr>
        <w:tc>
          <w:tcPr>
            <w:tcW w:w="20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总计</w:t>
            </w:r>
          </w:p>
        </w:tc>
        <w:tc>
          <w:tcPr>
            <w:tcW w:w="92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5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4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12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218</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10400000</w:t>
            </w:r>
          </w:p>
        </w:tc>
      </w:tr>
    </w:tbl>
    <w:p>
      <w:pPr>
        <w:spacing w:line="560" w:lineRule="exact"/>
        <w:rPr>
          <w:rFonts w:ascii="仿宋_GB2312" w:hAnsi="仿宋_GB2312" w:eastAsia="仿宋_GB2312" w:cs="仿宋_GB2312"/>
          <w:sz w:val="32"/>
          <w:szCs w:val="32"/>
        </w:rPr>
        <w:sectPr>
          <w:footerReference r:id="rId7" w:type="default"/>
          <w:pgSz w:w="11906" w:h="16838"/>
          <w:pgMar w:top="2098" w:right="1474" w:bottom="2098" w:left="1587" w:header="851" w:footer="992" w:gutter="0"/>
          <w:pgNumType w:start="1"/>
          <w:cols w:space="720" w:num="1"/>
          <w:docGrid w:type="lines" w:linePitch="312" w:charSpace="0"/>
        </w:sect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tbl>
      <w:tblPr>
        <w:tblStyle w:val="14"/>
        <w:tblW w:w="16919" w:type="dxa"/>
        <w:tblInd w:w="-1289" w:type="dxa"/>
        <w:tblLayout w:type="fixed"/>
        <w:tblCellMar>
          <w:top w:w="0" w:type="dxa"/>
          <w:left w:w="0" w:type="dxa"/>
          <w:bottom w:w="0" w:type="dxa"/>
          <w:right w:w="0" w:type="dxa"/>
        </w:tblCellMar>
      </w:tblPr>
      <w:tblGrid>
        <w:gridCol w:w="610"/>
        <w:gridCol w:w="666"/>
        <w:gridCol w:w="1313"/>
        <w:gridCol w:w="1348"/>
        <w:gridCol w:w="1012"/>
        <w:gridCol w:w="925"/>
        <w:gridCol w:w="981"/>
        <w:gridCol w:w="1032"/>
        <w:gridCol w:w="1012"/>
        <w:gridCol w:w="1012"/>
        <w:gridCol w:w="1004"/>
        <w:gridCol w:w="1012"/>
        <w:gridCol w:w="1032"/>
        <w:gridCol w:w="1131"/>
        <w:gridCol w:w="1001"/>
        <w:gridCol w:w="562"/>
        <w:gridCol w:w="673"/>
        <w:gridCol w:w="593"/>
      </w:tblGrid>
      <w:tr>
        <w:tblPrEx>
          <w:tblCellMar>
            <w:top w:w="0" w:type="dxa"/>
            <w:left w:w="0" w:type="dxa"/>
            <w:bottom w:w="0" w:type="dxa"/>
            <w:right w:w="0" w:type="dxa"/>
          </w:tblCellMar>
        </w:tblPrEx>
        <w:trPr>
          <w:trHeight w:val="795" w:hRule="atLeast"/>
        </w:trPr>
        <w:tc>
          <w:tcPr>
            <w:tcW w:w="15417" w:type="dxa"/>
            <w:gridSpan w:val="18"/>
            <w:tcBorders>
              <w:top w:val="nil"/>
              <w:left w:val="nil"/>
              <w:bottom w:val="nil"/>
              <w:right w:val="nil"/>
            </w:tcBorders>
            <w:tcMar>
              <w:top w:w="15" w:type="dxa"/>
              <w:left w:w="15" w:type="dxa"/>
              <w:right w:w="15" w:type="dxa"/>
            </w:tcMar>
            <w:vAlign w:val="bottom"/>
          </w:tcPr>
          <w:p>
            <w:pPr>
              <w:widowControl/>
              <w:jc w:val="center"/>
              <w:textAlignment w:val="bottom"/>
              <w:rPr>
                <w:rFonts w:ascii="宋体" w:hAnsi="宋体" w:cs="宋体"/>
                <w:b/>
                <w:color w:val="000000"/>
                <w:sz w:val="28"/>
                <w:szCs w:val="28"/>
              </w:rPr>
            </w:pPr>
            <w:r>
              <w:rPr>
                <w:rFonts w:hint="eastAsia" w:ascii="宋体" w:hAnsi="宋体" w:cs="宋体"/>
                <w:b/>
                <w:color w:val="000000"/>
                <w:kern w:val="0"/>
                <w:sz w:val="28"/>
                <w:szCs w:val="28"/>
                <w:lang w:bidi="ar"/>
              </w:rPr>
              <w:t>丰台区南苑乡人民政府</w:t>
            </w:r>
            <w:r>
              <w:rPr>
                <w:rFonts w:hint="eastAsia" w:ascii="宋体" w:hAnsi="宋体" w:cs="宋体"/>
                <w:b/>
                <w:color w:val="000000"/>
                <w:kern w:val="0"/>
                <w:sz w:val="28"/>
                <w:szCs w:val="28"/>
                <w:lang w:bidi="ar"/>
              </w:rPr>
              <w:br w:type="textWrapping"/>
            </w:r>
            <w:r>
              <w:rPr>
                <w:rFonts w:hint="eastAsia" w:ascii="宋体" w:hAnsi="宋体" w:cs="宋体"/>
                <w:b/>
                <w:color w:val="000000"/>
                <w:kern w:val="0"/>
                <w:sz w:val="28"/>
                <w:szCs w:val="28"/>
                <w:lang w:bidi="ar"/>
              </w:rPr>
              <w:t>2019年“平原造林土地复垦”项目预算执行情况表</w:t>
            </w:r>
          </w:p>
        </w:tc>
      </w:tr>
      <w:tr>
        <w:tblPrEx>
          <w:tblCellMar>
            <w:top w:w="0" w:type="dxa"/>
            <w:left w:w="0" w:type="dxa"/>
            <w:bottom w:w="0" w:type="dxa"/>
            <w:right w:w="0" w:type="dxa"/>
          </w:tblCellMar>
        </w:tblPrEx>
        <w:trPr>
          <w:trHeight w:val="375" w:hRule="atLeast"/>
        </w:trPr>
        <w:tc>
          <w:tcPr>
            <w:tcW w:w="3589" w:type="dxa"/>
            <w:gridSpan w:val="4"/>
            <w:tcBorders>
              <w:top w:val="nil"/>
              <w:left w:val="nil"/>
              <w:bottom w:val="nil"/>
              <w:right w:val="nil"/>
            </w:tcBorders>
            <w:noWrap/>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项目名称：大红门服装城三期关停补贴</w:t>
            </w:r>
          </w:p>
        </w:tc>
        <w:tc>
          <w:tcPr>
            <w:tcW w:w="922" w:type="dxa"/>
            <w:tcBorders>
              <w:top w:val="nil"/>
              <w:left w:val="nil"/>
              <w:bottom w:val="nil"/>
              <w:right w:val="nil"/>
            </w:tcBorders>
            <w:noWrap/>
            <w:tcMar>
              <w:top w:w="15" w:type="dxa"/>
              <w:left w:w="15" w:type="dxa"/>
              <w:right w:w="15" w:type="dxa"/>
            </w:tcMar>
            <w:vAlign w:val="bottom"/>
          </w:tcPr>
          <w:p>
            <w:pPr>
              <w:jc w:val="left"/>
              <w:rPr>
                <w:rFonts w:ascii="宋体" w:hAnsi="宋体" w:cs="宋体"/>
                <w:color w:val="000000"/>
                <w:sz w:val="20"/>
                <w:szCs w:val="20"/>
              </w:rPr>
            </w:pPr>
          </w:p>
        </w:tc>
        <w:tc>
          <w:tcPr>
            <w:tcW w:w="843" w:type="dxa"/>
            <w:tcBorders>
              <w:top w:val="nil"/>
              <w:left w:val="nil"/>
              <w:bottom w:val="nil"/>
              <w:right w:val="nil"/>
            </w:tcBorders>
            <w:noWrap/>
            <w:tcMar>
              <w:top w:w="15" w:type="dxa"/>
              <w:left w:w="15" w:type="dxa"/>
              <w:right w:w="15" w:type="dxa"/>
            </w:tcMar>
            <w:vAlign w:val="bottom"/>
          </w:tcPr>
          <w:p>
            <w:pPr>
              <w:jc w:val="left"/>
              <w:rPr>
                <w:rFonts w:ascii="宋体" w:hAnsi="宋体" w:cs="宋体"/>
                <w:color w:val="000000"/>
                <w:sz w:val="20"/>
                <w:szCs w:val="20"/>
              </w:rPr>
            </w:pPr>
          </w:p>
        </w:tc>
        <w:tc>
          <w:tcPr>
            <w:tcW w:w="894"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40"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22"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22"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15"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22"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40"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1031"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912"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512" w:type="dxa"/>
            <w:tcBorders>
              <w:top w:val="nil"/>
              <w:left w:val="nil"/>
              <w:bottom w:val="nil"/>
              <w:right w:val="nil"/>
            </w:tcBorders>
            <w:noWrap/>
            <w:tcMar>
              <w:top w:w="15" w:type="dxa"/>
              <w:left w:w="15" w:type="dxa"/>
              <w:right w:w="15" w:type="dxa"/>
            </w:tcMar>
            <w:vAlign w:val="bottom"/>
          </w:tcPr>
          <w:p>
            <w:pPr>
              <w:jc w:val="center"/>
              <w:rPr>
                <w:rFonts w:ascii="宋体" w:hAnsi="宋体" w:cs="宋体"/>
                <w:b/>
                <w:color w:val="000000"/>
                <w:sz w:val="28"/>
                <w:szCs w:val="28"/>
              </w:rPr>
            </w:pPr>
          </w:p>
        </w:tc>
        <w:tc>
          <w:tcPr>
            <w:tcW w:w="1153" w:type="dxa"/>
            <w:gridSpan w:val="2"/>
            <w:tcBorders>
              <w:top w:val="nil"/>
              <w:left w:val="nil"/>
              <w:bottom w:val="single" w:color="000000" w:sz="4" w:space="0"/>
              <w:right w:val="nil"/>
            </w:tcBorders>
            <w:noWrap/>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trHeight w:val="510" w:hRule="atLeast"/>
        </w:trPr>
        <w:tc>
          <w:tcPr>
            <w:tcW w:w="116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预算批复</w:t>
            </w:r>
          </w:p>
        </w:tc>
        <w:tc>
          <w:tcPr>
            <w:tcW w:w="26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资金到位情况 </w:t>
            </w:r>
          </w:p>
        </w:tc>
        <w:tc>
          <w:tcPr>
            <w:tcW w:w="6592" w:type="dxa"/>
            <w:gridSpan w:val="7"/>
            <w:tcBorders>
              <w:top w:val="single" w:color="000000" w:sz="4" w:space="0"/>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预算执行情况</w:t>
            </w:r>
          </w:p>
        </w:tc>
        <w:tc>
          <w:tcPr>
            <w:tcW w:w="91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本年支出进度</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w:t>
            </w:r>
          </w:p>
        </w:tc>
        <w:tc>
          <w:tcPr>
            <w:tcW w:w="51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执行差额</w:t>
            </w:r>
          </w:p>
        </w:tc>
        <w:tc>
          <w:tcPr>
            <w:tcW w:w="613"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资金超支率</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w:t>
            </w:r>
          </w:p>
        </w:tc>
        <w:tc>
          <w:tcPr>
            <w:tcW w:w="540"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备注</w:t>
            </w:r>
          </w:p>
        </w:tc>
      </w:tr>
      <w:tr>
        <w:tblPrEx>
          <w:tblCellMar>
            <w:top w:w="0" w:type="dxa"/>
            <w:left w:w="0" w:type="dxa"/>
            <w:bottom w:w="0" w:type="dxa"/>
            <w:right w:w="0" w:type="dxa"/>
          </w:tblCellMar>
        </w:tblPrEx>
        <w:trPr>
          <w:trHeight w:val="720" w:hRule="atLeast"/>
        </w:trPr>
        <w:tc>
          <w:tcPr>
            <w:tcW w:w="116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1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总预算</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第一、二季度</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第三季度</w:t>
            </w:r>
          </w:p>
        </w:tc>
        <w:tc>
          <w:tcPr>
            <w:tcW w:w="8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第四季度</w:t>
            </w:r>
          </w:p>
        </w:tc>
        <w:tc>
          <w:tcPr>
            <w:tcW w:w="940"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第一、二季度</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15" w:type="dxa"/>
            <w:tcBorders>
              <w:top w:val="single" w:color="000000" w:sz="4" w:space="0"/>
              <w:left w:val="nil"/>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第三季度</w:t>
            </w:r>
          </w:p>
        </w:tc>
        <w:tc>
          <w:tcPr>
            <w:tcW w:w="92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4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第四季度</w:t>
            </w:r>
          </w:p>
        </w:tc>
        <w:tc>
          <w:tcPr>
            <w:tcW w:w="103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1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51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613"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540"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20" w:hRule="atLeast"/>
        </w:trPr>
        <w:tc>
          <w:tcPr>
            <w:tcW w:w="116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1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843"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894"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9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922" w:type="dxa"/>
            <w:tcBorders>
              <w:top w:val="nil"/>
              <w:left w:val="nil"/>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9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10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5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r>
      <w:tr>
        <w:tblPrEx>
          <w:tblCellMar>
            <w:top w:w="0" w:type="dxa"/>
            <w:left w:w="0" w:type="dxa"/>
            <w:bottom w:w="0" w:type="dxa"/>
            <w:right w:w="0" w:type="dxa"/>
          </w:tblCellMar>
        </w:tblPrEx>
        <w:trPr>
          <w:trHeight w:val="420" w:hRule="atLeast"/>
        </w:trPr>
        <w:tc>
          <w:tcPr>
            <w:tcW w:w="5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6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19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1090</w:t>
            </w:r>
          </w:p>
        </w:tc>
        <w:tc>
          <w:tcPr>
            <w:tcW w:w="122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1090</w:t>
            </w:r>
          </w:p>
        </w:tc>
        <w:tc>
          <w:tcPr>
            <w:tcW w:w="92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1090</w:t>
            </w:r>
          </w:p>
        </w:tc>
        <w:tc>
          <w:tcPr>
            <w:tcW w:w="84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9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9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1090</w:t>
            </w:r>
          </w:p>
        </w:tc>
        <w:tc>
          <w:tcPr>
            <w:tcW w:w="92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2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2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1013.5</w:t>
            </w:r>
          </w:p>
        </w:tc>
        <w:tc>
          <w:tcPr>
            <w:tcW w:w="103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1013.5</w:t>
            </w:r>
          </w:p>
        </w:tc>
        <w:tc>
          <w:tcPr>
            <w:tcW w:w="91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93%</w:t>
            </w:r>
          </w:p>
        </w:tc>
        <w:tc>
          <w:tcPr>
            <w:tcW w:w="51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76.5</w:t>
            </w:r>
          </w:p>
        </w:tc>
        <w:tc>
          <w:tcPr>
            <w:tcW w:w="61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99" w:hRule="atLeast"/>
        </w:trPr>
        <w:tc>
          <w:tcPr>
            <w:tcW w:w="5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w:t>
            </w:r>
          </w:p>
        </w:tc>
        <w:tc>
          <w:tcPr>
            <w:tcW w:w="6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1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2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0"/>
                <w:szCs w:val="20"/>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10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6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r>
      <w:tr>
        <w:tblPrEx>
          <w:tblCellMar>
            <w:top w:w="0" w:type="dxa"/>
            <w:left w:w="0" w:type="dxa"/>
            <w:bottom w:w="0" w:type="dxa"/>
            <w:right w:w="0" w:type="dxa"/>
          </w:tblCellMar>
        </w:tblPrEx>
        <w:trPr>
          <w:trHeight w:val="499" w:hRule="atLeast"/>
        </w:trPr>
        <w:tc>
          <w:tcPr>
            <w:tcW w:w="5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left"/>
              <w:rPr>
                <w:rFonts w:ascii="宋体" w:hAnsi="宋体" w:cs="宋体"/>
                <w:color w:val="000000"/>
                <w:sz w:val="20"/>
                <w:szCs w:val="20"/>
              </w:rPr>
            </w:pPr>
          </w:p>
        </w:tc>
        <w:tc>
          <w:tcPr>
            <w:tcW w:w="6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1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2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0"/>
                <w:szCs w:val="20"/>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10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6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r>
      <w:tr>
        <w:tblPrEx>
          <w:tblCellMar>
            <w:top w:w="0" w:type="dxa"/>
            <w:left w:w="0" w:type="dxa"/>
            <w:bottom w:w="0" w:type="dxa"/>
            <w:right w:w="0" w:type="dxa"/>
          </w:tblCellMar>
        </w:tblPrEx>
        <w:trPr>
          <w:trHeight w:val="499" w:hRule="atLeast"/>
        </w:trPr>
        <w:tc>
          <w:tcPr>
            <w:tcW w:w="5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宋体" w:eastAsia="黑体" w:cs="黑体"/>
                <w:color w:val="000000"/>
                <w:sz w:val="20"/>
                <w:szCs w:val="20"/>
              </w:rPr>
            </w:pPr>
          </w:p>
        </w:tc>
        <w:tc>
          <w:tcPr>
            <w:tcW w:w="6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1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2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0"/>
                <w:szCs w:val="20"/>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10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9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6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16"/>
                <w:szCs w:val="16"/>
              </w:rPr>
            </w:pPr>
          </w:p>
        </w:tc>
      </w:tr>
    </w:tbl>
    <w:tbl>
      <w:tblPr>
        <w:tblStyle w:val="14"/>
        <w:tblpPr w:leftFromText="180" w:rightFromText="180" w:vertAnchor="text" w:horzAnchor="page" w:tblpX="744" w:tblpY="67"/>
        <w:tblOverlap w:val="never"/>
        <w:tblW w:w="15150" w:type="dxa"/>
        <w:tblInd w:w="0" w:type="dxa"/>
        <w:tblLayout w:type="fixed"/>
        <w:tblCellMar>
          <w:top w:w="0" w:type="dxa"/>
          <w:left w:w="0" w:type="dxa"/>
          <w:bottom w:w="0" w:type="dxa"/>
          <w:right w:w="0" w:type="dxa"/>
        </w:tblCellMar>
      </w:tblPr>
      <w:tblGrid>
        <w:gridCol w:w="15150"/>
      </w:tblGrid>
      <w:tr>
        <w:tblPrEx>
          <w:tblCellMar>
            <w:top w:w="0" w:type="dxa"/>
            <w:left w:w="0" w:type="dxa"/>
            <w:bottom w:w="0" w:type="dxa"/>
            <w:right w:w="0" w:type="dxa"/>
          </w:tblCellMar>
        </w:tblPrEx>
        <w:trPr>
          <w:trHeight w:val="1710" w:hRule="atLeast"/>
        </w:trPr>
        <w:tc>
          <w:tcPr>
            <w:tcW w:w="15150" w:type="dxa"/>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注：1.此表按项目支出年度分项目进行填写；</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2.执行差额数=预算执行-预算批复（14=8-1）；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3.资金超支率:8=14/1*100%；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4.表中数据以单位实际账面数据为准，保留小数点后两位数字。</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5.跨年支出（即2019年度批复项目在2020年度发生的支出）</w:t>
            </w:r>
          </w:p>
        </w:tc>
      </w:tr>
    </w:tbl>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sectPr>
          <w:pgSz w:w="16838" w:h="11906" w:orient="landscape"/>
          <w:pgMar w:top="1587" w:right="2098" w:bottom="1474" w:left="2098" w:header="851" w:footer="992" w:gutter="0"/>
          <w:cols w:space="720" w:num="1"/>
          <w:docGrid w:type="lines" w:linePitch="312" w:charSpace="0"/>
        </w:sect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附件3：</w:t>
      </w:r>
    </w:p>
    <w:tbl>
      <w:tblPr>
        <w:tblStyle w:val="14"/>
        <w:tblW w:w="10463" w:type="dxa"/>
        <w:tblInd w:w="0" w:type="dxa"/>
        <w:tblLayout w:type="fixed"/>
        <w:tblCellMar>
          <w:top w:w="0" w:type="dxa"/>
          <w:left w:w="0" w:type="dxa"/>
          <w:bottom w:w="0" w:type="dxa"/>
          <w:right w:w="0" w:type="dxa"/>
        </w:tblCellMar>
      </w:tblPr>
      <w:tblGrid>
        <w:gridCol w:w="470"/>
        <w:gridCol w:w="6193"/>
        <w:gridCol w:w="2033"/>
        <w:gridCol w:w="1767"/>
      </w:tblGrid>
      <w:tr>
        <w:tblPrEx>
          <w:tblCellMar>
            <w:top w:w="0" w:type="dxa"/>
            <w:left w:w="0" w:type="dxa"/>
            <w:bottom w:w="0" w:type="dxa"/>
            <w:right w:w="0" w:type="dxa"/>
          </w:tblCellMar>
        </w:tblPrEx>
        <w:trPr>
          <w:trHeight w:val="780" w:hRule="atLeast"/>
        </w:trPr>
        <w:tc>
          <w:tcPr>
            <w:tcW w:w="10463" w:type="dxa"/>
            <w:gridSpan w:val="4"/>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2"/>
                <w:szCs w:val="32"/>
              </w:rPr>
            </w:pPr>
            <w:r>
              <w:rPr>
                <w:rFonts w:hint="eastAsia" w:ascii="宋体" w:hAnsi="宋体" w:cs="宋体"/>
                <w:color w:val="000000"/>
                <w:kern w:val="0"/>
                <w:sz w:val="32"/>
                <w:szCs w:val="32"/>
                <w:lang w:bidi="ar"/>
              </w:rPr>
              <w:t>绩效目标完成情况及收支明细表</w:t>
            </w:r>
          </w:p>
        </w:tc>
      </w:tr>
      <w:tr>
        <w:tblPrEx>
          <w:tblCellMar>
            <w:top w:w="0" w:type="dxa"/>
            <w:left w:w="0" w:type="dxa"/>
            <w:bottom w:w="0" w:type="dxa"/>
            <w:right w:w="0" w:type="dxa"/>
          </w:tblCellMar>
        </w:tblPrEx>
        <w:trPr>
          <w:trHeight w:val="560" w:hRule="atLeast"/>
        </w:trPr>
        <w:tc>
          <w:tcPr>
            <w:tcW w:w="666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审核人：王健</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单位：万元</w:t>
            </w:r>
          </w:p>
        </w:tc>
      </w:tr>
      <w:tr>
        <w:tblPrEx>
          <w:tblCellMar>
            <w:top w:w="0" w:type="dxa"/>
            <w:left w:w="0" w:type="dxa"/>
            <w:bottom w:w="0" w:type="dxa"/>
            <w:right w:w="0" w:type="dxa"/>
          </w:tblCellMar>
        </w:tblPrEx>
        <w:trPr>
          <w:trHeight w:val="560" w:hRule="atLeast"/>
        </w:trPr>
        <w:tc>
          <w:tcPr>
            <w:tcW w:w="4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绩效目标完成情况</w:t>
            </w: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目标内容</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目标调整情况</w:t>
            </w: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实际完成情况</w:t>
            </w:r>
          </w:p>
        </w:tc>
      </w:tr>
      <w:tr>
        <w:tblPrEx>
          <w:tblCellMar>
            <w:top w:w="0" w:type="dxa"/>
            <w:left w:w="0" w:type="dxa"/>
            <w:bottom w:w="0" w:type="dxa"/>
            <w:right w:w="0" w:type="dxa"/>
          </w:tblCellMar>
        </w:tblPrEx>
        <w:trPr>
          <w:trHeight w:val="124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缓</w:t>
            </w:r>
            <w:r>
              <w:rPr>
                <w:rFonts w:hint="eastAsia" w:ascii="宋体" w:hAnsi="宋体" w:cs="宋体"/>
                <w:color w:val="000000"/>
                <w:kern w:val="0"/>
                <w:sz w:val="20"/>
                <w:szCs w:val="20"/>
              </w:rPr>
              <w:t>完成218亩平原造林土地复垦工程，改良地块土质，使其符合种植条件。</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无</w:t>
            </w:r>
          </w:p>
        </w:tc>
        <w:tc>
          <w:tcPr>
            <w:tcW w:w="17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sz w:val="22"/>
                <w:szCs w:val="22"/>
              </w:rPr>
              <w:t>210亩土地已验收合格，8亩土地待验收</w:t>
            </w:r>
          </w:p>
        </w:tc>
      </w:tr>
      <w:tr>
        <w:tblPrEx>
          <w:tblCellMar>
            <w:top w:w="0" w:type="dxa"/>
            <w:left w:w="0" w:type="dxa"/>
            <w:bottom w:w="0" w:type="dxa"/>
            <w:right w:w="0" w:type="dxa"/>
          </w:tblCellMar>
        </w:tblPrEx>
        <w:trPr>
          <w:trHeight w:val="635"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0"/>
                <w:szCs w:val="18"/>
              </w:rPr>
              <w:t>提升百姓人居环境质量。</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sz w:val="22"/>
                <w:szCs w:val="22"/>
              </w:rPr>
              <w:t>绿色指数提升，群众满意度提高。</w:t>
            </w:r>
          </w:p>
        </w:tc>
      </w:tr>
      <w:tr>
        <w:tblPrEx>
          <w:tblCellMar>
            <w:top w:w="0" w:type="dxa"/>
            <w:left w:w="0" w:type="dxa"/>
            <w:bottom w:w="0" w:type="dxa"/>
            <w:right w:w="0" w:type="dxa"/>
          </w:tblCellMar>
        </w:tblPrEx>
        <w:trPr>
          <w:trHeight w:val="520" w:hRule="atLeast"/>
        </w:trPr>
        <w:tc>
          <w:tcPr>
            <w:tcW w:w="4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资金到位情况</w:t>
            </w: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项目资金</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预算批复数</w:t>
            </w: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资金到位数</w:t>
            </w:r>
          </w:p>
        </w:tc>
      </w:tr>
      <w:tr>
        <w:tblPrEx>
          <w:tblCellMar>
            <w:top w:w="0" w:type="dxa"/>
            <w:left w:w="0" w:type="dxa"/>
            <w:bottom w:w="0" w:type="dxa"/>
            <w:right w:w="0" w:type="dxa"/>
          </w:tblCellMar>
        </w:tblPrEx>
        <w:trPr>
          <w:trHeight w:val="52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中央财政欧款</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52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市级配套资金</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52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区级配套资金</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 w:hAnsi="仿宋" w:eastAsia="仿宋" w:cs="仿宋"/>
                <w:color w:val="000000"/>
                <w:sz w:val="24"/>
              </w:rPr>
            </w:pPr>
            <w:r>
              <w:rPr>
                <w:rFonts w:hint="eastAsia" w:ascii="仿宋" w:hAnsi="仿宋" w:eastAsia="仿宋" w:cs="仿宋"/>
                <w:color w:val="000000"/>
                <w:kern w:val="0"/>
                <w:sz w:val="24"/>
                <w:lang w:bidi="ar"/>
              </w:rPr>
              <w:t>1090</w:t>
            </w: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 w:hAnsi="仿宋" w:eastAsia="仿宋" w:cs="仿宋"/>
                <w:color w:val="000000"/>
                <w:sz w:val="24"/>
              </w:rPr>
            </w:pPr>
            <w:r>
              <w:rPr>
                <w:rFonts w:hint="eastAsia" w:ascii="仿宋" w:hAnsi="仿宋" w:eastAsia="仿宋" w:cs="仿宋"/>
                <w:color w:val="000000"/>
                <w:kern w:val="0"/>
                <w:sz w:val="24"/>
                <w:lang w:bidi="ar"/>
              </w:rPr>
              <w:t>1090</w:t>
            </w:r>
          </w:p>
        </w:tc>
      </w:tr>
      <w:tr>
        <w:tblPrEx>
          <w:tblCellMar>
            <w:top w:w="0" w:type="dxa"/>
            <w:left w:w="0" w:type="dxa"/>
            <w:bottom w:w="0" w:type="dxa"/>
            <w:right w:w="0" w:type="dxa"/>
          </w:tblCellMar>
        </w:tblPrEx>
        <w:trPr>
          <w:trHeight w:val="52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自筹资金</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4"/>
              </w:rPr>
            </w:pP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4"/>
              </w:rPr>
            </w:pPr>
          </w:p>
        </w:tc>
      </w:tr>
      <w:tr>
        <w:tblPrEx>
          <w:tblCellMar>
            <w:top w:w="0" w:type="dxa"/>
            <w:left w:w="0" w:type="dxa"/>
            <w:bottom w:w="0" w:type="dxa"/>
            <w:right w:w="0" w:type="dxa"/>
          </w:tblCellMar>
        </w:tblPrEx>
        <w:trPr>
          <w:trHeight w:val="520" w:hRule="atLeast"/>
        </w:trPr>
        <w:tc>
          <w:tcPr>
            <w:tcW w:w="4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资金支出情况</w:t>
            </w: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项目预算支出明细</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预算批复数</w:t>
            </w: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bidi="ar"/>
              </w:rPr>
              <w:t>实际支出数</w:t>
            </w:r>
          </w:p>
        </w:tc>
      </w:tr>
      <w:tr>
        <w:tblPrEx>
          <w:tblCellMar>
            <w:top w:w="0" w:type="dxa"/>
            <w:left w:w="0" w:type="dxa"/>
            <w:bottom w:w="0" w:type="dxa"/>
            <w:right w:w="0" w:type="dxa"/>
          </w:tblCellMar>
        </w:tblPrEx>
        <w:trPr>
          <w:trHeight w:val="86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sz w:val="22"/>
                <w:szCs w:val="22"/>
              </w:rPr>
              <w:t>2019年平原造林土地复垦一次性补助</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 w:hAnsi="仿宋" w:eastAsia="仿宋" w:cs="仿宋"/>
                <w:color w:val="000000"/>
                <w:sz w:val="24"/>
              </w:rPr>
            </w:pPr>
            <w:r>
              <w:rPr>
                <w:rFonts w:hint="eastAsia" w:ascii="仿宋" w:hAnsi="仿宋" w:eastAsia="仿宋" w:cs="仿宋"/>
                <w:color w:val="000000"/>
                <w:kern w:val="0"/>
                <w:sz w:val="24"/>
                <w:lang w:bidi="ar"/>
              </w:rPr>
              <w:t>1090</w:t>
            </w:r>
          </w:p>
        </w:tc>
        <w:tc>
          <w:tcPr>
            <w:tcW w:w="17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48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仿宋_GB2312" w:cs="宋体"/>
                <w:color w:val="000000"/>
                <w:sz w:val="22"/>
                <w:szCs w:val="22"/>
              </w:rPr>
            </w:pPr>
            <w:r>
              <w:rPr>
                <w:rFonts w:hint="eastAsia" w:ascii="宋体" w:hAnsi="宋体" w:cs="宋体"/>
                <w:sz w:val="22"/>
                <w:szCs w:val="22"/>
              </w:rPr>
              <w:t>监理费用支出15.2万元，土地勘察费用支出14.91万元，方案编制费用支出26.52万元，下拨村集体经济组织956.87万元。</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cs="宋体"/>
                <w:color w:val="000000"/>
                <w:sz w:val="22"/>
                <w:szCs w:val="22"/>
              </w:rPr>
            </w:pPr>
            <w:r>
              <w:rPr>
                <w:rFonts w:hint="eastAsia" w:ascii="宋体" w:hAnsi="宋体" w:cs="宋体"/>
                <w:color w:val="000000"/>
                <w:sz w:val="22"/>
                <w:szCs w:val="22"/>
              </w:rPr>
              <w:t>1035</w:t>
            </w:r>
          </w:p>
        </w:tc>
      </w:tr>
      <w:tr>
        <w:tblPrEx>
          <w:tblCellMar>
            <w:top w:w="0" w:type="dxa"/>
            <w:left w:w="0" w:type="dxa"/>
            <w:bottom w:w="0" w:type="dxa"/>
            <w:right w:w="0" w:type="dxa"/>
          </w:tblCellMar>
        </w:tblPrEx>
        <w:trPr>
          <w:trHeight w:val="480" w:hRule="atLeast"/>
        </w:trPr>
        <w:tc>
          <w:tcPr>
            <w:tcW w:w="4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2"/>
                <w:szCs w:val="22"/>
              </w:rPr>
            </w:pPr>
          </w:p>
        </w:tc>
        <w:tc>
          <w:tcPr>
            <w:tcW w:w="61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 w:hAnsi="仿宋" w:eastAsia="仿宋" w:cs="仿宋"/>
                <w:color w:val="000000"/>
                <w:sz w:val="24"/>
              </w:rPr>
            </w:pPr>
            <w:r>
              <w:rPr>
                <w:rFonts w:hint="eastAsia" w:ascii="仿宋" w:hAnsi="仿宋" w:eastAsia="仿宋" w:cs="仿宋"/>
                <w:color w:val="000000"/>
                <w:kern w:val="0"/>
                <w:sz w:val="24"/>
                <w:lang w:bidi="ar"/>
              </w:rPr>
              <w:t>1090</w:t>
            </w:r>
          </w:p>
        </w:tc>
        <w:tc>
          <w:tcPr>
            <w:tcW w:w="17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仿宋" w:hAnsi="仿宋" w:eastAsia="仿宋" w:cs="仿宋"/>
                <w:color w:val="000000"/>
                <w:sz w:val="24"/>
              </w:rPr>
            </w:pPr>
            <w:r>
              <w:rPr>
                <w:rFonts w:hint="eastAsia" w:ascii="仿宋" w:hAnsi="仿宋" w:eastAsia="仿宋" w:cs="仿宋"/>
                <w:color w:val="000000"/>
                <w:kern w:val="0"/>
                <w:sz w:val="24"/>
                <w:lang w:bidi="ar"/>
              </w:rPr>
              <w:t>1035</w:t>
            </w:r>
          </w:p>
        </w:tc>
      </w:tr>
      <w:tr>
        <w:tblPrEx>
          <w:tblCellMar>
            <w:top w:w="0" w:type="dxa"/>
            <w:left w:w="0" w:type="dxa"/>
            <w:bottom w:w="0" w:type="dxa"/>
            <w:right w:w="0" w:type="dxa"/>
          </w:tblCellMar>
        </w:tblPrEx>
        <w:trPr>
          <w:trHeight w:val="480" w:hRule="atLeast"/>
        </w:trPr>
        <w:tc>
          <w:tcPr>
            <w:tcW w:w="470" w:type="dxa"/>
            <w:tcBorders>
              <w:top w:val="nil"/>
              <w:left w:val="nil"/>
              <w:bottom w:val="nil"/>
              <w:right w:val="nil"/>
            </w:tcBorders>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注：</w:t>
            </w:r>
          </w:p>
        </w:tc>
        <w:tc>
          <w:tcPr>
            <w:tcW w:w="6193"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1、预算批复数为项目年度批复的预算数，包含年初批复和年中的追加核减数；</w:t>
            </w:r>
          </w:p>
        </w:tc>
        <w:tc>
          <w:tcPr>
            <w:tcW w:w="2033"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c>
          <w:tcPr>
            <w:tcW w:w="1767"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440" w:hRule="atLeast"/>
        </w:trPr>
        <w:tc>
          <w:tcPr>
            <w:tcW w:w="470" w:type="dxa"/>
            <w:tcBorders>
              <w:top w:val="nil"/>
              <w:left w:val="nil"/>
              <w:bottom w:val="nil"/>
              <w:right w:val="nil"/>
            </w:tcBorders>
            <w:tcMar>
              <w:top w:w="15" w:type="dxa"/>
              <w:left w:w="15" w:type="dxa"/>
              <w:right w:w="15" w:type="dxa"/>
            </w:tcMar>
            <w:vAlign w:val="center"/>
          </w:tcPr>
          <w:p>
            <w:pPr>
              <w:rPr>
                <w:rFonts w:ascii="宋体" w:hAnsi="宋体" w:cs="宋体"/>
                <w:color w:val="000000"/>
                <w:sz w:val="22"/>
                <w:szCs w:val="22"/>
              </w:rPr>
            </w:pPr>
          </w:p>
        </w:tc>
        <w:tc>
          <w:tcPr>
            <w:tcW w:w="9993" w:type="dxa"/>
            <w:gridSpan w:val="3"/>
            <w:tcBorders>
              <w:top w:val="nil"/>
              <w:left w:val="nil"/>
              <w:bottom w:val="nil"/>
              <w:right w:val="nil"/>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2、实际支出数是指对于英项目明细的实际支出数；</w:t>
            </w:r>
          </w:p>
        </w:tc>
      </w:tr>
      <w:tr>
        <w:tblPrEx>
          <w:tblCellMar>
            <w:top w:w="0" w:type="dxa"/>
            <w:left w:w="0" w:type="dxa"/>
            <w:bottom w:w="0" w:type="dxa"/>
            <w:right w:w="0" w:type="dxa"/>
          </w:tblCellMar>
        </w:tblPrEx>
        <w:trPr>
          <w:trHeight w:val="440" w:hRule="atLeast"/>
        </w:trPr>
        <w:tc>
          <w:tcPr>
            <w:tcW w:w="470" w:type="dxa"/>
            <w:tcBorders>
              <w:top w:val="nil"/>
              <w:left w:val="nil"/>
              <w:bottom w:val="nil"/>
              <w:right w:val="nil"/>
            </w:tcBorders>
            <w:tcMar>
              <w:top w:w="15" w:type="dxa"/>
              <w:left w:w="15" w:type="dxa"/>
              <w:right w:w="15" w:type="dxa"/>
            </w:tcMar>
            <w:vAlign w:val="center"/>
          </w:tcPr>
          <w:p>
            <w:pPr>
              <w:rPr>
                <w:rFonts w:ascii="宋体" w:hAnsi="宋体" w:cs="宋体"/>
                <w:color w:val="000000"/>
                <w:sz w:val="22"/>
                <w:szCs w:val="22"/>
              </w:rPr>
            </w:pPr>
          </w:p>
        </w:tc>
        <w:tc>
          <w:tcPr>
            <w:tcW w:w="9993" w:type="dxa"/>
            <w:gridSpan w:val="3"/>
            <w:tcBorders>
              <w:top w:val="nil"/>
              <w:left w:val="nil"/>
              <w:bottom w:val="nil"/>
              <w:right w:val="nil"/>
            </w:tcBorders>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3、表中数据已单位实际账面数据为准，保留小数点后两位数字，</w:t>
            </w:r>
          </w:p>
        </w:tc>
      </w:tr>
    </w:tbl>
    <w:p>
      <w:pPr>
        <w:spacing w:line="560" w:lineRule="exact"/>
        <w:rPr>
          <w:rFonts w:ascii="仿宋_GB2312" w:hAnsi="仿宋_GB2312" w:eastAsia="仿宋_GB2312" w:cs="仿宋_GB2312"/>
          <w:sz w:val="32"/>
          <w:szCs w:val="32"/>
        </w:rPr>
        <w:sectPr>
          <w:pgSz w:w="11906" w:h="16838"/>
          <w:pgMar w:top="2098" w:right="1474" w:bottom="2098" w:left="747" w:header="851" w:footer="992" w:gutter="0"/>
          <w:cols w:space="720" w:num="1"/>
          <w:docGrid w:type="lines" w:linePitch="312" w:charSpace="0"/>
        </w:sect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附件4：</w:t>
      </w:r>
    </w:p>
    <w:tbl>
      <w:tblPr>
        <w:tblStyle w:val="14"/>
        <w:tblW w:w="10117" w:type="dxa"/>
        <w:tblInd w:w="96" w:type="dxa"/>
        <w:tblLayout w:type="fixed"/>
        <w:tblCellMar>
          <w:top w:w="0" w:type="dxa"/>
          <w:left w:w="0" w:type="dxa"/>
          <w:bottom w:w="0" w:type="dxa"/>
          <w:right w:w="0" w:type="dxa"/>
        </w:tblCellMar>
      </w:tblPr>
      <w:tblGrid>
        <w:gridCol w:w="667"/>
        <w:gridCol w:w="746"/>
        <w:gridCol w:w="1037"/>
        <w:gridCol w:w="2564"/>
        <w:gridCol w:w="641"/>
        <w:gridCol w:w="612"/>
        <w:gridCol w:w="3850"/>
      </w:tblGrid>
      <w:tr>
        <w:tblPrEx>
          <w:tblCellMar>
            <w:top w:w="0" w:type="dxa"/>
            <w:left w:w="0" w:type="dxa"/>
            <w:bottom w:w="0" w:type="dxa"/>
            <w:right w:w="0" w:type="dxa"/>
          </w:tblCellMar>
        </w:tblPrEx>
        <w:trPr>
          <w:trHeight w:val="375" w:hRule="atLeast"/>
        </w:trPr>
        <w:tc>
          <w:tcPr>
            <w:tcW w:w="10117" w:type="dxa"/>
            <w:gridSpan w:val="7"/>
            <w:tcBorders>
              <w:top w:val="nil"/>
              <w:left w:val="nil"/>
              <w:bottom w:val="nil"/>
              <w:right w:val="nil"/>
            </w:tcBorders>
            <w:noWrap/>
            <w:tcMar>
              <w:top w:w="15" w:type="dxa"/>
              <w:left w:w="15" w:type="dxa"/>
              <w:right w:w="15" w:type="dxa"/>
            </w:tcMar>
            <w:vAlign w:val="center"/>
          </w:tcPr>
          <w:p>
            <w:pPr>
              <w:widowControl/>
              <w:spacing w:line="560" w:lineRule="exact"/>
              <w:jc w:val="center"/>
              <w:textAlignment w:val="center"/>
              <w:rPr>
                <w:rFonts w:ascii="宋体" w:hAnsi="宋体" w:cs="宋体"/>
                <w:b/>
                <w:color w:val="000000"/>
                <w:sz w:val="28"/>
                <w:szCs w:val="28"/>
              </w:rPr>
            </w:pPr>
            <w:r>
              <w:rPr>
                <w:rFonts w:hint="eastAsia" w:ascii="仿宋_GB2312" w:hAnsi="仿宋_GB2312" w:eastAsia="仿宋_GB2312" w:cs="仿宋_GB2312"/>
                <w:b/>
                <w:color w:val="000000"/>
                <w:kern w:val="0"/>
                <w:sz w:val="32"/>
                <w:szCs w:val="32"/>
              </w:rPr>
              <w:t>项目支出指标体系及评分情况表</w:t>
            </w:r>
          </w:p>
        </w:tc>
      </w:tr>
      <w:tr>
        <w:tblPrEx>
          <w:tblCellMar>
            <w:top w:w="0" w:type="dxa"/>
            <w:left w:w="0" w:type="dxa"/>
            <w:bottom w:w="0" w:type="dxa"/>
            <w:right w:w="0" w:type="dxa"/>
          </w:tblCellMar>
        </w:tblPrEx>
        <w:trPr>
          <w:trHeight w:val="285" w:hRule="atLeast"/>
        </w:trPr>
        <w:tc>
          <w:tcPr>
            <w:tcW w:w="6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一级</w:t>
            </w:r>
          </w:p>
        </w:tc>
        <w:tc>
          <w:tcPr>
            <w:tcW w:w="7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二级</w:t>
            </w: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三级</w:t>
            </w:r>
          </w:p>
        </w:tc>
        <w:tc>
          <w:tcPr>
            <w:tcW w:w="25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四级</w:t>
            </w:r>
          </w:p>
        </w:tc>
        <w:tc>
          <w:tcPr>
            <w:tcW w:w="6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分值</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评价</w:t>
            </w:r>
          </w:p>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得分</w:t>
            </w:r>
          </w:p>
        </w:tc>
        <w:tc>
          <w:tcPr>
            <w:tcW w:w="3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仿宋_GB2312" w:hAnsi="仿宋_GB2312" w:eastAsia="仿宋_GB2312" w:cs="仿宋_GB2312"/>
                <w:b/>
                <w:color w:val="000000"/>
                <w:kern w:val="0"/>
                <w:sz w:val="24"/>
              </w:rPr>
              <w:t>评价意见</w:t>
            </w:r>
          </w:p>
        </w:tc>
      </w:tr>
      <w:tr>
        <w:tblPrEx>
          <w:tblCellMar>
            <w:top w:w="0" w:type="dxa"/>
            <w:left w:w="0" w:type="dxa"/>
            <w:bottom w:w="0" w:type="dxa"/>
            <w:right w:w="0" w:type="dxa"/>
          </w:tblCellMar>
        </w:tblPrEx>
        <w:trPr>
          <w:trHeight w:val="285" w:hRule="atLeast"/>
        </w:trPr>
        <w:tc>
          <w:tcPr>
            <w:tcW w:w="66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决策（15）</w:t>
            </w:r>
          </w:p>
        </w:tc>
        <w:tc>
          <w:tcPr>
            <w:tcW w:w="746"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绩效</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目标（5）</w:t>
            </w:r>
          </w:p>
        </w:tc>
        <w:tc>
          <w:tcPr>
            <w:tcW w:w="103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目标内容</w:t>
            </w:r>
          </w:p>
        </w:tc>
        <w:tc>
          <w:tcPr>
            <w:tcW w:w="256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绩效目标明确</w:t>
            </w:r>
          </w:p>
        </w:tc>
        <w:tc>
          <w:tcPr>
            <w:tcW w:w="64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3</w:t>
            </w:r>
          </w:p>
        </w:tc>
        <w:tc>
          <w:tcPr>
            <w:tcW w:w="612"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绩效目标不够明确，产出质量和效果指标设定较笼统、抽象</w:t>
            </w:r>
          </w:p>
        </w:tc>
      </w:tr>
      <w:tr>
        <w:tblPrEx>
          <w:tblCellMar>
            <w:top w:w="0" w:type="dxa"/>
            <w:left w:w="0" w:type="dxa"/>
            <w:bottom w:w="0" w:type="dxa"/>
            <w:right w:w="0" w:type="dxa"/>
          </w:tblCellMar>
        </w:tblPrEx>
        <w:trPr>
          <w:trHeight w:val="285" w:hRule="atLeast"/>
        </w:trPr>
        <w:tc>
          <w:tcPr>
            <w:tcW w:w="66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绩效目标细化程度</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绩效目标不够细化，产出数量不具体。</w:t>
            </w:r>
          </w:p>
        </w:tc>
      </w:tr>
      <w:tr>
        <w:tblPrEx>
          <w:tblCellMar>
            <w:top w:w="0" w:type="dxa"/>
            <w:left w:w="0" w:type="dxa"/>
            <w:bottom w:w="0" w:type="dxa"/>
            <w:right w:w="0" w:type="dxa"/>
          </w:tblCellMar>
        </w:tblPrEx>
        <w:trPr>
          <w:trHeight w:val="285" w:hRule="atLeast"/>
        </w:trPr>
        <w:tc>
          <w:tcPr>
            <w:tcW w:w="66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决策</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过程（10）</w:t>
            </w: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决策依据</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项目符合发展规划或年度工作计划</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项目与部门发展规划或年度工作计划相符</w:t>
            </w:r>
          </w:p>
        </w:tc>
      </w:tr>
      <w:tr>
        <w:tblPrEx>
          <w:tblCellMar>
            <w:top w:w="0" w:type="dxa"/>
            <w:left w:w="0" w:type="dxa"/>
            <w:bottom w:w="0" w:type="dxa"/>
            <w:right w:w="0" w:type="dxa"/>
          </w:tblCellMar>
        </w:tblPrEx>
        <w:trPr>
          <w:trHeight w:val="285" w:hRule="atLeast"/>
        </w:trPr>
        <w:tc>
          <w:tcPr>
            <w:tcW w:w="66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项目计划合理程度</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eastAsia="仿宋_GB2312" w:cs="宋体"/>
                <w:color w:val="000000"/>
                <w:sz w:val="20"/>
                <w:szCs w:val="20"/>
              </w:rPr>
            </w:pPr>
            <w:r>
              <w:rPr>
                <w:rFonts w:hint="eastAsia" w:ascii="仿宋_GB2312" w:hAnsi="仿宋_GB2312" w:eastAsia="仿宋_GB2312" w:cs="仿宋_GB2312"/>
                <w:color w:val="000000"/>
                <w:szCs w:val="21"/>
              </w:rPr>
              <w:t>项目按计划实施，完成率96.3%</w:t>
            </w:r>
          </w:p>
        </w:tc>
      </w:tr>
      <w:tr>
        <w:tblPrEx>
          <w:tblCellMar>
            <w:top w:w="0" w:type="dxa"/>
            <w:left w:w="0" w:type="dxa"/>
            <w:bottom w:w="0" w:type="dxa"/>
            <w:right w:w="0" w:type="dxa"/>
          </w:tblCellMar>
        </w:tblPrEx>
        <w:trPr>
          <w:trHeight w:val="285" w:hRule="atLeast"/>
        </w:trPr>
        <w:tc>
          <w:tcPr>
            <w:tcW w:w="66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项目立项符合部门职能</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项目立项完全符合部门职能</w:t>
            </w:r>
          </w:p>
        </w:tc>
      </w:tr>
      <w:tr>
        <w:tblPrEx>
          <w:tblCellMar>
            <w:top w:w="0" w:type="dxa"/>
            <w:left w:w="0" w:type="dxa"/>
            <w:bottom w:w="0" w:type="dxa"/>
            <w:right w:w="0" w:type="dxa"/>
          </w:tblCellMar>
        </w:tblPrEx>
        <w:trPr>
          <w:trHeight w:val="285" w:hRule="atLeast"/>
        </w:trPr>
        <w:tc>
          <w:tcPr>
            <w:tcW w:w="66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决策程序</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项目申报和批复程序</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2.5</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项目申报、批复程序符合相关管理办法</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项目决策程序的规范性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2.5</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2.4</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决策程序规范</w:t>
            </w:r>
          </w:p>
        </w:tc>
      </w:tr>
      <w:tr>
        <w:tblPrEx>
          <w:tblCellMar>
            <w:top w:w="0" w:type="dxa"/>
            <w:left w:w="0" w:type="dxa"/>
            <w:bottom w:w="0" w:type="dxa"/>
            <w:right w:w="0" w:type="dxa"/>
          </w:tblCellMar>
        </w:tblPrEx>
        <w:trPr>
          <w:trHeight w:val="285" w:hRule="atLeast"/>
        </w:trPr>
        <w:tc>
          <w:tcPr>
            <w:tcW w:w="66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管理（30）</w:t>
            </w:r>
          </w:p>
        </w:tc>
        <w:tc>
          <w:tcPr>
            <w:tcW w:w="74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资金（15）</w:t>
            </w: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预算管理</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预算编制的细化和准确程度</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1.8</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项目预算编制细化</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预算执行与预算编制一致性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项目预算执行与预算编制一致</w:t>
            </w:r>
          </w:p>
        </w:tc>
      </w:tr>
      <w:tr>
        <w:tblPrEx>
          <w:tblCellMar>
            <w:top w:w="0" w:type="dxa"/>
            <w:left w:w="0" w:type="dxa"/>
            <w:bottom w:w="0" w:type="dxa"/>
            <w:right w:w="0" w:type="dxa"/>
          </w:tblCellMar>
        </w:tblPrEx>
        <w:trPr>
          <w:trHeight w:val="90"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预算执行率</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1.8</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项目预算执行率100%</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资金到位</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资金到位的足额性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项目资金足额拨付到位</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资金到位的及时性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项目资金及时拨付到位</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财务管理</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财务制度的健全性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1.7</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财务制度比较健全，缺少项目资金管理制度</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财务制度执行情况</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财务制度严格有效执行</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会计核算规范性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项目会计核算规范，符合会计原则</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实施（15）</w:t>
            </w: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组织机构</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项目管理执行机构的健全性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项目管理执行机构健全</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项目管理执行机构人员分工明确性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1.3</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项目管理执行机构人员分工不够明确</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制度建设</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项目管理制度的健全性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2</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未建立项目管理制度</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制定实施方案或实施计划</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3</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缺少统筹的实施方案</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过程控制</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项目实施方案执行的有效性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3</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1.5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同上</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项目实施程序合理性</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3</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szCs w:val="21"/>
              </w:rPr>
              <w:t>项目实施程序比较合理</w:t>
            </w:r>
          </w:p>
        </w:tc>
      </w:tr>
      <w:tr>
        <w:tblPrEx>
          <w:tblCellMar>
            <w:top w:w="0" w:type="dxa"/>
            <w:left w:w="0" w:type="dxa"/>
            <w:bottom w:w="0" w:type="dxa"/>
            <w:right w:w="0" w:type="dxa"/>
          </w:tblCellMar>
        </w:tblPrEx>
        <w:trPr>
          <w:trHeight w:val="285" w:hRule="atLeast"/>
        </w:trPr>
        <w:tc>
          <w:tcPr>
            <w:tcW w:w="66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绩效（55）</w:t>
            </w:r>
          </w:p>
        </w:tc>
        <w:tc>
          <w:tcPr>
            <w:tcW w:w="74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产出（30）</w:t>
            </w: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产出数量</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达到预期目标</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10</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9</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达到目标，但量化不足</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产出质量</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达到预期目标</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10</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9</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达到质量目标，量化不足</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产出时效</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达到预期目标</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5</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4</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在预期时限内完成</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产出成本</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成本控制程度</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5</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4.5</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产出成本控制情况良好</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效果（25）</w:t>
            </w: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社会效益</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left="218" w:leftChars="104" w:firstLine="216" w:firstLineChars="103"/>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改良地块土质，使其符合种植条件，提升生态环境品质。</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10</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8</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社会效益明显实现。但支撑材料略显不足，可考核性不充分。</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可持续影响</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left="218" w:leftChars="104" w:firstLine="216" w:firstLineChars="103"/>
              <w:jc w:val="left"/>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提升百姓人居环境质量。</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10</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9</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项目预期可持续影响好</w:t>
            </w:r>
          </w:p>
        </w:tc>
      </w:tr>
      <w:tr>
        <w:tblPrEx>
          <w:tblCellMar>
            <w:top w:w="0" w:type="dxa"/>
            <w:left w:w="0" w:type="dxa"/>
            <w:bottom w:w="0" w:type="dxa"/>
            <w:right w:w="0" w:type="dxa"/>
          </w:tblCellMar>
        </w:tblPrEx>
        <w:trPr>
          <w:trHeight w:val="285" w:hRule="atLeast"/>
        </w:trPr>
        <w:tc>
          <w:tcPr>
            <w:tcW w:w="66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74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cs="宋体"/>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服务对象满意度</w:t>
            </w:r>
          </w:p>
        </w:tc>
        <w:tc>
          <w:tcPr>
            <w:tcW w:w="25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hAnsi="宋体" w:cs="宋体"/>
                <w:color w:val="000000"/>
                <w:sz w:val="20"/>
                <w:szCs w:val="20"/>
              </w:rPr>
            </w:pPr>
            <w:r>
              <w:rPr>
                <w:rFonts w:hint="eastAsia" w:ascii="仿宋_GB2312" w:hAnsi="仿宋_GB2312" w:eastAsia="仿宋_GB2312" w:cs="仿宋_GB2312"/>
                <w:color w:val="000000"/>
                <w:szCs w:val="21"/>
              </w:rPr>
              <w:t>群众满意度</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5</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ascii="仿宋_GB2312" w:hAnsi="宋体" w:eastAsia="仿宋_GB2312" w:cs="仿宋_GB2312"/>
                <w:color w:val="000000"/>
                <w:kern w:val="0"/>
                <w:szCs w:val="21"/>
                <w:lang w:bidi="ar"/>
              </w:rPr>
              <w:t>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仿宋_GB2312" w:hAnsi="仿宋_GB2312" w:eastAsia="仿宋_GB2312" w:cs="仿宋_GB2312"/>
                <w:color w:val="000000"/>
                <w:kern w:val="0"/>
                <w:szCs w:val="21"/>
              </w:rPr>
              <w:t>总体满意，但未开展满意度调查</w:t>
            </w:r>
          </w:p>
        </w:tc>
      </w:tr>
      <w:tr>
        <w:tblPrEx>
          <w:tblCellMar>
            <w:top w:w="0" w:type="dxa"/>
            <w:left w:w="0" w:type="dxa"/>
            <w:bottom w:w="0" w:type="dxa"/>
            <w:right w:w="0" w:type="dxa"/>
          </w:tblCellMar>
        </w:tblPrEx>
        <w:trPr>
          <w:trHeight w:val="285" w:hRule="atLeast"/>
        </w:trPr>
        <w:tc>
          <w:tcPr>
            <w:tcW w:w="501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b/>
                <w:color w:val="000000"/>
                <w:kern w:val="0"/>
                <w:szCs w:val="21"/>
              </w:rPr>
              <w:t>合计</w:t>
            </w:r>
          </w:p>
        </w:tc>
        <w:tc>
          <w:tcPr>
            <w:tcW w:w="6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b/>
                <w:color w:val="000000"/>
                <w:kern w:val="0"/>
                <w:szCs w:val="21"/>
              </w:rPr>
              <w:t>100</w:t>
            </w:r>
          </w:p>
        </w:tc>
        <w:tc>
          <w:tcPr>
            <w:tcW w:w="6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仿宋_GB2312" w:hAnsi="仿宋_GB2312" w:eastAsia="仿宋_GB2312" w:cs="仿宋_GB2312"/>
                <w:b/>
                <w:color w:val="000000"/>
                <w:kern w:val="0"/>
                <w:szCs w:val="21"/>
              </w:rPr>
              <w:t>81.2</w:t>
            </w:r>
          </w:p>
        </w:tc>
        <w:tc>
          <w:tcPr>
            <w:tcW w:w="38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hAnsi="宋体" w:cs="宋体"/>
                <w:color w:val="000000"/>
                <w:sz w:val="20"/>
                <w:szCs w:val="20"/>
              </w:rPr>
            </w:pPr>
          </w:p>
        </w:tc>
      </w:tr>
    </w:tbl>
    <w:p>
      <w:pPr>
        <w:spacing w:line="560" w:lineRule="exact"/>
        <w:rPr>
          <w:rFonts w:ascii="仿宋_GB2312" w:hAnsi="仿宋_GB2312" w:eastAsia="仿宋_GB2312" w:cs="仿宋_GB2312"/>
          <w:sz w:val="32"/>
          <w:szCs w:val="32"/>
        </w:rPr>
        <w:sectPr>
          <w:pgSz w:w="11906" w:h="16838"/>
          <w:pgMar w:top="1417" w:right="454" w:bottom="1304" w:left="747" w:header="851" w:footer="992" w:gutter="0"/>
          <w:cols w:space="720" w:num="1"/>
          <w:docGrid w:type="lines" w:linePitch="312" w:charSpace="0"/>
        </w:sect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附件5：</w:t>
      </w:r>
    </w:p>
    <w:tbl>
      <w:tblPr>
        <w:tblStyle w:val="14"/>
        <w:tblW w:w="9570" w:type="dxa"/>
        <w:tblInd w:w="0" w:type="dxa"/>
        <w:tblLayout w:type="fixed"/>
        <w:tblCellMar>
          <w:top w:w="0" w:type="dxa"/>
          <w:left w:w="0" w:type="dxa"/>
          <w:bottom w:w="0" w:type="dxa"/>
          <w:right w:w="0" w:type="dxa"/>
        </w:tblCellMar>
      </w:tblPr>
      <w:tblGrid>
        <w:gridCol w:w="2070"/>
        <w:gridCol w:w="1451"/>
        <w:gridCol w:w="1049"/>
        <w:gridCol w:w="1050"/>
        <w:gridCol w:w="1050"/>
        <w:gridCol w:w="1050"/>
        <w:gridCol w:w="1050"/>
        <w:gridCol w:w="800"/>
      </w:tblGrid>
      <w:tr>
        <w:tblPrEx>
          <w:tblCellMar>
            <w:top w:w="0" w:type="dxa"/>
            <w:left w:w="0" w:type="dxa"/>
            <w:bottom w:w="0" w:type="dxa"/>
            <w:right w:w="0" w:type="dxa"/>
          </w:tblCellMar>
        </w:tblPrEx>
        <w:trPr>
          <w:trHeight w:val="1161" w:hRule="atLeast"/>
        </w:trPr>
        <w:tc>
          <w:tcPr>
            <w:tcW w:w="9570"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52"/>
                <w:szCs w:val="52"/>
              </w:rPr>
            </w:pPr>
            <w:r>
              <w:rPr>
                <w:rFonts w:hint="eastAsia" w:ascii="宋体" w:hAnsi="宋体" w:cs="宋体"/>
                <w:color w:val="000000"/>
                <w:kern w:val="0"/>
                <w:sz w:val="52"/>
                <w:szCs w:val="52"/>
                <w:lang w:bidi="ar"/>
              </w:rPr>
              <w:t>专家评分汇总表</w:t>
            </w:r>
          </w:p>
        </w:tc>
      </w:tr>
      <w:tr>
        <w:tblPrEx>
          <w:tblCellMar>
            <w:top w:w="0" w:type="dxa"/>
            <w:left w:w="0" w:type="dxa"/>
            <w:bottom w:w="0" w:type="dxa"/>
            <w:right w:w="0" w:type="dxa"/>
          </w:tblCellMar>
        </w:tblPrEx>
        <w:trPr>
          <w:trHeight w:val="102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评价指标及分值</w:t>
            </w:r>
          </w:p>
        </w:tc>
        <w:tc>
          <w:tcPr>
            <w:tcW w:w="7500"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专家评价计分</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评价指标</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分值</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王健</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sz w:val="22"/>
                <w:szCs w:val="22"/>
              </w:rPr>
              <w:t>闫道儒</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sz w:val="22"/>
                <w:szCs w:val="22"/>
              </w:rPr>
              <w:t>刘建</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sz w:val="22"/>
                <w:szCs w:val="22"/>
              </w:rPr>
              <w:t>徐君</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sz w:val="22"/>
                <w:szCs w:val="22"/>
              </w:rPr>
              <w:t>王婧</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平均</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shd w:val="clear" w:color="auto" w:fill="00B050"/>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项目决策</w:t>
            </w:r>
          </w:p>
        </w:tc>
        <w:tc>
          <w:tcPr>
            <w:tcW w:w="1451"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1049"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13.05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12.1</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12.45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w:t>
            </w:r>
          </w:p>
        </w:tc>
        <w:tc>
          <w:tcPr>
            <w:tcW w:w="80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12.82</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绩效目标</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4.75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3.8</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3.75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4.16</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决策过程</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8.3</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8.3</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8.7</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8.66</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shd w:val="clear" w:color="auto" w:fill="00B050"/>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项目管理</w:t>
            </w:r>
          </w:p>
        </w:tc>
        <w:tc>
          <w:tcPr>
            <w:tcW w:w="1451"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30</w:t>
            </w:r>
          </w:p>
        </w:tc>
        <w:tc>
          <w:tcPr>
            <w:tcW w:w="1049"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25.6</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24.2</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25.75</w:t>
            </w:r>
          </w:p>
        </w:tc>
        <w:tc>
          <w:tcPr>
            <w:tcW w:w="80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25.31</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项目资金</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12.25</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13.25</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项目实施</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13.1</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12.2</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13.5</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12.06</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shd w:val="clear" w:color="auto" w:fill="00B050"/>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项目绩效</w:t>
            </w:r>
          </w:p>
        </w:tc>
        <w:tc>
          <w:tcPr>
            <w:tcW w:w="1451"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55</w:t>
            </w:r>
          </w:p>
        </w:tc>
        <w:tc>
          <w:tcPr>
            <w:tcW w:w="1049"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42.7</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43</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42.55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43.4</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43.7</w:t>
            </w:r>
          </w:p>
        </w:tc>
        <w:tc>
          <w:tcPr>
            <w:tcW w:w="80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43.07</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项目产出</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30</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21.55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21.5</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21.2</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21.25</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项目效果</w:t>
            </w:r>
          </w:p>
        </w:tc>
        <w:tc>
          <w:tcPr>
            <w:tcW w:w="14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25</w:t>
            </w:r>
          </w:p>
        </w:tc>
        <w:tc>
          <w:tcPr>
            <w:tcW w:w="10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21.7</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22</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21.9</w:t>
            </w:r>
          </w:p>
        </w:tc>
        <w:tc>
          <w:tcPr>
            <w:tcW w:w="10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22.5</w:t>
            </w:r>
          </w:p>
        </w:tc>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21.82</w:t>
            </w:r>
          </w:p>
        </w:tc>
      </w:tr>
      <w:tr>
        <w:tblPrEx>
          <w:tblCellMar>
            <w:top w:w="0" w:type="dxa"/>
            <w:left w:w="0" w:type="dxa"/>
            <w:bottom w:w="0" w:type="dxa"/>
            <w:right w:w="0" w:type="dxa"/>
          </w:tblCellMar>
        </w:tblPrEx>
        <w:trPr>
          <w:trHeight w:val="840" w:hRule="atLeast"/>
        </w:trPr>
        <w:tc>
          <w:tcPr>
            <w:tcW w:w="2070" w:type="dxa"/>
            <w:tcBorders>
              <w:top w:val="single" w:color="000000" w:sz="4" w:space="0"/>
              <w:left w:val="single" w:color="000000" w:sz="4" w:space="0"/>
              <w:bottom w:val="single" w:color="000000" w:sz="4" w:space="0"/>
              <w:right w:val="single" w:color="000000" w:sz="4" w:space="0"/>
            </w:tcBorders>
            <w:shd w:val="clear" w:color="auto" w:fill="00B050"/>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1451"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81.7</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81.65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80.15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80.05</w:t>
            </w:r>
          </w:p>
        </w:tc>
        <w:tc>
          <w:tcPr>
            <w:tcW w:w="105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82.45</w:t>
            </w:r>
          </w:p>
        </w:tc>
        <w:tc>
          <w:tcPr>
            <w:tcW w:w="800" w:type="dxa"/>
            <w:tcBorders>
              <w:top w:val="single" w:color="000000" w:sz="4" w:space="0"/>
              <w:left w:val="single" w:color="000000" w:sz="4" w:space="0"/>
              <w:bottom w:val="single" w:color="000000" w:sz="4" w:space="0"/>
              <w:right w:val="single" w:color="000000" w:sz="4" w:space="0"/>
            </w:tcBorders>
            <w:shd w:val="clear" w:color="auto" w:fill="00B050"/>
            <w:noWrap/>
            <w:tcMar>
              <w:top w:w="15" w:type="dxa"/>
              <w:left w:w="15" w:type="dxa"/>
              <w:right w:w="15" w:type="dxa"/>
            </w:tcMar>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81.2</w:t>
            </w:r>
          </w:p>
        </w:tc>
      </w:tr>
    </w:tbl>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pStyle w:val="11"/>
        <w:ind w:firstLine="2880" w:firstLineChars="800"/>
        <w:rPr>
          <w:sz w:val="36"/>
          <w:szCs w:val="40"/>
        </w:rPr>
      </w:pPr>
      <w:r>
        <w:rPr>
          <w:rFonts w:hint="eastAsia"/>
          <w:sz w:val="36"/>
          <w:szCs w:val="40"/>
        </w:rPr>
        <w:t>专家评价综合意见书</w:t>
      </w:r>
    </w:p>
    <w:tbl>
      <w:tblPr>
        <w:tblStyle w:val="14"/>
        <w:tblW w:w="8387" w:type="dxa"/>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6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548" w:type="dxa"/>
            <w:vAlign w:val="center"/>
          </w:tcPr>
          <w:p>
            <w:pPr>
              <w:snapToGrid w:val="0"/>
              <w:jc w:val="center"/>
              <w:rPr>
                <w:rFonts w:ascii="宋体" w:hAnsi="宋体"/>
                <w:szCs w:val="21"/>
              </w:rPr>
            </w:pPr>
            <w:r>
              <w:rPr>
                <w:rFonts w:hint="eastAsia" w:ascii="宋体" w:hAnsi="宋体"/>
                <w:szCs w:val="21"/>
              </w:rPr>
              <w:t>评价得分</w:t>
            </w:r>
          </w:p>
        </w:tc>
        <w:tc>
          <w:tcPr>
            <w:tcW w:w="6839" w:type="dxa"/>
            <w:vAlign w:val="center"/>
          </w:tcPr>
          <w:p>
            <w:pPr>
              <w:snapToGrid w:val="0"/>
              <w:jc w:val="center"/>
              <w:rPr>
                <w:rFonts w:ascii="宋体" w:hAnsi="宋体"/>
                <w:szCs w:val="21"/>
              </w:rPr>
            </w:pPr>
            <w:r>
              <w:rPr>
                <w:rFonts w:ascii="宋体" w:hAnsi="宋体"/>
                <w:szCs w:val="21"/>
              </w:rPr>
              <w:t>8</w:t>
            </w: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548" w:type="dxa"/>
            <w:vAlign w:val="center"/>
          </w:tcPr>
          <w:p>
            <w:pPr>
              <w:snapToGrid w:val="0"/>
              <w:jc w:val="center"/>
              <w:rPr>
                <w:rFonts w:ascii="宋体" w:hAnsi="宋体"/>
                <w:szCs w:val="21"/>
              </w:rPr>
            </w:pPr>
            <w:r>
              <w:rPr>
                <w:rFonts w:hint="eastAsia" w:ascii="宋体" w:hAnsi="宋体"/>
                <w:szCs w:val="21"/>
              </w:rPr>
              <w:t>绩效级别</w:t>
            </w:r>
          </w:p>
        </w:tc>
        <w:tc>
          <w:tcPr>
            <w:tcW w:w="6839" w:type="dxa"/>
            <w:vAlign w:val="center"/>
          </w:tcPr>
          <w:p>
            <w:pPr>
              <w:rPr>
                <w:rFonts w:ascii="宋体" w:hAnsi="宋体"/>
                <w:szCs w:val="21"/>
              </w:rPr>
            </w:pPr>
            <w:r>
              <w:rPr>
                <w:rFonts w:hint="eastAsia" w:ascii="宋体" w:hAnsi="宋体"/>
                <w:szCs w:val="21"/>
              </w:rPr>
              <w:t>优秀□</w:t>
            </w:r>
            <w:r>
              <w:rPr>
                <w:rFonts w:ascii="宋体" w:hAnsi="宋体"/>
                <w:szCs w:val="21"/>
              </w:rPr>
              <w:t xml:space="preserve">          </w:t>
            </w:r>
            <w:r>
              <w:rPr>
                <w:rFonts w:hint="eastAsia" w:ascii="宋体" w:hAnsi="宋体"/>
                <w:szCs w:val="21"/>
              </w:rPr>
              <w:t>良好</w:t>
            </w:r>
            <w:r>
              <w:rPr>
                <w:rFonts w:hint="eastAsia" w:ascii="宋体" w:hAnsi="宋体"/>
                <w:szCs w:val="21"/>
              </w:rPr>
              <w:sym w:font="Wingdings 2" w:char="0052"/>
            </w:r>
            <w:r>
              <w:rPr>
                <w:rFonts w:ascii="宋体" w:hAnsi="宋体"/>
                <w:szCs w:val="21"/>
              </w:rPr>
              <w:t xml:space="preserve">        </w:t>
            </w:r>
            <w:r>
              <w:rPr>
                <w:rFonts w:hint="eastAsia" w:ascii="宋体" w:hAnsi="宋体"/>
                <w:szCs w:val="21"/>
              </w:rPr>
              <w:t>一般□</w:t>
            </w:r>
            <w:r>
              <w:rPr>
                <w:rFonts w:ascii="宋体" w:hAnsi="宋体"/>
                <w:szCs w:val="21"/>
              </w:rPr>
              <w:t xml:space="preserve">           </w:t>
            </w:r>
            <w:r>
              <w:rPr>
                <w:rFonts w:hint="eastAsia" w:ascii="宋体" w:hAnsi="宋体"/>
                <w:szCs w:val="21"/>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1" w:hRule="atLeast"/>
        </w:trPr>
        <w:tc>
          <w:tcPr>
            <w:tcW w:w="8387" w:type="dxa"/>
            <w:gridSpan w:val="2"/>
          </w:tcPr>
          <w:p>
            <w:pPr>
              <w:snapToGrid w:val="0"/>
              <w:spacing w:before="120" w:after="60" w:line="360" w:lineRule="auto"/>
              <w:rPr>
                <w:rFonts w:ascii="宋体" w:hAnsi="宋体"/>
                <w:szCs w:val="21"/>
              </w:rPr>
            </w:pPr>
            <w:r>
              <w:rPr>
                <w:rFonts w:hint="eastAsia" w:ascii="宋体" w:hAnsi="宋体"/>
                <w:szCs w:val="21"/>
              </w:rPr>
              <w:t>问题：</w:t>
            </w:r>
          </w:p>
          <w:p>
            <w:pPr>
              <w:numPr>
                <w:ilvl w:val="0"/>
                <w:numId w:val="8"/>
              </w:numPr>
              <w:spacing w:line="360" w:lineRule="auto"/>
              <w:rPr>
                <w:rFonts w:ascii="宋体" w:hAnsi="宋体"/>
                <w:szCs w:val="21"/>
              </w:rPr>
            </w:pPr>
            <w:r>
              <w:rPr>
                <w:rFonts w:hint="eastAsia" w:ascii="宋体" w:hAnsi="宋体"/>
                <w:szCs w:val="21"/>
              </w:rPr>
              <w:t>项目缺少顶层设计。一是整体项目绩效目标申报表过于原则，绩效报告过于简单，未能充分体现绩效意识，立项前期市场调研不够深入，立项依据不足，实施方案不够细致；二是预算管理精细化、规范化水平有待提升，未能充分体现资金管理的经济性。</w:t>
            </w:r>
          </w:p>
          <w:p>
            <w:pPr>
              <w:numPr>
                <w:ilvl w:val="0"/>
                <w:numId w:val="8"/>
              </w:numPr>
              <w:spacing w:line="360" w:lineRule="auto"/>
              <w:rPr>
                <w:rFonts w:ascii="宋体" w:hAnsi="宋体"/>
                <w:szCs w:val="21"/>
              </w:rPr>
            </w:pPr>
            <w:r>
              <w:rPr>
                <w:rFonts w:hint="eastAsia" w:ascii="宋体" w:hAnsi="宋体"/>
                <w:szCs w:val="21"/>
              </w:rPr>
              <w:t>项目绩效管理不到位。一是项目进度未能完成，在规定时间内218亩任务尚有8亩土地未完成验收，说明平原造林土地复垦方案实施的具体制约管理制度不完善，二是对项目实施的过程应当实施严格的监管、监控、监查，并细化档案资料留痕，三是具体文件，项目实施方案应当细化，项目实施过程涉及财务管理工作欠规范（如申报书、预算申报等），未能规范建立台账。</w:t>
            </w:r>
          </w:p>
          <w:p>
            <w:pPr>
              <w:spacing w:line="360" w:lineRule="auto"/>
              <w:rPr>
                <w:rFonts w:ascii="宋体" w:hAnsi="宋体"/>
                <w:szCs w:val="21"/>
              </w:rPr>
            </w:pPr>
            <w:r>
              <w:rPr>
                <w:rFonts w:hint="eastAsia" w:ascii="宋体" w:hAnsi="宋体"/>
                <w:szCs w:val="21"/>
              </w:rPr>
              <w:t>3、项目绩效管理不规范。一是未能按照绩效评价要求进行定量分析，体现投入产出绩效成果，二是绩效目标申报表过于简单，绩效成果产出对比分析说明不够，服务对象满意度过于笼统，未能体现政府、百姓、服务对象三位一体综合反映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5" w:hRule="atLeast"/>
        </w:trPr>
        <w:tc>
          <w:tcPr>
            <w:tcW w:w="8387" w:type="dxa"/>
            <w:gridSpan w:val="2"/>
          </w:tcPr>
          <w:p>
            <w:pPr>
              <w:snapToGrid w:val="0"/>
              <w:spacing w:before="120" w:after="60" w:line="360" w:lineRule="auto"/>
              <w:rPr>
                <w:rFonts w:ascii="宋体" w:hAnsi="宋体"/>
                <w:szCs w:val="21"/>
              </w:rPr>
            </w:pPr>
            <w:r>
              <w:rPr>
                <w:rFonts w:hint="eastAsia" w:ascii="宋体" w:hAnsi="宋体"/>
                <w:szCs w:val="21"/>
              </w:rPr>
              <w:t>建议：</w:t>
            </w:r>
          </w:p>
          <w:p>
            <w:pPr>
              <w:spacing w:line="360" w:lineRule="auto"/>
              <w:rPr>
                <w:rFonts w:ascii="宋体" w:hAnsi="宋体"/>
                <w:szCs w:val="21"/>
              </w:rPr>
            </w:pPr>
            <w:r>
              <w:rPr>
                <w:rFonts w:hint="eastAsia" w:ascii="宋体" w:hAnsi="宋体"/>
                <w:szCs w:val="21"/>
              </w:rPr>
              <w:t>1、依靠政府搞项目，搞好项目促提升，以人民为中心开展工作。严格按照财政资金绩效考核要求，“花钱必问效，无效必问责”。</w:t>
            </w:r>
          </w:p>
          <w:p>
            <w:pPr>
              <w:spacing w:line="360" w:lineRule="auto"/>
              <w:rPr>
                <w:rFonts w:ascii="宋体" w:hAnsi="宋体"/>
                <w:szCs w:val="21"/>
              </w:rPr>
            </w:pPr>
            <w:r>
              <w:rPr>
                <w:rFonts w:hint="eastAsia" w:ascii="宋体" w:hAnsi="宋体"/>
                <w:szCs w:val="21"/>
              </w:rPr>
              <w:t xml:space="preserve"> 2、按照供给导向要求，针对地区发展状况，做好顶层设计，细化实施方案，规范项目管理，严格项目的过程监管、监控、监查，落实项目档案纸面材料。</w:t>
            </w:r>
          </w:p>
          <w:p>
            <w:pPr>
              <w:spacing w:line="360" w:lineRule="auto"/>
              <w:rPr>
                <w:rFonts w:ascii="宋体" w:hAnsi="宋体"/>
                <w:szCs w:val="21"/>
              </w:rPr>
            </w:pPr>
            <w:r>
              <w:rPr>
                <w:rFonts w:hint="eastAsia" w:ascii="宋体" w:hAnsi="宋体"/>
                <w:szCs w:val="21"/>
              </w:rPr>
              <w:t>3、坚持项目先评估后实施、边实施边规范，节约为本、绩效优秀原则，提升精准化水平，做好项目预算管理。</w:t>
            </w:r>
          </w:p>
          <w:p>
            <w:pPr>
              <w:spacing w:line="360" w:lineRule="auto"/>
              <w:rPr>
                <w:rFonts w:ascii="宋体" w:hAnsi="宋体"/>
                <w:szCs w:val="21"/>
              </w:rPr>
            </w:pPr>
            <w:r>
              <w:rPr>
                <w:rFonts w:hint="eastAsia" w:ascii="宋体" w:hAnsi="宋体"/>
                <w:szCs w:val="21"/>
              </w:rPr>
              <w:t>4、按照绩效考核要求，体现项目投入，产出定性与定量相结合的成果分析要求。</w:t>
            </w:r>
          </w:p>
          <w:p>
            <w:pPr>
              <w:spacing w:before="156" w:beforeLines="50"/>
              <w:ind w:right="2050" w:rightChars="976"/>
              <w:jc w:val="right"/>
              <w:rPr>
                <w:rFonts w:ascii="宋体" w:hAnsi="宋体"/>
                <w:szCs w:val="21"/>
              </w:rPr>
            </w:pPr>
            <w:r>
              <w:rPr>
                <w:rFonts w:hint="eastAsia" w:ascii="宋体" w:hAnsi="宋体"/>
                <w:szCs w:val="21"/>
              </w:rPr>
              <w:drawing>
                <wp:anchor distT="0" distB="0" distL="114300" distR="114300" simplePos="0" relativeHeight="251719680" behindDoc="0" locked="0" layoutInCell="1" allowOverlap="1">
                  <wp:simplePos x="0" y="0"/>
                  <wp:positionH relativeFrom="column">
                    <wp:posOffset>3960495</wp:posOffset>
                  </wp:positionH>
                  <wp:positionV relativeFrom="paragraph">
                    <wp:posOffset>24765</wp:posOffset>
                  </wp:positionV>
                  <wp:extent cx="690245" cy="542925"/>
                  <wp:effectExtent l="0" t="0" r="14605" b="9525"/>
                  <wp:wrapSquare wrapText="bothSides"/>
                  <wp:docPr id="61" name="图片 1" descr="王健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descr="王健签名"/>
                          <pic:cNvPicPr>
                            <a:picLocks noChangeAspect="1"/>
                          </pic:cNvPicPr>
                        </pic:nvPicPr>
                        <pic:blipFill>
                          <a:blip r:embed="rId12">
                            <a:biLevel thresh="50000"/>
                            <a:grayscl/>
                          </a:blip>
                          <a:stretch>
                            <a:fillRect/>
                          </a:stretch>
                        </pic:blipFill>
                        <pic:spPr>
                          <a:xfrm>
                            <a:off x="0" y="0"/>
                            <a:ext cx="690245" cy="542925"/>
                          </a:xfrm>
                          <a:prstGeom prst="rect">
                            <a:avLst/>
                          </a:prstGeom>
                          <a:noFill/>
                          <a:ln>
                            <a:noFill/>
                          </a:ln>
                        </pic:spPr>
                      </pic:pic>
                    </a:graphicData>
                  </a:graphic>
                </wp:anchor>
              </w:drawing>
            </w:r>
            <w:r>
              <w:rPr>
                <w:rFonts w:hint="eastAsia" w:ascii="宋体" w:hAnsi="宋体"/>
                <w:szCs w:val="21"/>
              </w:rPr>
              <w:t>专家组组长：</w:t>
            </w:r>
          </w:p>
          <w:p>
            <w:pPr>
              <w:spacing w:before="156" w:beforeLines="50"/>
              <w:ind w:right="2050" w:rightChars="976"/>
              <w:jc w:val="right"/>
              <w:rPr>
                <w:rFonts w:ascii="宋体" w:hAnsi="宋体"/>
                <w:szCs w:val="21"/>
              </w:rPr>
            </w:pPr>
            <w:r>
              <w:rPr>
                <w:rFonts w:hint="eastAsia" w:ascii="宋体" w:hAnsi="宋体"/>
                <w:szCs w:val="21"/>
              </w:rPr>
              <w:t>考评工作组组长：</w:t>
            </w:r>
          </w:p>
          <w:p>
            <w:pPr>
              <w:tabs>
                <w:tab w:val="left" w:pos="7770"/>
              </w:tabs>
              <w:spacing w:before="156" w:beforeLines="50"/>
              <w:ind w:right="1153" w:rightChars="549"/>
              <w:jc w:val="right"/>
              <w:rPr>
                <w:rFonts w:ascii="宋体" w:hAnsi="宋体"/>
                <w:szCs w:val="21"/>
              </w:rPr>
            </w:pPr>
            <w:r>
              <w:rPr>
                <w:rFonts w:ascii="宋体" w:hAnsi="宋体"/>
                <w:szCs w:val="21"/>
              </w:rPr>
              <w:t xml:space="preserve"> </w:t>
            </w:r>
            <w:r>
              <w:rPr>
                <w:rFonts w:hint="eastAsia" w:ascii="宋体" w:hAnsi="宋体"/>
                <w:szCs w:val="21"/>
              </w:rPr>
              <w:t>2020年6月30日</w:t>
            </w:r>
          </w:p>
        </w:tc>
      </w:tr>
    </w:tbl>
    <w:p>
      <w:pPr>
        <w:pStyle w:val="11"/>
        <w:ind w:firstLine="560"/>
        <w:rPr>
          <w:sz w:val="36"/>
          <w:szCs w:val="40"/>
        </w:rPr>
      </w:pPr>
      <w:r>
        <w:rPr>
          <w:rFonts w:ascii="黑体"/>
          <w:szCs w:val="28"/>
        </w:rPr>
        <w:br w:type="page"/>
      </w:r>
      <w:bookmarkStart w:id="30" w:name="_Toc318275102"/>
      <w:r>
        <w:rPr>
          <w:rFonts w:hint="eastAsia" w:ascii="黑体"/>
          <w:szCs w:val="28"/>
        </w:rPr>
        <w:t xml:space="preserve">    </w:t>
      </w:r>
      <w:r>
        <w:rPr>
          <w:rFonts w:hint="eastAsia" w:ascii="黑体"/>
          <w:sz w:val="36"/>
          <w:szCs w:val="36"/>
        </w:rPr>
        <w:t xml:space="preserve">            </w:t>
      </w:r>
      <w:r>
        <w:rPr>
          <w:rFonts w:hint="eastAsia"/>
          <w:sz w:val="36"/>
          <w:szCs w:val="40"/>
        </w:rPr>
        <w:t>专家组基本情况</w:t>
      </w:r>
      <w:bookmarkEnd w:id="30"/>
    </w:p>
    <w:tbl>
      <w:tblPr>
        <w:tblStyle w:val="14"/>
        <w:tblW w:w="9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252"/>
        <w:gridCol w:w="1062"/>
        <w:gridCol w:w="888"/>
        <w:gridCol w:w="1239"/>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122" w:type="dxa"/>
            <w:vAlign w:val="center"/>
          </w:tcPr>
          <w:p>
            <w:pPr>
              <w:jc w:val="center"/>
              <w:rPr>
                <w:rFonts w:ascii="黑体" w:hAnsi="宋体" w:eastAsia="黑体"/>
                <w:sz w:val="24"/>
              </w:rPr>
            </w:pPr>
            <w:r>
              <w:rPr>
                <w:rFonts w:hint="eastAsia" w:ascii="黑体" w:hAnsi="宋体" w:eastAsia="黑体"/>
                <w:sz w:val="24"/>
              </w:rPr>
              <w:t>姓名</w:t>
            </w:r>
          </w:p>
        </w:tc>
        <w:tc>
          <w:tcPr>
            <w:tcW w:w="2252" w:type="dxa"/>
            <w:vAlign w:val="center"/>
          </w:tcPr>
          <w:p>
            <w:pPr>
              <w:jc w:val="center"/>
              <w:rPr>
                <w:rFonts w:ascii="黑体" w:hAnsi="宋体" w:eastAsia="黑体"/>
                <w:sz w:val="24"/>
              </w:rPr>
            </w:pPr>
            <w:r>
              <w:rPr>
                <w:rFonts w:hint="eastAsia" w:ascii="黑体" w:hAnsi="宋体" w:eastAsia="黑体"/>
                <w:sz w:val="24"/>
              </w:rPr>
              <w:t>工作单位</w:t>
            </w:r>
          </w:p>
        </w:tc>
        <w:tc>
          <w:tcPr>
            <w:tcW w:w="1062" w:type="dxa"/>
            <w:vAlign w:val="center"/>
          </w:tcPr>
          <w:p>
            <w:pPr>
              <w:jc w:val="center"/>
              <w:rPr>
                <w:rFonts w:ascii="黑体" w:hAnsi="宋体" w:eastAsia="黑体"/>
                <w:sz w:val="24"/>
              </w:rPr>
            </w:pPr>
            <w:r>
              <w:rPr>
                <w:rFonts w:hint="eastAsia" w:ascii="黑体" w:hAnsi="宋体" w:eastAsia="黑体"/>
                <w:sz w:val="24"/>
              </w:rPr>
              <w:t>职务</w:t>
            </w:r>
          </w:p>
        </w:tc>
        <w:tc>
          <w:tcPr>
            <w:tcW w:w="888" w:type="dxa"/>
            <w:vAlign w:val="center"/>
          </w:tcPr>
          <w:p>
            <w:pPr>
              <w:jc w:val="center"/>
              <w:rPr>
                <w:rFonts w:ascii="黑体" w:hAnsi="宋体" w:eastAsia="黑体"/>
                <w:sz w:val="24"/>
              </w:rPr>
            </w:pPr>
            <w:r>
              <w:rPr>
                <w:rFonts w:hint="eastAsia" w:ascii="黑体" w:hAnsi="宋体" w:eastAsia="黑体"/>
                <w:sz w:val="24"/>
              </w:rPr>
              <w:t>职称</w:t>
            </w:r>
          </w:p>
        </w:tc>
        <w:tc>
          <w:tcPr>
            <w:tcW w:w="1239" w:type="dxa"/>
            <w:vAlign w:val="center"/>
          </w:tcPr>
          <w:p>
            <w:pPr>
              <w:jc w:val="center"/>
              <w:rPr>
                <w:rFonts w:ascii="黑体" w:hAnsi="宋体" w:eastAsia="黑体"/>
                <w:sz w:val="24"/>
              </w:rPr>
            </w:pPr>
            <w:r>
              <w:rPr>
                <w:rFonts w:hint="eastAsia" w:ascii="黑体" w:hAnsi="宋体" w:eastAsia="黑体"/>
                <w:sz w:val="24"/>
              </w:rPr>
              <w:t>专业</w:t>
            </w:r>
          </w:p>
        </w:tc>
        <w:tc>
          <w:tcPr>
            <w:tcW w:w="2533" w:type="dxa"/>
            <w:vAlign w:val="center"/>
          </w:tcPr>
          <w:p>
            <w:pPr>
              <w:jc w:val="center"/>
              <w:rPr>
                <w:rFonts w:ascii="黑体" w:hAnsi="宋体" w:eastAsia="黑体"/>
                <w:sz w:val="24"/>
              </w:rPr>
            </w:pPr>
            <w:r>
              <w:rPr>
                <w:rFonts w:hint="eastAsia" w:ascii="黑体" w:hAnsi="宋体"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blHeader/>
        </w:trPr>
        <w:tc>
          <w:tcPr>
            <w:tcW w:w="1122" w:type="dxa"/>
            <w:vAlign w:val="center"/>
          </w:tcPr>
          <w:p>
            <w:pPr>
              <w:jc w:val="center"/>
              <w:rPr>
                <w:rFonts w:ascii="黑体" w:hAnsi="宋体" w:eastAsia="黑体"/>
                <w:sz w:val="24"/>
              </w:rPr>
            </w:pPr>
            <w:r>
              <w:rPr>
                <w:rFonts w:hint="eastAsia" w:ascii="黑体" w:hAnsi="宋体" w:eastAsia="黑体"/>
                <w:sz w:val="24"/>
              </w:rPr>
              <w:t>王健</w:t>
            </w:r>
          </w:p>
        </w:tc>
        <w:tc>
          <w:tcPr>
            <w:tcW w:w="2252" w:type="dxa"/>
            <w:vAlign w:val="center"/>
          </w:tcPr>
          <w:p>
            <w:pPr>
              <w:jc w:val="center"/>
              <w:rPr>
                <w:rFonts w:ascii="黑体" w:hAnsi="宋体" w:eastAsia="黑体"/>
                <w:sz w:val="24"/>
              </w:rPr>
            </w:pPr>
            <w:r>
              <w:rPr>
                <w:rFonts w:hint="eastAsia" w:ascii="黑体" w:hAnsi="宋体" w:eastAsia="黑体"/>
                <w:sz w:val="24"/>
              </w:rPr>
              <w:t>北京市丰台区南苑乡人民政府</w:t>
            </w:r>
          </w:p>
        </w:tc>
        <w:tc>
          <w:tcPr>
            <w:tcW w:w="1062" w:type="dxa"/>
            <w:vAlign w:val="center"/>
          </w:tcPr>
          <w:p>
            <w:pPr>
              <w:jc w:val="center"/>
              <w:rPr>
                <w:rFonts w:ascii="黑体" w:hAnsi="宋体" w:eastAsia="黑体"/>
                <w:sz w:val="24"/>
              </w:rPr>
            </w:pPr>
            <w:r>
              <w:rPr>
                <w:rFonts w:hint="eastAsia" w:ascii="黑体" w:hAnsi="宋体" w:eastAsia="黑体"/>
                <w:sz w:val="24"/>
              </w:rPr>
              <w:t>常务副乡长</w:t>
            </w:r>
          </w:p>
        </w:tc>
        <w:tc>
          <w:tcPr>
            <w:tcW w:w="888" w:type="dxa"/>
            <w:vAlign w:val="center"/>
          </w:tcPr>
          <w:p>
            <w:pPr>
              <w:jc w:val="center"/>
              <w:rPr>
                <w:rFonts w:ascii="黑体" w:hAnsi="宋体" w:eastAsia="黑体"/>
                <w:sz w:val="24"/>
              </w:rPr>
            </w:pPr>
          </w:p>
        </w:tc>
        <w:tc>
          <w:tcPr>
            <w:tcW w:w="1239" w:type="dxa"/>
            <w:vAlign w:val="center"/>
          </w:tcPr>
          <w:p>
            <w:pPr>
              <w:ind w:firstLine="240" w:firstLineChars="100"/>
              <w:rPr>
                <w:rFonts w:ascii="黑体" w:hAnsi="宋体" w:eastAsia="黑体"/>
                <w:sz w:val="24"/>
              </w:rPr>
            </w:pPr>
            <w:r>
              <w:rPr>
                <w:rFonts w:hint="eastAsia" w:ascii="黑体" w:hAnsi="宋体" w:eastAsia="黑体"/>
                <w:sz w:val="24"/>
              </w:rPr>
              <w:t>会计</w:t>
            </w:r>
          </w:p>
        </w:tc>
        <w:tc>
          <w:tcPr>
            <w:tcW w:w="2533" w:type="dxa"/>
          </w:tcPr>
          <w:p>
            <w:pPr>
              <w:rPr>
                <w:rFonts w:ascii="黑体" w:hAnsi="宋体" w:eastAsia="黑体"/>
                <w:sz w:val="24"/>
              </w:rPr>
            </w:pPr>
            <w:r>
              <w:rPr>
                <w:rFonts w:hint="eastAsia" w:ascii="黑体" w:hAnsi="宋体" w:eastAsia="黑体"/>
                <w:sz w:val="24"/>
              </w:rPr>
              <w:t>常务副乡长，主管财政、经济发展工作。担任绩效评审专家。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blHeader/>
        </w:trPr>
        <w:tc>
          <w:tcPr>
            <w:tcW w:w="1122" w:type="dxa"/>
            <w:vAlign w:val="center"/>
          </w:tcPr>
          <w:p>
            <w:pPr>
              <w:jc w:val="center"/>
              <w:rPr>
                <w:rFonts w:ascii="黑体" w:hAnsi="宋体" w:eastAsia="黑体"/>
                <w:sz w:val="24"/>
              </w:rPr>
            </w:pPr>
            <w:r>
              <w:rPr>
                <w:rFonts w:hint="eastAsia" w:ascii="黑体" w:hAnsi="宋体" w:eastAsia="黑体"/>
                <w:sz w:val="24"/>
              </w:rPr>
              <w:t>闫道儒</w:t>
            </w:r>
          </w:p>
        </w:tc>
        <w:tc>
          <w:tcPr>
            <w:tcW w:w="2252" w:type="dxa"/>
            <w:vAlign w:val="center"/>
          </w:tcPr>
          <w:p>
            <w:pPr>
              <w:jc w:val="center"/>
              <w:rPr>
                <w:rFonts w:ascii="黑体" w:hAnsi="宋体" w:eastAsia="黑体"/>
                <w:sz w:val="24"/>
              </w:rPr>
            </w:pPr>
            <w:r>
              <w:rPr>
                <w:rFonts w:hint="eastAsia" w:ascii="黑体" w:hAnsi="宋体" w:eastAsia="黑体"/>
                <w:sz w:val="24"/>
              </w:rPr>
              <w:t>北京市丰台区南苑乡人民政府</w:t>
            </w:r>
          </w:p>
        </w:tc>
        <w:tc>
          <w:tcPr>
            <w:tcW w:w="1062" w:type="dxa"/>
            <w:vAlign w:val="center"/>
          </w:tcPr>
          <w:p>
            <w:pPr>
              <w:jc w:val="center"/>
              <w:rPr>
                <w:rFonts w:ascii="黑体" w:hAnsi="宋体" w:eastAsia="黑体"/>
                <w:sz w:val="24"/>
              </w:rPr>
            </w:pPr>
            <w:r>
              <w:rPr>
                <w:rFonts w:hint="eastAsia" w:ascii="黑体" w:hAnsi="宋体" w:eastAsia="黑体"/>
                <w:sz w:val="24"/>
              </w:rPr>
              <w:t>副书记</w:t>
            </w:r>
          </w:p>
        </w:tc>
        <w:tc>
          <w:tcPr>
            <w:tcW w:w="888" w:type="dxa"/>
            <w:vAlign w:val="center"/>
          </w:tcPr>
          <w:p>
            <w:pPr>
              <w:jc w:val="center"/>
              <w:rPr>
                <w:rFonts w:ascii="黑体" w:hAnsi="宋体" w:eastAsia="黑体"/>
                <w:sz w:val="24"/>
              </w:rPr>
            </w:pPr>
          </w:p>
        </w:tc>
        <w:tc>
          <w:tcPr>
            <w:tcW w:w="1239" w:type="dxa"/>
            <w:vAlign w:val="center"/>
          </w:tcPr>
          <w:p>
            <w:pPr>
              <w:ind w:firstLine="240" w:firstLineChars="100"/>
              <w:rPr>
                <w:rFonts w:ascii="黑体" w:hAnsi="宋体" w:eastAsia="黑体"/>
                <w:sz w:val="24"/>
              </w:rPr>
            </w:pPr>
            <w:r>
              <w:rPr>
                <w:rFonts w:hint="eastAsia" w:ascii="黑体" w:hAnsi="宋体" w:eastAsia="黑体"/>
                <w:sz w:val="24"/>
              </w:rPr>
              <w:t>经济</w:t>
            </w:r>
          </w:p>
        </w:tc>
        <w:tc>
          <w:tcPr>
            <w:tcW w:w="2533" w:type="dxa"/>
          </w:tcPr>
          <w:p>
            <w:pPr>
              <w:rPr>
                <w:rFonts w:ascii="黑体" w:hAnsi="宋体" w:eastAsia="黑体"/>
                <w:sz w:val="24"/>
              </w:rPr>
            </w:pPr>
            <w:r>
              <w:rPr>
                <w:rFonts w:hint="eastAsia" w:ascii="黑体" w:hAnsi="宋体" w:eastAsia="黑体"/>
                <w:sz w:val="24"/>
              </w:rPr>
              <w:t>副书记，主管政府办工作，主抓绩效考核。担任绩效评审专家。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blHeader/>
        </w:trPr>
        <w:tc>
          <w:tcPr>
            <w:tcW w:w="1122" w:type="dxa"/>
            <w:vAlign w:val="center"/>
          </w:tcPr>
          <w:p>
            <w:pPr>
              <w:jc w:val="center"/>
              <w:rPr>
                <w:rFonts w:ascii="黑体" w:hAnsi="宋体" w:eastAsia="黑体"/>
                <w:sz w:val="24"/>
              </w:rPr>
            </w:pPr>
            <w:r>
              <w:rPr>
                <w:rFonts w:hint="eastAsia" w:ascii="黑体" w:hAnsi="宋体" w:eastAsia="黑体"/>
                <w:sz w:val="24"/>
              </w:rPr>
              <w:t>刘建</w:t>
            </w:r>
          </w:p>
        </w:tc>
        <w:tc>
          <w:tcPr>
            <w:tcW w:w="2252" w:type="dxa"/>
            <w:vAlign w:val="center"/>
          </w:tcPr>
          <w:p>
            <w:pPr>
              <w:jc w:val="center"/>
              <w:rPr>
                <w:rFonts w:ascii="黑体" w:hAnsi="宋体" w:eastAsia="黑体"/>
                <w:sz w:val="24"/>
              </w:rPr>
            </w:pPr>
            <w:r>
              <w:rPr>
                <w:rFonts w:hint="eastAsia" w:ascii="黑体" w:hAnsi="宋体" w:eastAsia="黑体"/>
                <w:sz w:val="24"/>
              </w:rPr>
              <w:t>北京市丰台区南苑乡人民政府</w:t>
            </w:r>
          </w:p>
        </w:tc>
        <w:tc>
          <w:tcPr>
            <w:tcW w:w="1062" w:type="dxa"/>
            <w:vAlign w:val="center"/>
          </w:tcPr>
          <w:p>
            <w:pPr>
              <w:jc w:val="center"/>
              <w:rPr>
                <w:rFonts w:ascii="黑体" w:hAnsi="宋体" w:eastAsia="黑体"/>
                <w:sz w:val="24"/>
              </w:rPr>
            </w:pPr>
            <w:r>
              <w:rPr>
                <w:rFonts w:hint="eastAsia" w:ascii="黑体" w:hAnsi="宋体" w:eastAsia="黑体"/>
                <w:sz w:val="24"/>
              </w:rPr>
              <w:t>副乡长</w:t>
            </w:r>
          </w:p>
        </w:tc>
        <w:tc>
          <w:tcPr>
            <w:tcW w:w="888" w:type="dxa"/>
            <w:vAlign w:val="center"/>
          </w:tcPr>
          <w:p>
            <w:pPr>
              <w:jc w:val="center"/>
              <w:rPr>
                <w:rFonts w:ascii="黑体" w:hAnsi="宋体" w:eastAsia="黑体"/>
                <w:sz w:val="24"/>
              </w:rPr>
            </w:pPr>
          </w:p>
        </w:tc>
        <w:tc>
          <w:tcPr>
            <w:tcW w:w="1239" w:type="dxa"/>
            <w:vAlign w:val="center"/>
          </w:tcPr>
          <w:p>
            <w:pPr>
              <w:ind w:firstLine="240" w:firstLineChars="100"/>
              <w:rPr>
                <w:rFonts w:ascii="黑体" w:hAnsi="宋体" w:eastAsia="黑体"/>
                <w:sz w:val="24"/>
              </w:rPr>
            </w:pPr>
            <w:r>
              <w:rPr>
                <w:rFonts w:hint="eastAsia" w:ascii="黑体" w:hAnsi="宋体" w:eastAsia="黑体"/>
                <w:sz w:val="24"/>
              </w:rPr>
              <w:t>园林</w:t>
            </w:r>
          </w:p>
        </w:tc>
        <w:tc>
          <w:tcPr>
            <w:tcW w:w="2533" w:type="dxa"/>
          </w:tcPr>
          <w:p>
            <w:pPr>
              <w:rPr>
                <w:rFonts w:ascii="黑体" w:hAnsi="宋体" w:eastAsia="黑体"/>
                <w:sz w:val="24"/>
              </w:rPr>
            </w:pPr>
            <w:r>
              <w:rPr>
                <w:rFonts w:hint="eastAsia" w:ascii="黑体" w:hAnsi="宋体" w:eastAsia="黑体"/>
                <w:sz w:val="24"/>
              </w:rPr>
              <w:t>副乡长，主管园林、绿化工作。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blHeader/>
        </w:trPr>
        <w:tc>
          <w:tcPr>
            <w:tcW w:w="1122" w:type="dxa"/>
            <w:vAlign w:val="center"/>
          </w:tcPr>
          <w:p>
            <w:pPr>
              <w:jc w:val="center"/>
              <w:rPr>
                <w:rFonts w:ascii="黑体" w:hAnsi="宋体" w:eastAsia="黑体"/>
                <w:sz w:val="24"/>
              </w:rPr>
            </w:pPr>
            <w:r>
              <w:rPr>
                <w:rFonts w:hint="eastAsia" w:ascii="黑体" w:hAnsi="宋体" w:eastAsia="黑体"/>
                <w:sz w:val="24"/>
              </w:rPr>
              <w:t>徐君</w:t>
            </w:r>
          </w:p>
        </w:tc>
        <w:tc>
          <w:tcPr>
            <w:tcW w:w="2252" w:type="dxa"/>
            <w:vAlign w:val="center"/>
          </w:tcPr>
          <w:p>
            <w:pPr>
              <w:jc w:val="center"/>
              <w:rPr>
                <w:rFonts w:ascii="黑体" w:hAnsi="宋体" w:eastAsia="黑体"/>
                <w:sz w:val="24"/>
              </w:rPr>
            </w:pPr>
            <w:r>
              <w:rPr>
                <w:rFonts w:hint="eastAsia" w:ascii="黑体" w:hAnsi="宋体" w:eastAsia="黑体"/>
                <w:sz w:val="24"/>
              </w:rPr>
              <w:t>北京市丰台区南苑乡人民政府</w:t>
            </w:r>
          </w:p>
        </w:tc>
        <w:tc>
          <w:tcPr>
            <w:tcW w:w="1062" w:type="dxa"/>
            <w:vAlign w:val="center"/>
          </w:tcPr>
          <w:p>
            <w:pPr>
              <w:jc w:val="center"/>
              <w:rPr>
                <w:rFonts w:ascii="黑体" w:hAnsi="宋体" w:eastAsia="黑体"/>
                <w:sz w:val="24"/>
              </w:rPr>
            </w:pPr>
            <w:r>
              <w:rPr>
                <w:rFonts w:hint="eastAsia" w:ascii="黑体" w:hAnsi="宋体" w:eastAsia="黑体"/>
                <w:sz w:val="24"/>
              </w:rPr>
              <w:t>四级调研员</w:t>
            </w:r>
          </w:p>
        </w:tc>
        <w:tc>
          <w:tcPr>
            <w:tcW w:w="888" w:type="dxa"/>
            <w:vAlign w:val="center"/>
          </w:tcPr>
          <w:p>
            <w:pPr>
              <w:jc w:val="center"/>
              <w:rPr>
                <w:rFonts w:ascii="黑体" w:hAnsi="宋体" w:eastAsia="黑体"/>
                <w:sz w:val="24"/>
              </w:rPr>
            </w:pPr>
            <w:r>
              <w:rPr>
                <w:rFonts w:hint="eastAsia" w:ascii="黑体" w:hAnsi="宋体" w:eastAsia="黑体"/>
                <w:sz w:val="24"/>
              </w:rPr>
              <w:t>中级会计师</w:t>
            </w:r>
          </w:p>
        </w:tc>
        <w:tc>
          <w:tcPr>
            <w:tcW w:w="1239" w:type="dxa"/>
            <w:vAlign w:val="center"/>
          </w:tcPr>
          <w:p>
            <w:pPr>
              <w:jc w:val="center"/>
              <w:rPr>
                <w:rFonts w:ascii="黑体" w:hAnsi="宋体" w:eastAsia="黑体"/>
                <w:sz w:val="24"/>
              </w:rPr>
            </w:pPr>
            <w:r>
              <w:rPr>
                <w:rFonts w:hint="eastAsia" w:ascii="黑体" w:hAnsi="宋体" w:eastAsia="黑体"/>
                <w:sz w:val="24"/>
              </w:rPr>
              <w:t>会计</w:t>
            </w:r>
          </w:p>
        </w:tc>
        <w:tc>
          <w:tcPr>
            <w:tcW w:w="2533" w:type="dxa"/>
          </w:tcPr>
          <w:p>
            <w:pPr>
              <w:jc w:val="center"/>
              <w:rPr>
                <w:rFonts w:ascii="宋体" w:hAnsi="宋体" w:cs="宋体"/>
                <w:sz w:val="24"/>
              </w:rPr>
            </w:pPr>
          </w:p>
          <w:p>
            <w:pPr>
              <w:rPr>
                <w:rFonts w:ascii="黑体" w:hAnsi="宋体" w:eastAsia="黑体"/>
                <w:sz w:val="24"/>
              </w:rPr>
            </w:pPr>
            <w:r>
              <w:rPr>
                <w:rFonts w:hint="eastAsia" w:ascii="黑体" w:hAnsi="宋体" w:eastAsia="黑体"/>
                <w:sz w:val="24"/>
              </w:rPr>
              <w:t>四级调研员，具有多年财会、审计工作经验。担任业务评审专家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blHeader/>
        </w:trPr>
        <w:tc>
          <w:tcPr>
            <w:tcW w:w="1122" w:type="dxa"/>
            <w:vAlign w:val="center"/>
          </w:tcPr>
          <w:p>
            <w:pPr>
              <w:jc w:val="center"/>
              <w:rPr>
                <w:rFonts w:ascii="黑体" w:hAnsi="宋体" w:eastAsia="黑体"/>
                <w:sz w:val="24"/>
              </w:rPr>
            </w:pPr>
            <w:r>
              <w:rPr>
                <w:rFonts w:hint="eastAsia" w:ascii="黑体" w:hAnsi="宋体" w:eastAsia="黑体"/>
                <w:sz w:val="24"/>
              </w:rPr>
              <w:t>王婧</w:t>
            </w:r>
          </w:p>
        </w:tc>
        <w:tc>
          <w:tcPr>
            <w:tcW w:w="2252" w:type="dxa"/>
            <w:vAlign w:val="center"/>
          </w:tcPr>
          <w:p>
            <w:pPr>
              <w:jc w:val="center"/>
              <w:rPr>
                <w:rFonts w:ascii="黑体" w:hAnsi="宋体" w:eastAsia="黑体"/>
                <w:sz w:val="24"/>
              </w:rPr>
            </w:pPr>
            <w:r>
              <w:rPr>
                <w:rFonts w:hint="eastAsia" w:ascii="黑体" w:hAnsi="宋体" w:eastAsia="黑体"/>
                <w:sz w:val="24"/>
              </w:rPr>
              <w:t>北京市丰台区南苑乡人民政府</w:t>
            </w:r>
          </w:p>
        </w:tc>
        <w:tc>
          <w:tcPr>
            <w:tcW w:w="1062" w:type="dxa"/>
            <w:vAlign w:val="center"/>
          </w:tcPr>
          <w:p>
            <w:pPr>
              <w:jc w:val="center"/>
              <w:rPr>
                <w:rFonts w:ascii="黑体" w:hAnsi="宋体" w:eastAsia="黑体"/>
                <w:sz w:val="24"/>
              </w:rPr>
            </w:pPr>
            <w:r>
              <w:rPr>
                <w:rFonts w:hint="eastAsia" w:ascii="黑体" w:hAnsi="宋体" w:eastAsia="黑体"/>
                <w:sz w:val="24"/>
              </w:rPr>
              <w:t>科长</w:t>
            </w:r>
          </w:p>
        </w:tc>
        <w:tc>
          <w:tcPr>
            <w:tcW w:w="888" w:type="dxa"/>
            <w:vAlign w:val="center"/>
          </w:tcPr>
          <w:p>
            <w:pPr>
              <w:jc w:val="center"/>
              <w:rPr>
                <w:rFonts w:ascii="黑体" w:hAnsi="宋体" w:eastAsia="黑体"/>
                <w:sz w:val="24"/>
              </w:rPr>
            </w:pPr>
          </w:p>
        </w:tc>
        <w:tc>
          <w:tcPr>
            <w:tcW w:w="1239" w:type="dxa"/>
            <w:vAlign w:val="center"/>
          </w:tcPr>
          <w:p>
            <w:pPr>
              <w:rPr>
                <w:rFonts w:ascii="黑体" w:hAnsi="宋体" w:eastAsia="黑体"/>
                <w:sz w:val="24"/>
              </w:rPr>
            </w:pPr>
            <w:r>
              <w:rPr>
                <w:rFonts w:hint="eastAsia" w:ascii="黑体" w:hAnsi="宋体" w:eastAsia="黑体"/>
                <w:sz w:val="24"/>
              </w:rPr>
              <w:t>公共管理</w:t>
            </w:r>
          </w:p>
        </w:tc>
        <w:tc>
          <w:tcPr>
            <w:tcW w:w="2533" w:type="dxa"/>
          </w:tcPr>
          <w:p>
            <w:pPr>
              <w:jc w:val="center"/>
              <w:rPr>
                <w:rFonts w:ascii="黑体" w:hAnsi="宋体" w:eastAsia="黑体"/>
                <w:sz w:val="24"/>
              </w:rPr>
            </w:pPr>
            <w:r>
              <w:rPr>
                <w:rFonts w:hint="eastAsia" w:ascii="黑体" w:hAnsi="宋体" w:eastAsia="黑体"/>
                <w:sz w:val="24"/>
              </w:rPr>
              <w:t>财政科科长，负责绩效评价工作。担任财务评审专家。</w:t>
            </w:r>
          </w:p>
        </w:tc>
      </w:tr>
    </w:tbl>
    <w:p>
      <w:pPr>
        <w:sectPr>
          <w:pgSz w:w="11906" w:h="16838"/>
          <w:pgMar w:top="1803" w:right="1440" w:bottom="680" w:left="1440" w:header="851" w:footer="992" w:gutter="0"/>
          <w:cols w:space="720" w:num="1"/>
          <w:docGrid w:type="lines" w:linePitch="312" w:charSpace="0"/>
        </w:sectPr>
      </w:pPr>
    </w:p>
    <w:tbl>
      <w:tblPr>
        <w:tblStyle w:val="14"/>
        <w:tblW w:w="15205" w:type="dxa"/>
        <w:jc w:val="center"/>
        <w:tblLayout w:type="fixed"/>
        <w:tblCellMar>
          <w:top w:w="0" w:type="dxa"/>
          <w:left w:w="108" w:type="dxa"/>
          <w:bottom w:w="0" w:type="dxa"/>
          <w:right w:w="108" w:type="dxa"/>
        </w:tblCellMar>
      </w:tblPr>
      <w:tblGrid>
        <w:gridCol w:w="893"/>
        <w:gridCol w:w="1375"/>
        <w:gridCol w:w="1597"/>
        <w:gridCol w:w="2368"/>
        <w:gridCol w:w="770"/>
        <w:gridCol w:w="1469"/>
        <w:gridCol w:w="1279"/>
        <w:gridCol w:w="1022"/>
        <w:gridCol w:w="2199"/>
        <w:gridCol w:w="800"/>
        <w:gridCol w:w="1433"/>
      </w:tblGrid>
      <w:tr>
        <w:tblPrEx>
          <w:tblCellMar>
            <w:top w:w="0" w:type="dxa"/>
            <w:left w:w="108" w:type="dxa"/>
            <w:bottom w:w="0" w:type="dxa"/>
            <w:right w:w="108" w:type="dxa"/>
          </w:tblCellMar>
        </w:tblPrEx>
        <w:trPr>
          <w:trHeight w:val="294" w:hRule="atLeast"/>
          <w:jc w:val="center"/>
        </w:trPr>
        <w:tc>
          <w:tcPr>
            <w:tcW w:w="15205" w:type="dxa"/>
            <w:gridSpan w:val="11"/>
            <w:tcBorders>
              <w:top w:val="nil"/>
              <w:left w:val="nil"/>
              <w:bottom w:val="nil"/>
              <w:right w:val="nil"/>
            </w:tcBorders>
            <w:vAlign w:val="center"/>
          </w:tcPr>
          <w:p>
            <w:pPr>
              <w:widowControl/>
              <w:rPr>
                <w:rFonts w:ascii="方正小标宋简体" w:hAnsi="黑体" w:eastAsia="方正小标宋简体" w:cs="宋体"/>
                <w:color w:val="000000"/>
                <w:kern w:val="0"/>
                <w:sz w:val="32"/>
                <w:szCs w:val="32"/>
              </w:rPr>
            </w:pPr>
            <w:r>
              <w:rPr>
                <w:rFonts w:hint="eastAsia" w:ascii="方正小标宋简体" w:hAnsi="黑体" w:eastAsia="方正小标宋简体" w:cs="宋体"/>
                <w:bCs/>
                <w:color w:val="000000"/>
                <w:kern w:val="0"/>
                <w:sz w:val="32"/>
                <w:szCs w:val="32"/>
              </w:rPr>
              <w:t>附件7                                项目支出事后绩效自评表</w:t>
            </w:r>
            <w:r>
              <w:rPr>
                <w:rFonts w:hint="eastAsia" w:ascii="方正小标宋简体" w:hAnsi="黑体" w:eastAsia="方正小标宋简体" w:cs="宋体"/>
                <w:color w:val="000000"/>
                <w:kern w:val="0"/>
                <w:sz w:val="32"/>
                <w:szCs w:val="32"/>
              </w:rPr>
              <w:t xml:space="preserve"> </w:t>
            </w:r>
          </w:p>
        </w:tc>
      </w:tr>
      <w:tr>
        <w:tblPrEx>
          <w:tblCellMar>
            <w:top w:w="0" w:type="dxa"/>
            <w:left w:w="108" w:type="dxa"/>
            <w:bottom w:w="0" w:type="dxa"/>
            <w:right w:w="108" w:type="dxa"/>
          </w:tblCellMar>
        </w:tblPrEx>
        <w:trPr>
          <w:trHeight w:val="229" w:hRule="atLeast"/>
          <w:jc w:val="center"/>
        </w:trPr>
        <w:tc>
          <w:tcPr>
            <w:tcW w:w="15205" w:type="dxa"/>
            <w:gridSpan w:val="11"/>
            <w:tcBorders>
              <w:top w:val="nil"/>
              <w:left w:val="nil"/>
              <w:bottom w:val="nil"/>
              <w:right w:val="nil"/>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（2019年度）</w:t>
            </w:r>
          </w:p>
        </w:tc>
      </w:tr>
      <w:tr>
        <w:tblPrEx>
          <w:tblCellMar>
            <w:top w:w="0" w:type="dxa"/>
            <w:left w:w="108" w:type="dxa"/>
            <w:bottom w:w="0" w:type="dxa"/>
            <w:right w:w="108" w:type="dxa"/>
          </w:tblCellMar>
        </w:tblPrEx>
        <w:trPr>
          <w:trHeight w:val="369" w:hRule="atLeast"/>
          <w:jc w:val="center"/>
        </w:trPr>
        <w:tc>
          <w:tcPr>
            <w:tcW w:w="386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项目名称</w:t>
            </w:r>
          </w:p>
        </w:tc>
        <w:tc>
          <w:tcPr>
            <w:tcW w:w="11340" w:type="dxa"/>
            <w:gridSpan w:val="8"/>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2019年平原造林土地复垦</w:t>
            </w:r>
          </w:p>
        </w:tc>
      </w:tr>
      <w:tr>
        <w:tblPrEx>
          <w:tblCellMar>
            <w:top w:w="0" w:type="dxa"/>
            <w:left w:w="108" w:type="dxa"/>
            <w:bottom w:w="0" w:type="dxa"/>
            <w:right w:w="108" w:type="dxa"/>
          </w:tblCellMar>
        </w:tblPrEx>
        <w:trPr>
          <w:trHeight w:val="381" w:hRule="atLeast"/>
          <w:jc w:val="center"/>
        </w:trPr>
        <w:tc>
          <w:tcPr>
            <w:tcW w:w="386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主管部门及代码</w:t>
            </w:r>
          </w:p>
        </w:tc>
        <w:tc>
          <w:tcPr>
            <w:tcW w:w="4607"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北京市丰台区南苑乡人民政府177000</w:t>
            </w:r>
          </w:p>
        </w:tc>
        <w:tc>
          <w:tcPr>
            <w:tcW w:w="6733" w:type="dxa"/>
            <w:gridSpan w:val="5"/>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实施单位:</w:t>
            </w:r>
            <w:r>
              <w:rPr>
                <w:rFonts w:hint="eastAsia"/>
                <w:sz w:val="20"/>
                <w:szCs w:val="20"/>
              </w:rPr>
              <w:t xml:space="preserve"> </w:t>
            </w:r>
            <w:r>
              <w:rPr>
                <w:rFonts w:hint="eastAsia" w:ascii="宋体" w:hAnsi="宋体" w:cs="宋体"/>
                <w:color w:val="000000"/>
                <w:kern w:val="0"/>
                <w:sz w:val="20"/>
                <w:szCs w:val="20"/>
              </w:rPr>
              <w:t>北京市丰台区南苑乡农业服务中心</w:t>
            </w:r>
          </w:p>
        </w:tc>
      </w:tr>
      <w:tr>
        <w:tblPrEx>
          <w:tblCellMar>
            <w:top w:w="0" w:type="dxa"/>
            <w:left w:w="108" w:type="dxa"/>
            <w:bottom w:w="0" w:type="dxa"/>
            <w:right w:w="108" w:type="dxa"/>
          </w:tblCellMar>
        </w:tblPrEx>
        <w:trPr>
          <w:trHeight w:val="496" w:hRule="atLeast"/>
          <w:jc w:val="center"/>
        </w:trPr>
        <w:tc>
          <w:tcPr>
            <w:tcW w:w="3865" w:type="dxa"/>
            <w:gridSpan w:val="3"/>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项目资金（万元）</w:t>
            </w:r>
          </w:p>
        </w:tc>
        <w:tc>
          <w:tcPr>
            <w:tcW w:w="2368" w:type="dxa"/>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23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年初预算数（A）</w:t>
            </w:r>
          </w:p>
        </w:tc>
        <w:tc>
          <w:tcPr>
            <w:tcW w:w="127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全年执行数（B）</w:t>
            </w:r>
          </w:p>
        </w:tc>
        <w:tc>
          <w:tcPr>
            <w:tcW w:w="1022"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分值</w:t>
            </w:r>
          </w:p>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（10分）</w:t>
            </w:r>
          </w:p>
        </w:tc>
        <w:tc>
          <w:tcPr>
            <w:tcW w:w="2199"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执行率（B/A)</w:t>
            </w:r>
          </w:p>
        </w:tc>
        <w:tc>
          <w:tcPr>
            <w:tcW w:w="800"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得分</w:t>
            </w:r>
          </w:p>
        </w:tc>
        <w:tc>
          <w:tcPr>
            <w:tcW w:w="143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得分计算方法</w:t>
            </w:r>
          </w:p>
        </w:tc>
      </w:tr>
      <w:tr>
        <w:tblPrEx>
          <w:tblCellMar>
            <w:top w:w="0" w:type="dxa"/>
            <w:left w:w="108" w:type="dxa"/>
            <w:bottom w:w="0" w:type="dxa"/>
            <w:right w:w="108" w:type="dxa"/>
          </w:tblCellMar>
        </w:tblPrEx>
        <w:trPr>
          <w:trHeight w:val="453"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2368" w:type="dxa"/>
            <w:tcBorders>
              <w:top w:val="single" w:color="auto" w:sz="4" w:space="0"/>
              <w:left w:val="nil"/>
              <w:bottom w:val="single" w:color="auto" w:sz="4" w:space="0"/>
              <w:right w:val="single" w:color="000000"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年度资金总额：</w:t>
            </w:r>
          </w:p>
        </w:tc>
        <w:tc>
          <w:tcPr>
            <w:tcW w:w="2239" w:type="dxa"/>
            <w:gridSpan w:val="2"/>
            <w:tcBorders>
              <w:top w:val="nil"/>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20"/>
              </w:rPr>
              <w:t>　1090</w:t>
            </w:r>
          </w:p>
        </w:tc>
        <w:tc>
          <w:tcPr>
            <w:tcW w:w="1279" w:type="dxa"/>
            <w:tcBorders>
              <w:top w:val="nil"/>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cs="宋体"/>
                <w:color w:val="000000"/>
                <w:kern w:val="0"/>
                <w:sz w:val="20"/>
                <w:szCs w:val="20"/>
              </w:rPr>
              <w:t>　1013.5</w:t>
            </w:r>
          </w:p>
        </w:tc>
        <w:tc>
          <w:tcPr>
            <w:tcW w:w="1022" w:type="dxa"/>
            <w:tcBorders>
              <w:top w:val="nil"/>
              <w:left w:val="nil"/>
              <w:bottom w:val="single" w:color="auto" w:sz="4" w:space="0"/>
              <w:right w:val="single" w:color="auto" w:sz="4" w:space="0"/>
            </w:tcBorders>
            <w:vAlign w:val="center"/>
          </w:tcPr>
          <w:p>
            <w:pPr>
              <w:widowControl/>
              <w:ind w:firstLine="200" w:firstLineChars="100"/>
              <w:rPr>
                <w:rFonts w:ascii="宋体" w:hAnsi="宋体"/>
                <w:sz w:val="20"/>
                <w:szCs w:val="20"/>
              </w:rPr>
            </w:pPr>
            <w:r>
              <w:rPr>
                <w:rFonts w:hint="eastAsia" w:ascii="宋体" w:hAnsi="宋体" w:cs="宋体"/>
                <w:color w:val="000000"/>
                <w:kern w:val="0"/>
                <w:sz w:val="20"/>
                <w:szCs w:val="20"/>
              </w:rPr>
              <w:t>10</w:t>
            </w:r>
          </w:p>
        </w:tc>
        <w:tc>
          <w:tcPr>
            <w:tcW w:w="2199" w:type="dxa"/>
            <w:tcBorders>
              <w:top w:val="nil"/>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cs="宋体"/>
                <w:color w:val="000000"/>
                <w:kern w:val="0"/>
                <w:sz w:val="20"/>
                <w:szCs w:val="20"/>
              </w:rPr>
              <w:t>93%　</w:t>
            </w:r>
          </w:p>
        </w:tc>
        <w:tc>
          <w:tcPr>
            <w:tcW w:w="800" w:type="dxa"/>
            <w:tcBorders>
              <w:top w:val="nil"/>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20"/>
              </w:rPr>
              <w:t>9.3</w:t>
            </w:r>
          </w:p>
        </w:tc>
        <w:tc>
          <w:tcPr>
            <w:tcW w:w="1433"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执行率*该指标分值，最高不得超过分值上限。</w:t>
            </w:r>
          </w:p>
        </w:tc>
      </w:tr>
      <w:tr>
        <w:tblPrEx>
          <w:tblCellMar>
            <w:top w:w="0" w:type="dxa"/>
            <w:left w:w="108" w:type="dxa"/>
            <w:bottom w:w="0" w:type="dxa"/>
            <w:right w:w="108" w:type="dxa"/>
          </w:tblCellMar>
        </w:tblPrEx>
        <w:trPr>
          <w:trHeight w:val="446"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2368"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其中：财政拨款</w:t>
            </w:r>
          </w:p>
        </w:tc>
        <w:tc>
          <w:tcPr>
            <w:tcW w:w="2239" w:type="dxa"/>
            <w:gridSpan w:val="2"/>
            <w:tcBorders>
              <w:top w:val="nil"/>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20"/>
              </w:rPr>
              <w:t>　1090</w:t>
            </w:r>
          </w:p>
        </w:tc>
        <w:tc>
          <w:tcPr>
            <w:tcW w:w="1279" w:type="dxa"/>
            <w:tcBorders>
              <w:top w:val="nil"/>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cs="宋体"/>
                <w:color w:val="000000"/>
                <w:kern w:val="0"/>
                <w:sz w:val="20"/>
                <w:szCs w:val="20"/>
              </w:rPr>
              <w:t>1013.5　</w:t>
            </w:r>
          </w:p>
        </w:tc>
        <w:tc>
          <w:tcPr>
            <w:tcW w:w="1022" w:type="dxa"/>
            <w:tcBorders>
              <w:top w:val="nil"/>
              <w:left w:val="nil"/>
              <w:bottom w:val="single" w:color="auto" w:sz="4" w:space="0"/>
              <w:right w:val="single" w:color="auto" w:sz="4" w:space="0"/>
            </w:tcBorders>
            <w:vAlign w:val="center"/>
          </w:tcPr>
          <w:p>
            <w:pPr>
              <w:widowControl/>
              <w:rPr>
                <w:rFonts w:ascii="宋体" w:hAnsi="宋体"/>
                <w:sz w:val="20"/>
                <w:szCs w:val="20"/>
              </w:rPr>
            </w:pPr>
            <w:r>
              <w:rPr>
                <w:rFonts w:hint="eastAsia" w:ascii="宋体" w:hAnsi="宋体" w:cs="宋体"/>
                <w:color w:val="000000"/>
                <w:kern w:val="0"/>
                <w:sz w:val="20"/>
                <w:szCs w:val="20"/>
              </w:rPr>
              <w:t>　10</w:t>
            </w:r>
          </w:p>
        </w:tc>
        <w:tc>
          <w:tcPr>
            <w:tcW w:w="2199" w:type="dxa"/>
            <w:tcBorders>
              <w:top w:val="nil"/>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cs="宋体"/>
                <w:color w:val="000000"/>
                <w:kern w:val="0"/>
                <w:sz w:val="20"/>
                <w:szCs w:val="20"/>
              </w:rPr>
              <w:t>-</w:t>
            </w:r>
          </w:p>
        </w:tc>
        <w:tc>
          <w:tcPr>
            <w:tcW w:w="800" w:type="dxa"/>
            <w:tcBorders>
              <w:top w:val="nil"/>
              <w:left w:val="nil"/>
              <w:bottom w:val="single" w:color="auto" w:sz="4" w:space="0"/>
              <w:right w:val="single" w:color="auto" w:sz="4" w:space="0"/>
            </w:tcBorders>
            <w:vAlign w:val="center"/>
          </w:tcPr>
          <w:p>
            <w:pPr>
              <w:widowControl/>
              <w:rPr>
                <w:rFonts w:ascii="宋体" w:hAnsi="宋体"/>
                <w:sz w:val="20"/>
                <w:szCs w:val="20"/>
              </w:rPr>
            </w:pPr>
            <w:r>
              <w:rPr>
                <w:rFonts w:hint="eastAsia" w:ascii="宋体" w:hAnsi="宋体" w:cs="宋体"/>
                <w:color w:val="000000"/>
                <w:kern w:val="0"/>
                <w:sz w:val="20"/>
                <w:szCs w:val="20"/>
              </w:rPr>
              <w:t>-</w:t>
            </w:r>
          </w:p>
        </w:tc>
        <w:tc>
          <w:tcPr>
            <w:tcW w:w="14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1" w:hRule="atLeast"/>
          <w:jc w:val="center"/>
        </w:trPr>
        <w:tc>
          <w:tcPr>
            <w:tcW w:w="3865"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20"/>
                <w:szCs w:val="20"/>
              </w:rPr>
            </w:pPr>
          </w:p>
        </w:tc>
        <w:tc>
          <w:tcPr>
            <w:tcW w:w="2368" w:type="dxa"/>
            <w:tcBorders>
              <w:top w:val="single" w:color="auto" w:sz="4" w:space="0"/>
              <w:left w:val="nil"/>
              <w:bottom w:val="single" w:color="auto" w:sz="4" w:space="0"/>
              <w:right w:val="single" w:color="000000"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其他资金</w:t>
            </w:r>
          </w:p>
        </w:tc>
        <w:tc>
          <w:tcPr>
            <w:tcW w:w="223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27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02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219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8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43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693" w:hRule="atLeast"/>
          <w:jc w:val="center"/>
        </w:trPr>
        <w:tc>
          <w:tcPr>
            <w:tcW w:w="89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年度总体目标</w:t>
            </w:r>
          </w:p>
        </w:tc>
        <w:tc>
          <w:tcPr>
            <w:tcW w:w="7579" w:type="dxa"/>
            <w:gridSpan w:val="5"/>
            <w:tcBorders>
              <w:top w:val="single" w:color="auto" w:sz="4" w:space="0"/>
              <w:left w:val="nil"/>
              <w:bottom w:val="single" w:color="auto" w:sz="4" w:space="0"/>
              <w:right w:val="single" w:color="000000" w:sz="4" w:space="0"/>
            </w:tcBorders>
            <w:vAlign w:val="center"/>
          </w:tcPr>
          <w:p>
            <w:pPr>
              <w:widowControl/>
              <w:jc w:val="left"/>
              <w:rPr>
                <w:sz w:val="20"/>
                <w:szCs w:val="20"/>
              </w:rPr>
            </w:pPr>
            <w:r>
              <w:rPr>
                <w:rFonts w:hint="eastAsia" w:ascii="宋体" w:hAnsi="宋体" w:cs="宋体"/>
                <w:color w:val="000000"/>
                <w:kern w:val="0"/>
                <w:sz w:val="20"/>
                <w:szCs w:val="20"/>
              </w:rPr>
              <w:t>年初设定目标:</w:t>
            </w:r>
            <w:r>
              <w:rPr>
                <w:rFonts w:hint="eastAsia"/>
                <w:sz w:val="20"/>
                <w:szCs w:val="20"/>
              </w:rPr>
              <w:t xml:space="preserve"> </w:t>
            </w:r>
          </w:p>
          <w:p>
            <w:pPr>
              <w:widowControl/>
              <w:ind w:firstLine="400" w:firstLineChars="200"/>
              <w:jc w:val="left"/>
              <w:rPr>
                <w:rFonts w:ascii="宋体" w:hAnsi="宋体" w:cs="宋体"/>
                <w:color w:val="000000"/>
                <w:kern w:val="0"/>
                <w:sz w:val="20"/>
                <w:szCs w:val="20"/>
              </w:rPr>
            </w:pPr>
            <w:r>
              <w:rPr>
                <w:rFonts w:hint="eastAsia"/>
                <w:sz w:val="20"/>
                <w:szCs w:val="20"/>
              </w:rPr>
              <w:t xml:space="preserve"> </w:t>
            </w:r>
            <w:r>
              <w:rPr>
                <w:rFonts w:hint="eastAsia" w:ascii="宋体" w:hAnsi="宋体" w:cs="宋体"/>
                <w:color w:val="000000"/>
                <w:kern w:val="0"/>
                <w:sz w:val="20"/>
                <w:szCs w:val="20"/>
              </w:rPr>
              <w:t>完成218亩平原造林土地复垦工程，改良地块土质，使其符合种植条件。</w:t>
            </w:r>
          </w:p>
        </w:tc>
        <w:tc>
          <w:tcPr>
            <w:tcW w:w="6733" w:type="dxa"/>
            <w:gridSpan w:val="5"/>
            <w:tcBorders>
              <w:top w:val="single" w:color="auto" w:sz="4" w:space="0"/>
              <w:left w:val="nil"/>
              <w:bottom w:val="single" w:color="auto" w:sz="4" w:space="0"/>
              <w:right w:val="single" w:color="000000" w:sz="4" w:space="0"/>
            </w:tcBorders>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年度总体目标完成情况综述：</w:t>
            </w:r>
          </w:p>
          <w:p>
            <w:pPr>
              <w:widowControl/>
              <w:rPr>
                <w:rFonts w:ascii="宋体" w:hAnsi="宋体" w:cs="宋体"/>
                <w:color w:val="000000"/>
                <w:kern w:val="0"/>
                <w:sz w:val="20"/>
                <w:szCs w:val="20"/>
              </w:rPr>
            </w:pPr>
            <w:r>
              <w:rPr>
                <w:rFonts w:hint="eastAsia" w:ascii="宋体" w:hAnsi="宋体" w:cs="宋体"/>
                <w:color w:val="000000"/>
                <w:kern w:val="0"/>
                <w:sz w:val="20"/>
                <w:szCs w:val="20"/>
              </w:rPr>
              <w:t>1.项目完成情况：南苑乡共完成218亩平原造林土地复垦工程，改良了地块土质，使其符合种植条件，目前这些地块均以完成绿化种植，提升了生态环境品质，提升百姓人居环境。2.工作量完成情况：各项目拆除构建物、渣土外运、回填土方等，全部完成计划目标。3.工作质量完成情况：2019年南苑乡平原造林土地复垦工程达到了土地复垦的标准，为绿化工作奠定基础，有利于提升周边的环境面貌，改善人居环境。4.工作进度完成情况：2019年南苑乡平原造林土地复垦所有地块均以竣工并验收合格。</w:t>
            </w:r>
          </w:p>
        </w:tc>
      </w:tr>
      <w:tr>
        <w:tblPrEx>
          <w:tblCellMar>
            <w:top w:w="0" w:type="dxa"/>
            <w:left w:w="108" w:type="dxa"/>
            <w:bottom w:w="0" w:type="dxa"/>
            <w:right w:w="108" w:type="dxa"/>
          </w:tblCellMar>
        </w:tblPrEx>
        <w:trPr>
          <w:trHeight w:val="492" w:hRule="atLeast"/>
          <w:jc w:val="center"/>
        </w:trPr>
        <w:tc>
          <w:tcPr>
            <w:tcW w:w="89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绩效指标</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一级指标</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二级指标</w:t>
            </w:r>
          </w:p>
        </w:tc>
        <w:tc>
          <w:tcPr>
            <w:tcW w:w="23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三级指标</w:t>
            </w:r>
          </w:p>
        </w:tc>
        <w:tc>
          <w:tcPr>
            <w:tcW w:w="77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分值</w:t>
            </w:r>
          </w:p>
        </w:tc>
        <w:tc>
          <w:tcPr>
            <w:tcW w:w="14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年度指标值(A)</w:t>
            </w:r>
          </w:p>
        </w:tc>
        <w:tc>
          <w:tcPr>
            <w:tcW w:w="12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全年实际值(B)</w:t>
            </w:r>
          </w:p>
        </w:tc>
        <w:tc>
          <w:tcPr>
            <w:tcW w:w="322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得分计算方法</w:t>
            </w: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得分</w:t>
            </w:r>
          </w:p>
        </w:tc>
        <w:tc>
          <w:tcPr>
            <w:tcW w:w="14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未完成</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原因分析</w:t>
            </w:r>
          </w:p>
        </w:tc>
      </w:tr>
      <w:tr>
        <w:tblPrEx>
          <w:tblCellMar>
            <w:top w:w="0" w:type="dxa"/>
            <w:left w:w="108" w:type="dxa"/>
            <w:bottom w:w="0" w:type="dxa"/>
            <w:right w:w="108" w:type="dxa"/>
          </w:tblCellMar>
        </w:tblPrEx>
        <w:trPr>
          <w:trHeight w:val="99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产</w:t>
            </w:r>
          </w:p>
          <w:p>
            <w:pPr>
              <w:widowControl/>
              <w:jc w:val="center"/>
              <w:rPr>
                <w:rFonts w:ascii="宋体" w:hAnsi="宋体" w:cs="宋体"/>
                <w:kern w:val="0"/>
                <w:sz w:val="20"/>
                <w:szCs w:val="20"/>
              </w:rPr>
            </w:pPr>
            <w:r>
              <w:rPr>
                <w:rFonts w:hint="eastAsia" w:ascii="宋体" w:hAnsi="宋体" w:cs="宋体"/>
                <w:kern w:val="0"/>
                <w:sz w:val="20"/>
                <w:szCs w:val="20"/>
              </w:rPr>
              <w:t>出</w:t>
            </w:r>
          </w:p>
          <w:p>
            <w:pPr>
              <w:widowControl/>
              <w:jc w:val="center"/>
              <w:rPr>
                <w:rFonts w:ascii="宋体" w:hAnsi="宋体" w:cs="宋体"/>
                <w:kern w:val="0"/>
                <w:sz w:val="20"/>
                <w:szCs w:val="20"/>
              </w:rPr>
            </w:pPr>
            <w:r>
              <w:rPr>
                <w:rFonts w:hint="eastAsia" w:ascii="宋体" w:hAnsi="宋体" w:cs="宋体"/>
                <w:kern w:val="0"/>
                <w:sz w:val="20"/>
                <w:szCs w:val="20"/>
              </w:rPr>
              <w:t>指</w:t>
            </w:r>
          </w:p>
          <w:p>
            <w:pPr>
              <w:widowControl/>
              <w:jc w:val="center"/>
              <w:rPr>
                <w:rFonts w:ascii="宋体" w:hAnsi="宋体" w:cs="宋体"/>
                <w:kern w:val="0"/>
                <w:sz w:val="20"/>
                <w:szCs w:val="20"/>
              </w:rPr>
            </w:pPr>
            <w:r>
              <w:rPr>
                <w:rFonts w:hint="eastAsia" w:ascii="宋体" w:hAnsi="宋体" w:cs="宋体"/>
                <w:kern w:val="0"/>
                <w:sz w:val="20"/>
                <w:szCs w:val="20"/>
              </w:rPr>
              <w:t>标</w:t>
            </w:r>
          </w:p>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5</w:t>
            </w:r>
            <w:r>
              <w:rPr>
                <w:rFonts w:hint="eastAsia" w:ascii="宋体" w:hAnsi="宋体" w:cs="宋体"/>
                <w:kern w:val="0"/>
                <w:sz w:val="20"/>
                <w:szCs w:val="20"/>
              </w:rPr>
              <w:t>0分)</w:t>
            </w: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数量指标</w:t>
            </w:r>
          </w:p>
          <w:p>
            <w:pPr>
              <w:widowControl/>
              <w:jc w:val="center"/>
              <w:rPr>
                <w:rFonts w:ascii="宋体" w:hAnsi="宋体" w:cs="宋体"/>
                <w:kern w:val="0"/>
                <w:sz w:val="20"/>
                <w:szCs w:val="20"/>
              </w:rPr>
            </w:pPr>
            <w:r>
              <w:rPr>
                <w:rFonts w:hint="eastAsia" w:ascii="宋体" w:hAnsi="宋体" w:cs="宋体"/>
                <w:kern w:val="0"/>
                <w:sz w:val="20"/>
                <w:szCs w:val="20"/>
              </w:rPr>
              <w:t>（10分）</w:t>
            </w:r>
          </w:p>
        </w:tc>
        <w:tc>
          <w:tcPr>
            <w:tcW w:w="2368"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面积完成率</w:t>
            </w:r>
          </w:p>
        </w:tc>
        <w:tc>
          <w:tcPr>
            <w:tcW w:w="770" w:type="dxa"/>
            <w:tcBorders>
              <w:top w:val="single" w:color="auto" w:sz="4" w:space="0"/>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10</w:t>
            </w:r>
          </w:p>
        </w:tc>
        <w:tc>
          <w:tcPr>
            <w:tcW w:w="1469" w:type="dxa"/>
            <w:tcBorders>
              <w:top w:val="single" w:color="auto" w:sz="4" w:space="0"/>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cs="宋体"/>
                <w:color w:val="000000"/>
                <w:kern w:val="0"/>
                <w:sz w:val="20"/>
                <w:szCs w:val="18"/>
              </w:rPr>
              <w:t>218亩</w:t>
            </w:r>
          </w:p>
        </w:tc>
        <w:tc>
          <w:tcPr>
            <w:tcW w:w="1279" w:type="dxa"/>
            <w:tcBorders>
              <w:top w:val="single" w:color="auto" w:sz="4" w:space="0"/>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cs="宋体"/>
                <w:color w:val="000000"/>
                <w:kern w:val="0"/>
                <w:sz w:val="20"/>
                <w:szCs w:val="18"/>
              </w:rPr>
              <w:t>210亩　</w:t>
            </w:r>
          </w:p>
        </w:tc>
        <w:tc>
          <w:tcPr>
            <w:tcW w:w="3221" w:type="dxa"/>
            <w:gridSpan w:val="2"/>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完成值达到指标值，记满分；未达到指标值，按B/A或A/B*该指标分值记分。</w:t>
            </w:r>
          </w:p>
        </w:tc>
        <w:tc>
          <w:tcPr>
            <w:tcW w:w="800"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sz w:val="20"/>
                <w:szCs w:val="20"/>
              </w:rPr>
              <w:t>9.63</w:t>
            </w:r>
          </w:p>
        </w:tc>
        <w:tc>
          <w:tcPr>
            <w:tcW w:w="143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卢沟桥乡糖厂地块8亩已完成待验收</w:t>
            </w:r>
          </w:p>
        </w:tc>
      </w:tr>
      <w:tr>
        <w:tblPrEx>
          <w:tblCellMar>
            <w:top w:w="0" w:type="dxa"/>
            <w:left w:w="108" w:type="dxa"/>
            <w:bottom w:w="0" w:type="dxa"/>
            <w:right w:w="108" w:type="dxa"/>
          </w:tblCellMar>
        </w:tblPrEx>
        <w:trPr>
          <w:trHeight w:val="97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9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质量指标</w:t>
            </w:r>
          </w:p>
          <w:p>
            <w:pPr>
              <w:widowControl/>
              <w:jc w:val="center"/>
              <w:rPr>
                <w:rFonts w:ascii="宋体" w:hAnsi="宋体" w:cs="宋体"/>
                <w:kern w:val="0"/>
                <w:sz w:val="20"/>
                <w:szCs w:val="20"/>
              </w:rPr>
            </w:pPr>
            <w:r>
              <w:rPr>
                <w:rFonts w:hint="eastAsia" w:ascii="宋体" w:hAnsi="宋体" w:cs="宋体"/>
                <w:kern w:val="0"/>
                <w:sz w:val="20"/>
                <w:szCs w:val="20"/>
              </w:rPr>
              <w:t>（20分）</w:t>
            </w:r>
          </w:p>
        </w:tc>
        <w:tc>
          <w:tcPr>
            <w:tcW w:w="236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渣土清理</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10</w:t>
            </w:r>
          </w:p>
        </w:tc>
        <w:tc>
          <w:tcPr>
            <w:tcW w:w="146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0"/>
                <w:szCs w:val="20"/>
              </w:rPr>
            </w:pPr>
            <w:r>
              <w:rPr>
                <w:rFonts w:hint="eastAsia" w:ascii="宋体" w:hAnsi="宋体" w:cs="宋体"/>
                <w:color w:val="000000"/>
                <w:kern w:val="0"/>
                <w:sz w:val="20"/>
                <w:szCs w:val="20"/>
              </w:rPr>
              <w:t>红线范围内渣土全部清理干净　</w:t>
            </w:r>
          </w:p>
        </w:tc>
        <w:tc>
          <w:tcPr>
            <w:tcW w:w="12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0"/>
                <w:szCs w:val="20"/>
              </w:rPr>
            </w:pPr>
            <w:r>
              <w:rPr>
                <w:rFonts w:hint="eastAsia" w:ascii="宋体" w:hAnsi="宋体" w:cs="宋体"/>
                <w:color w:val="000000"/>
                <w:kern w:val="0"/>
                <w:sz w:val="20"/>
                <w:szCs w:val="20"/>
              </w:rPr>
              <w:t>已验收地块清理100%</w:t>
            </w:r>
          </w:p>
        </w:tc>
        <w:tc>
          <w:tcPr>
            <w:tcW w:w="322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1.若为定性指标，则根据“四档”原则分别按照指标分值的100-90%(含90%)、90-75%(含75%)、75-60%(含60%)、60-0%来记分。</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2.若为定量指标，完成值达到指标值，记满分；未达到指标值，按B/A或A/B*该指标分值记分。</w:t>
            </w: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sz w:val="20"/>
                <w:szCs w:val="20"/>
              </w:rPr>
              <w:t>9.63</w:t>
            </w:r>
          </w:p>
        </w:tc>
        <w:tc>
          <w:tcPr>
            <w:tcW w:w="14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9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9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236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覆土厚度</w:t>
            </w:r>
          </w:p>
        </w:tc>
        <w:tc>
          <w:tcPr>
            <w:tcW w:w="7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10</w:t>
            </w:r>
          </w:p>
        </w:tc>
        <w:tc>
          <w:tcPr>
            <w:tcW w:w="146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0"/>
                <w:szCs w:val="20"/>
              </w:rPr>
            </w:pPr>
            <w:r>
              <w:rPr>
                <w:rFonts w:hint="eastAsia" w:ascii="宋体" w:hAnsi="宋体" w:cs="宋体"/>
                <w:color w:val="000000"/>
                <w:kern w:val="0"/>
                <w:sz w:val="20"/>
                <w:szCs w:val="20"/>
              </w:rPr>
              <w:t>不得小于图纸要求</w:t>
            </w:r>
          </w:p>
        </w:tc>
        <w:tc>
          <w:tcPr>
            <w:tcW w:w="12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0"/>
                <w:szCs w:val="20"/>
              </w:rPr>
            </w:pPr>
            <w:r>
              <w:rPr>
                <w:rFonts w:hint="eastAsia" w:ascii="宋体" w:hAnsi="宋体" w:cs="宋体"/>
                <w:color w:val="000000"/>
                <w:kern w:val="0"/>
                <w:sz w:val="20"/>
                <w:szCs w:val="20"/>
              </w:rPr>
              <w:t>已验收地块大于图纸要求</w:t>
            </w:r>
          </w:p>
        </w:tc>
        <w:tc>
          <w:tcPr>
            <w:tcW w:w="322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9.63</w:t>
            </w:r>
          </w:p>
        </w:tc>
        <w:tc>
          <w:tcPr>
            <w:tcW w:w="14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47"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进度指标</w:t>
            </w:r>
          </w:p>
          <w:p>
            <w:pPr>
              <w:widowControl/>
              <w:jc w:val="center"/>
              <w:rPr>
                <w:rFonts w:ascii="宋体" w:hAnsi="宋体" w:cs="宋体"/>
                <w:kern w:val="0"/>
                <w:sz w:val="20"/>
                <w:szCs w:val="20"/>
              </w:rPr>
            </w:pPr>
            <w:r>
              <w:rPr>
                <w:rFonts w:hint="eastAsia" w:ascii="宋体" w:hAnsi="宋体" w:cs="宋体"/>
                <w:kern w:val="0"/>
                <w:sz w:val="20"/>
                <w:szCs w:val="20"/>
              </w:rPr>
              <w:t>（10分）</w:t>
            </w:r>
          </w:p>
        </w:tc>
        <w:tc>
          <w:tcPr>
            <w:tcW w:w="2368"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竣工时间</w:t>
            </w:r>
          </w:p>
        </w:tc>
        <w:tc>
          <w:tcPr>
            <w:tcW w:w="770"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sz w:val="20"/>
                <w:szCs w:val="20"/>
              </w:rPr>
              <w:t>10</w:t>
            </w:r>
          </w:p>
        </w:tc>
        <w:tc>
          <w:tcPr>
            <w:tcW w:w="1469" w:type="dxa"/>
            <w:tcBorders>
              <w:top w:val="single" w:color="auto" w:sz="4" w:space="0"/>
              <w:left w:val="nil"/>
              <w:bottom w:val="single" w:color="auto" w:sz="4" w:space="0"/>
              <w:right w:val="single" w:color="auto" w:sz="4" w:space="0"/>
            </w:tcBorders>
            <w:vAlign w:val="center"/>
          </w:tcPr>
          <w:p>
            <w:pPr>
              <w:jc w:val="left"/>
              <w:rPr>
                <w:rFonts w:ascii="宋体" w:hAnsi="宋体" w:cs="宋体"/>
                <w:sz w:val="20"/>
                <w:szCs w:val="20"/>
              </w:rPr>
            </w:pPr>
            <w:r>
              <w:rPr>
                <w:rFonts w:hint="eastAsia" w:ascii="宋体" w:hAnsi="宋体" w:cs="宋体"/>
                <w:color w:val="000000"/>
                <w:kern w:val="0"/>
                <w:sz w:val="20"/>
                <w:szCs w:val="20"/>
              </w:rPr>
              <w:t>12月前</w:t>
            </w:r>
          </w:p>
        </w:tc>
        <w:tc>
          <w:tcPr>
            <w:tcW w:w="1279"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cs="宋体"/>
                <w:color w:val="000000"/>
                <w:kern w:val="0"/>
                <w:sz w:val="20"/>
                <w:szCs w:val="20"/>
              </w:rPr>
              <w:t>12月前</w:t>
            </w:r>
          </w:p>
        </w:tc>
        <w:tc>
          <w:tcPr>
            <w:tcW w:w="3221"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9.63</w:t>
            </w:r>
          </w:p>
        </w:tc>
        <w:tc>
          <w:tcPr>
            <w:tcW w:w="14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成本指标</w:t>
            </w:r>
          </w:p>
          <w:p>
            <w:pPr>
              <w:widowControl/>
              <w:jc w:val="center"/>
              <w:rPr>
                <w:rFonts w:ascii="宋体" w:hAnsi="宋体" w:cs="宋体"/>
                <w:kern w:val="0"/>
                <w:sz w:val="20"/>
                <w:szCs w:val="20"/>
              </w:rPr>
            </w:pPr>
            <w:r>
              <w:rPr>
                <w:rFonts w:hint="eastAsia" w:ascii="宋体" w:hAnsi="宋体" w:cs="宋体"/>
                <w:kern w:val="0"/>
                <w:sz w:val="20"/>
                <w:szCs w:val="20"/>
              </w:rPr>
              <w:t>（10分）</w:t>
            </w:r>
          </w:p>
        </w:tc>
        <w:tc>
          <w:tcPr>
            <w:tcW w:w="2368"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项目预算控制数</w:t>
            </w:r>
          </w:p>
        </w:tc>
        <w:tc>
          <w:tcPr>
            <w:tcW w:w="770" w:type="dxa"/>
            <w:tcBorders>
              <w:top w:val="single" w:color="auto" w:sz="4" w:space="0"/>
              <w:left w:val="nil"/>
              <w:bottom w:val="single" w:color="auto" w:sz="4" w:space="0"/>
              <w:right w:val="single" w:color="auto" w:sz="4" w:space="0"/>
            </w:tcBorders>
            <w:vAlign w:val="center"/>
          </w:tcPr>
          <w:p>
            <w:pPr>
              <w:widowControl/>
              <w:jc w:val="center"/>
              <w:rPr>
                <w:rFonts w:ascii="宋体" w:hAnsi="宋体"/>
                <w:sz w:val="20"/>
                <w:szCs w:val="20"/>
              </w:rPr>
            </w:pPr>
            <w:r>
              <w:rPr>
                <w:rFonts w:hint="eastAsia" w:ascii="宋体" w:hAnsi="宋体"/>
                <w:sz w:val="20"/>
                <w:szCs w:val="20"/>
              </w:rPr>
              <w:t>10</w:t>
            </w:r>
          </w:p>
        </w:tc>
        <w:tc>
          <w:tcPr>
            <w:tcW w:w="1469"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1090万元</w:t>
            </w:r>
          </w:p>
        </w:tc>
        <w:tc>
          <w:tcPr>
            <w:tcW w:w="1279"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1013.5万元</w:t>
            </w:r>
          </w:p>
        </w:tc>
        <w:tc>
          <w:tcPr>
            <w:tcW w:w="3221" w:type="dxa"/>
            <w:gridSpan w:val="2"/>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9.3</w:t>
            </w:r>
          </w:p>
        </w:tc>
        <w:tc>
          <w:tcPr>
            <w:tcW w:w="1433" w:type="dxa"/>
            <w:tcBorders>
              <w:top w:val="single" w:color="auto" w:sz="4" w:space="0"/>
              <w:left w:val="single" w:color="auto" w:sz="4" w:space="0"/>
              <w:bottom w:val="single" w:color="auto" w:sz="4" w:space="0"/>
              <w:right w:val="single" w:color="auto" w:sz="4" w:space="0"/>
            </w:tcBorders>
            <w:vAlign w:val="center"/>
          </w:tcPr>
          <w:p>
            <w:pPr>
              <w:ind w:right="-121" w:rightChars="-58"/>
              <w:jc w:val="center"/>
              <w:rPr>
                <w:rFonts w:ascii="宋体" w:hAnsi="宋体" w:cs="宋体"/>
                <w:color w:val="000000"/>
                <w:kern w:val="0"/>
                <w:sz w:val="20"/>
                <w:szCs w:val="20"/>
              </w:rPr>
            </w:pPr>
            <w:r>
              <w:rPr>
                <w:rFonts w:hint="eastAsia" w:ascii="宋体" w:hAnsi="宋体" w:cs="宋体"/>
                <w:color w:val="000000"/>
                <w:kern w:val="0"/>
                <w:sz w:val="20"/>
                <w:szCs w:val="20"/>
              </w:rPr>
              <w:t>部分经费待支出</w:t>
            </w:r>
          </w:p>
        </w:tc>
      </w:tr>
      <w:tr>
        <w:tblPrEx>
          <w:tblCellMar>
            <w:top w:w="0" w:type="dxa"/>
            <w:left w:w="108" w:type="dxa"/>
            <w:bottom w:w="0" w:type="dxa"/>
            <w:right w:w="108" w:type="dxa"/>
          </w:tblCellMar>
        </w:tblPrEx>
        <w:trPr>
          <w:trHeight w:val="137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效</w:t>
            </w:r>
          </w:p>
          <w:p>
            <w:pPr>
              <w:widowControl/>
              <w:jc w:val="center"/>
              <w:rPr>
                <w:rFonts w:ascii="宋体" w:hAnsi="宋体" w:cs="宋体"/>
                <w:kern w:val="0"/>
                <w:sz w:val="20"/>
                <w:szCs w:val="20"/>
              </w:rPr>
            </w:pPr>
            <w:r>
              <w:rPr>
                <w:rFonts w:hint="eastAsia" w:ascii="宋体" w:hAnsi="宋体" w:cs="宋体"/>
                <w:kern w:val="0"/>
                <w:sz w:val="20"/>
                <w:szCs w:val="20"/>
              </w:rPr>
              <w:t>果</w:t>
            </w:r>
          </w:p>
          <w:p>
            <w:pPr>
              <w:widowControl/>
              <w:jc w:val="center"/>
              <w:rPr>
                <w:rFonts w:ascii="宋体" w:hAnsi="宋体" w:cs="宋体"/>
                <w:kern w:val="0"/>
                <w:sz w:val="20"/>
                <w:szCs w:val="20"/>
              </w:rPr>
            </w:pPr>
            <w:r>
              <w:rPr>
                <w:rFonts w:hint="eastAsia" w:ascii="宋体" w:hAnsi="宋体" w:cs="宋体"/>
                <w:kern w:val="0"/>
                <w:sz w:val="20"/>
                <w:szCs w:val="20"/>
              </w:rPr>
              <w:t>指</w:t>
            </w:r>
          </w:p>
          <w:p>
            <w:pPr>
              <w:widowControl/>
              <w:jc w:val="center"/>
              <w:rPr>
                <w:rFonts w:ascii="宋体" w:hAnsi="宋体" w:cs="宋体"/>
                <w:kern w:val="0"/>
                <w:sz w:val="20"/>
                <w:szCs w:val="20"/>
              </w:rPr>
            </w:pPr>
            <w:r>
              <w:rPr>
                <w:rFonts w:hint="eastAsia" w:ascii="宋体" w:hAnsi="宋体" w:cs="宋体"/>
                <w:kern w:val="0"/>
                <w:sz w:val="20"/>
                <w:szCs w:val="20"/>
              </w:rPr>
              <w:t>标</w:t>
            </w:r>
          </w:p>
          <w:p>
            <w:pPr>
              <w:widowControl/>
              <w:jc w:val="center"/>
              <w:rPr>
                <w:rFonts w:ascii="宋体" w:hAnsi="宋体" w:cs="宋体"/>
                <w:kern w:val="0"/>
                <w:sz w:val="20"/>
                <w:szCs w:val="20"/>
              </w:rPr>
            </w:pPr>
            <w:r>
              <w:rPr>
                <w:rFonts w:hint="eastAsia" w:ascii="宋体" w:hAnsi="宋体" w:cs="宋体"/>
                <w:kern w:val="0"/>
                <w:sz w:val="20"/>
                <w:szCs w:val="20"/>
              </w:rPr>
              <w:t>(40分)</w:t>
            </w:r>
          </w:p>
        </w:tc>
        <w:tc>
          <w:tcPr>
            <w:tcW w:w="159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效益</w:t>
            </w:r>
          </w:p>
          <w:p>
            <w:pPr>
              <w:widowControl/>
              <w:jc w:val="center"/>
              <w:rPr>
                <w:rFonts w:ascii="宋体" w:hAnsi="宋体" w:cs="宋体"/>
                <w:kern w:val="0"/>
                <w:sz w:val="20"/>
                <w:szCs w:val="20"/>
              </w:rPr>
            </w:pPr>
            <w:r>
              <w:rPr>
                <w:rFonts w:hint="eastAsia" w:ascii="宋体" w:hAnsi="宋体" w:cs="宋体"/>
                <w:kern w:val="0"/>
                <w:sz w:val="20"/>
                <w:szCs w:val="20"/>
              </w:rPr>
              <w:t>指标</w:t>
            </w:r>
          </w:p>
          <w:p>
            <w:pPr>
              <w:widowControl/>
              <w:jc w:val="center"/>
              <w:rPr>
                <w:rFonts w:ascii="宋体" w:hAnsi="宋体" w:cs="宋体"/>
                <w:kern w:val="0"/>
                <w:sz w:val="20"/>
                <w:szCs w:val="20"/>
              </w:rPr>
            </w:pPr>
            <w:r>
              <w:rPr>
                <w:rFonts w:hint="eastAsia" w:ascii="宋体" w:hAnsi="宋体" w:cs="宋体"/>
                <w:kern w:val="0"/>
                <w:sz w:val="20"/>
                <w:szCs w:val="20"/>
              </w:rPr>
              <w:t>（20分）</w:t>
            </w:r>
          </w:p>
        </w:tc>
        <w:tc>
          <w:tcPr>
            <w:tcW w:w="2368"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sz w:val="20"/>
                <w:szCs w:val="20"/>
              </w:rPr>
              <w:t>社会效益</w:t>
            </w:r>
          </w:p>
        </w:tc>
        <w:tc>
          <w:tcPr>
            <w:tcW w:w="770" w:type="dxa"/>
            <w:tcBorders>
              <w:top w:val="single" w:color="auto" w:sz="4" w:space="0"/>
              <w:left w:val="nil"/>
              <w:bottom w:val="single" w:color="auto" w:sz="4" w:space="0"/>
              <w:right w:val="single" w:color="auto" w:sz="4" w:space="0"/>
            </w:tcBorders>
            <w:vAlign w:val="center"/>
          </w:tcPr>
          <w:p>
            <w:pPr>
              <w:widowControl/>
              <w:ind w:firstLine="200" w:firstLineChars="100"/>
              <w:jc w:val="left"/>
              <w:rPr>
                <w:rFonts w:ascii="宋体" w:hAnsi="宋体"/>
                <w:sz w:val="20"/>
                <w:szCs w:val="20"/>
              </w:rPr>
            </w:pPr>
            <w:r>
              <w:rPr>
                <w:rFonts w:hint="eastAsia" w:ascii="宋体" w:hAnsi="宋体"/>
                <w:sz w:val="20"/>
                <w:szCs w:val="20"/>
              </w:rPr>
              <w:t>10</w:t>
            </w:r>
          </w:p>
        </w:tc>
        <w:tc>
          <w:tcPr>
            <w:tcW w:w="1469" w:type="dxa"/>
            <w:tcBorders>
              <w:top w:val="single" w:color="auto" w:sz="4" w:space="0"/>
              <w:left w:val="nil"/>
              <w:bottom w:val="single" w:color="auto" w:sz="4" w:space="0"/>
              <w:right w:val="single" w:color="auto" w:sz="4" w:space="0"/>
            </w:tcBorders>
            <w:vAlign w:val="center"/>
          </w:tcPr>
          <w:p>
            <w:pPr>
              <w:widowControl/>
              <w:rPr>
                <w:rFonts w:ascii="宋体" w:hAnsi="宋体" w:cs="宋体"/>
                <w:sz w:val="20"/>
                <w:szCs w:val="20"/>
              </w:rPr>
            </w:pPr>
            <w:r>
              <w:rPr>
                <w:rFonts w:hint="eastAsia" w:ascii="宋体" w:hAnsi="宋体" w:cs="宋体"/>
                <w:color w:val="000000"/>
                <w:kern w:val="0"/>
                <w:sz w:val="20"/>
                <w:szCs w:val="18"/>
              </w:rPr>
              <w:t>改良地块土质，使其符合种植条件，提升生态环境品质。</w:t>
            </w:r>
          </w:p>
        </w:tc>
        <w:tc>
          <w:tcPr>
            <w:tcW w:w="1279" w:type="dxa"/>
            <w:tcBorders>
              <w:top w:val="single" w:color="auto" w:sz="4" w:space="0"/>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已验收地块效果实现95%</w:t>
            </w:r>
          </w:p>
        </w:tc>
        <w:tc>
          <w:tcPr>
            <w:tcW w:w="3221" w:type="dxa"/>
            <w:gridSpan w:val="2"/>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1.若为定性指标，则根据“四档”原则分别按照指标分值的100-90%(含90%)、90-75%(含75%)、75-60%（含60%）、60-0%来记分。</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2.若为定量指标，完成值达到指标值，记满分；未达到指标值，按B/A或A/B*该指标分值记分。</w:t>
            </w: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4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713"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left w:val="single" w:color="auto" w:sz="4" w:space="0"/>
              <w:right w:val="single" w:color="auto" w:sz="4" w:space="0"/>
            </w:tcBorders>
            <w:vAlign w:val="center"/>
          </w:tcPr>
          <w:p>
            <w:pPr>
              <w:widowControl/>
              <w:jc w:val="center"/>
              <w:rPr>
                <w:rFonts w:ascii="宋体" w:hAnsi="宋体" w:cs="宋体"/>
                <w:kern w:val="0"/>
                <w:sz w:val="20"/>
                <w:szCs w:val="20"/>
              </w:rPr>
            </w:pPr>
          </w:p>
        </w:tc>
        <w:tc>
          <w:tcPr>
            <w:tcW w:w="159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2368" w:type="dxa"/>
            <w:tcBorders>
              <w:top w:val="single" w:color="auto" w:sz="4" w:space="0"/>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sz w:val="20"/>
                <w:szCs w:val="20"/>
              </w:rPr>
              <w:t>可持续影响</w:t>
            </w:r>
          </w:p>
        </w:tc>
        <w:tc>
          <w:tcPr>
            <w:tcW w:w="770" w:type="dxa"/>
            <w:tcBorders>
              <w:top w:val="single" w:color="auto" w:sz="4" w:space="0"/>
              <w:left w:val="nil"/>
              <w:bottom w:val="single" w:color="auto" w:sz="4" w:space="0"/>
              <w:right w:val="single" w:color="auto" w:sz="4" w:space="0"/>
            </w:tcBorders>
            <w:vAlign w:val="center"/>
          </w:tcPr>
          <w:p>
            <w:pPr>
              <w:widowControl/>
              <w:ind w:firstLine="200" w:firstLineChars="100"/>
              <w:jc w:val="left"/>
              <w:rPr>
                <w:rFonts w:ascii="宋体" w:hAnsi="宋体"/>
                <w:sz w:val="20"/>
                <w:szCs w:val="20"/>
              </w:rPr>
            </w:pPr>
            <w:r>
              <w:rPr>
                <w:rFonts w:hint="eastAsia" w:ascii="宋体" w:hAnsi="宋体" w:cs="宋体"/>
                <w:color w:val="000000"/>
                <w:kern w:val="0"/>
                <w:sz w:val="20"/>
                <w:szCs w:val="18"/>
              </w:rPr>
              <w:t>10</w:t>
            </w:r>
          </w:p>
        </w:tc>
        <w:tc>
          <w:tcPr>
            <w:tcW w:w="1469" w:type="dxa"/>
            <w:tcBorders>
              <w:top w:val="single" w:color="auto" w:sz="4" w:space="0"/>
              <w:left w:val="nil"/>
              <w:bottom w:val="single" w:color="auto" w:sz="4" w:space="0"/>
              <w:right w:val="single" w:color="auto" w:sz="4" w:space="0"/>
            </w:tcBorders>
            <w:vAlign w:val="center"/>
          </w:tcPr>
          <w:p>
            <w:pPr>
              <w:widowControl/>
              <w:rPr>
                <w:rFonts w:ascii="宋体" w:hAnsi="宋体"/>
                <w:sz w:val="20"/>
                <w:szCs w:val="20"/>
              </w:rPr>
            </w:pPr>
            <w:r>
              <w:rPr>
                <w:rFonts w:hint="eastAsia" w:ascii="宋体" w:hAnsi="宋体" w:cs="宋体"/>
                <w:color w:val="000000"/>
                <w:kern w:val="0"/>
                <w:sz w:val="20"/>
                <w:szCs w:val="18"/>
              </w:rPr>
              <w:t>提升百姓人居环境质量。</w:t>
            </w:r>
          </w:p>
        </w:tc>
        <w:tc>
          <w:tcPr>
            <w:tcW w:w="1279" w:type="dxa"/>
            <w:tcBorders>
              <w:top w:val="single" w:color="auto" w:sz="4" w:space="0"/>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20"/>
                <w:szCs w:val="20"/>
              </w:rPr>
              <w:t>已验收地块效果实现95%</w:t>
            </w:r>
          </w:p>
        </w:tc>
        <w:tc>
          <w:tcPr>
            <w:tcW w:w="3221" w:type="dxa"/>
            <w:gridSpan w:val="2"/>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4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920" w:hRule="atLeast"/>
          <w:jc w:val="center"/>
        </w:trPr>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5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18"/>
              </w:rPr>
            </w:pPr>
            <w:r>
              <w:rPr>
                <w:rFonts w:hint="eastAsia" w:ascii="宋体" w:hAnsi="宋体" w:cs="宋体"/>
                <w:kern w:val="0"/>
                <w:sz w:val="20"/>
                <w:szCs w:val="18"/>
              </w:rPr>
              <w:t>服务对象</w:t>
            </w:r>
            <w:r>
              <w:rPr>
                <w:rFonts w:hint="eastAsia" w:ascii="宋体" w:hAnsi="宋体" w:cs="宋体"/>
                <w:kern w:val="0"/>
                <w:sz w:val="20"/>
                <w:szCs w:val="18"/>
              </w:rPr>
              <w:br w:type="textWrapping"/>
            </w:r>
            <w:r>
              <w:rPr>
                <w:rFonts w:hint="eastAsia" w:ascii="宋体" w:hAnsi="宋体" w:cs="宋体"/>
                <w:kern w:val="0"/>
                <w:sz w:val="20"/>
                <w:szCs w:val="18"/>
              </w:rPr>
              <w:t>满意度指标</w:t>
            </w:r>
          </w:p>
          <w:p>
            <w:pPr>
              <w:widowControl/>
              <w:jc w:val="center"/>
              <w:rPr>
                <w:rFonts w:ascii="宋体" w:hAnsi="宋体" w:cs="宋体"/>
                <w:kern w:val="0"/>
                <w:sz w:val="20"/>
                <w:szCs w:val="20"/>
              </w:rPr>
            </w:pPr>
            <w:r>
              <w:rPr>
                <w:rFonts w:hint="eastAsia" w:ascii="宋体" w:hAnsi="宋体" w:cs="宋体"/>
                <w:kern w:val="0"/>
                <w:sz w:val="20"/>
                <w:szCs w:val="18"/>
              </w:rPr>
              <w:t>（20分）</w:t>
            </w:r>
          </w:p>
        </w:tc>
        <w:tc>
          <w:tcPr>
            <w:tcW w:w="2368" w:type="dxa"/>
            <w:tcBorders>
              <w:top w:val="nil"/>
              <w:left w:val="nil"/>
              <w:bottom w:val="single" w:color="auto" w:sz="4" w:space="0"/>
              <w:right w:val="single" w:color="auto" w:sz="4" w:space="0"/>
            </w:tcBorders>
            <w:vAlign w:val="center"/>
          </w:tcPr>
          <w:p>
            <w:pPr>
              <w:widowControl/>
              <w:jc w:val="left"/>
              <w:rPr>
                <w:rFonts w:ascii="宋体" w:hAnsi="宋体"/>
                <w:sz w:val="20"/>
                <w:szCs w:val="20"/>
              </w:rPr>
            </w:pPr>
            <w:r>
              <w:rPr>
                <w:rFonts w:hint="eastAsia" w:ascii="宋体" w:hAnsi="宋体" w:cs="宋体"/>
                <w:color w:val="000000"/>
                <w:kern w:val="0"/>
                <w:sz w:val="20"/>
                <w:szCs w:val="18"/>
              </w:rPr>
              <w:t>对周边群众就平原造林复垦工作带来的环境改善进行满意度调查</w:t>
            </w:r>
          </w:p>
        </w:tc>
        <w:tc>
          <w:tcPr>
            <w:tcW w:w="770"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sz w:val="20"/>
                <w:szCs w:val="20"/>
              </w:rPr>
            </w:pPr>
            <w:r>
              <w:rPr>
                <w:rFonts w:hint="eastAsia" w:ascii="宋体" w:hAnsi="宋体" w:cs="宋体"/>
                <w:color w:val="000000"/>
                <w:kern w:val="0"/>
                <w:sz w:val="20"/>
                <w:szCs w:val="18"/>
              </w:rPr>
              <w:t>20</w:t>
            </w:r>
          </w:p>
        </w:tc>
        <w:tc>
          <w:tcPr>
            <w:tcW w:w="1469"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ascii="宋体" w:hAnsi="宋体"/>
                <w:sz w:val="18"/>
                <w:szCs w:val="18"/>
              </w:rPr>
              <w:t>好评率定性测量</w:t>
            </w:r>
          </w:p>
        </w:tc>
        <w:tc>
          <w:tcPr>
            <w:tcW w:w="1279" w:type="dxa"/>
            <w:tcBorders>
              <w:top w:val="nil"/>
              <w:left w:val="nil"/>
              <w:bottom w:val="single" w:color="auto" w:sz="4" w:space="0"/>
              <w:right w:val="single" w:color="auto" w:sz="4" w:space="0"/>
            </w:tcBorders>
            <w:vAlign w:val="center"/>
          </w:tcPr>
          <w:p>
            <w:pPr>
              <w:jc w:val="center"/>
              <w:rPr>
                <w:rFonts w:ascii="宋体" w:hAnsi="宋体"/>
                <w:sz w:val="20"/>
                <w:szCs w:val="20"/>
              </w:rPr>
            </w:pPr>
            <w:r>
              <w:rPr>
                <w:rFonts w:hint="eastAsia" w:ascii="宋体" w:hAnsi="宋体"/>
                <w:sz w:val="18"/>
                <w:szCs w:val="18"/>
              </w:rPr>
              <w:t>好评率达90%</w:t>
            </w:r>
          </w:p>
        </w:tc>
        <w:tc>
          <w:tcPr>
            <w:tcW w:w="3221" w:type="dxa"/>
            <w:gridSpan w:val="2"/>
            <w:tcBorders>
              <w:top w:val="single" w:color="auto" w:sz="4" w:space="0"/>
              <w:left w:val="single" w:color="auto" w:sz="4" w:space="0"/>
              <w:bottom w:val="single" w:color="auto" w:sz="4" w:space="0"/>
              <w:right w:val="nil"/>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同效益指标得分计算方式。</w:t>
            </w:r>
          </w:p>
        </w:tc>
        <w:tc>
          <w:tcPr>
            <w:tcW w:w="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433" w:type="dxa"/>
            <w:tcBorders>
              <w:top w:val="single" w:color="auto" w:sz="4" w:space="0"/>
              <w:left w:val="nil"/>
              <w:bottom w:val="single" w:color="auto" w:sz="4" w:space="0"/>
              <w:right w:val="single" w:color="auto" w:sz="4" w:space="0"/>
            </w:tcBorders>
            <w:vAlign w:val="center"/>
          </w:tcPr>
          <w:p>
            <w:pPr>
              <w:widowControl/>
              <w:rPr>
                <w:rFonts w:ascii="宋体" w:hAnsi="宋体" w:cs="宋体"/>
                <w:color w:val="000000"/>
                <w:kern w:val="0"/>
                <w:sz w:val="20"/>
                <w:szCs w:val="20"/>
              </w:rPr>
            </w:pPr>
          </w:p>
        </w:tc>
      </w:tr>
      <w:tr>
        <w:tblPrEx>
          <w:tblCellMar>
            <w:top w:w="0" w:type="dxa"/>
            <w:left w:w="108" w:type="dxa"/>
            <w:bottom w:w="0" w:type="dxa"/>
            <w:right w:w="108" w:type="dxa"/>
          </w:tblCellMar>
        </w:tblPrEx>
        <w:trPr>
          <w:trHeight w:val="433" w:hRule="atLeast"/>
          <w:jc w:val="center"/>
        </w:trPr>
        <w:tc>
          <w:tcPr>
            <w:tcW w:w="12972"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总分</w:t>
            </w:r>
          </w:p>
        </w:tc>
        <w:tc>
          <w:tcPr>
            <w:tcW w:w="223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93.12</w:t>
            </w:r>
          </w:p>
        </w:tc>
      </w:tr>
      <w:tr>
        <w:tblPrEx>
          <w:tblCellMar>
            <w:top w:w="0" w:type="dxa"/>
            <w:left w:w="108" w:type="dxa"/>
            <w:bottom w:w="0" w:type="dxa"/>
            <w:right w:w="108" w:type="dxa"/>
          </w:tblCellMar>
        </w:tblPrEx>
        <w:trPr>
          <w:trHeight w:val="387" w:hRule="atLeast"/>
          <w:jc w:val="center"/>
        </w:trPr>
        <w:tc>
          <w:tcPr>
            <w:tcW w:w="15205" w:type="dxa"/>
            <w:gridSpan w:val="11"/>
            <w:tcBorders>
              <w:top w:val="single" w:color="auto" w:sz="4" w:space="0"/>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注：1.得分一档最高不能超过该指标分值上限。</w:t>
            </w:r>
          </w:p>
        </w:tc>
      </w:tr>
      <w:tr>
        <w:tblPrEx>
          <w:tblCellMar>
            <w:top w:w="0" w:type="dxa"/>
            <w:left w:w="108" w:type="dxa"/>
            <w:bottom w:w="0" w:type="dxa"/>
            <w:right w:w="108" w:type="dxa"/>
          </w:tblCellMar>
        </w:tblPrEx>
        <w:trPr>
          <w:trHeight w:val="728"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2.定性指标根据指标完成情况分为：达成预期指标、基本达成预期指标且效果较好效果、部分达成预期指标且具有一定效果、未达成预期指标且效果较差四档，分别按照该指标对应分值区间100-90%(含90%)、90-75%(含75%)、75-60%（含60%）、60-0%合理确定分值。</w:t>
            </w:r>
          </w:p>
        </w:tc>
      </w:tr>
      <w:tr>
        <w:tblPrEx>
          <w:tblCellMar>
            <w:top w:w="0" w:type="dxa"/>
            <w:left w:w="108" w:type="dxa"/>
            <w:bottom w:w="0" w:type="dxa"/>
            <w:right w:w="108" w:type="dxa"/>
          </w:tblCellMar>
        </w:tblPrEx>
        <w:trPr>
          <w:trHeight w:val="695"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3.定量指标若为正向指标，则得分计算方法应用全年实际值（B）/年度指标值（A）*该指标分值；若定量指标为反向指标，则得分计算方法应用年度指标值（A）/全年实际值（B）*该指标分值。</w:t>
            </w:r>
          </w:p>
        </w:tc>
      </w:tr>
      <w:tr>
        <w:tblPrEx>
          <w:tblCellMar>
            <w:top w:w="0" w:type="dxa"/>
            <w:left w:w="108" w:type="dxa"/>
            <w:bottom w:w="0" w:type="dxa"/>
            <w:right w:w="108" w:type="dxa"/>
          </w:tblCellMar>
        </w:tblPrEx>
        <w:trPr>
          <w:trHeight w:val="99" w:hRule="atLeast"/>
          <w:jc w:val="center"/>
        </w:trPr>
        <w:tc>
          <w:tcPr>
            <w:tcW w:w="15205" w:type="dxa"/>
            <w:gridSpan w:val="11"/>
            <w:tcBorders>
              <w:top w:val="nil"/>
              <w:left w:val="nil"/>
              <w:bottom w:val="nil"/>
              <w:right w:val="nil"/>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4.请在“未完成原因分析”中说明偏离目标、不能完成目标的原因及拟采取的措施。</w:t>
            </w:r>
          </w:p>
        </w:tc>
      </w:tr>
    </w:tbl>
    <w:p>
      <w:pPr>
        <w:spacing w:line="360" w:lineRule="auto"/>
        <w:outlineLvl w:val="0"/>
        <w:rPr>
          <w:rFonts w:ascii="仿宋_GB2312" w:hAnsi="黑体" w:eastAsia="仿宋_GB2312"/>
          <w:sz w:val="28"/>
          <w:szCs w:val="28"/>
        </w:rPr>
      </w:pPr>
    </w:p>
    <w:sectPr>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Leelawadee UI">
    <w:panose1 w:val="020B0502040204020203"/>
    <w:charset w:val="00"/>
    <w:family w:val="swiss"/>
    <w:pitch w:val="default"/>
    <w:sig w:usb0="83000003" w:usb1="00000000" w:usb2="00010000" w:usb3="00000001" w:csb0="000101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fldChar w:fldCharType="begin"/>
    </w:r>
    <w:r>
      <w:rPr>
        <w:rStyle w:val="18"/>
      </w:rPr>
      <w:instrText xml:space="preserve">PAGE  </w:instrText>
    </w:r>
    <w:r>
      <w:fldChar w:fldCharType="separate"/>
    </w:r>
    <w:r>
      <w:rPr>
        <w:rStyle w:val="18"/>
      </w:rPr>
      <w:t>10</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fldChar w:fldCharType="begin"/>
    </w:r>
    <w:r>
      <w:rPr>
        <w:rStyle w:val="18"/>
      </w:rPr>
      <w:instrText xml:space="preserve">PAGE  </w:instrText>
    </w:r>
    <w:r>
      <w:fldChar w:fldCharType="separate"/>
    </w:r>
    <w:r>
      <w:rPr>
        <w:rStyle w:val="18"/>
      </w:rPr>
      <w:t>15</w: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rPr>
        <w:lang w:val="zh-CN"/>
      </w:rPr>
      <w:t>2</w:t>
    </w:r>
    <w:r>
      <w:fldChar w:fldCharType="end"/>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RS0/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29REsctTvz89Hj+8ev88ztB&#10;HwrUB6gx7yFgZhre+QHXZvYDOjPvQUWbv8iIYByxThd55ZCIyI9Wy9WqwpDA2HxBfPb8PERI76W3&#10;JBsNjTi/Iis/foQ0ps4puZrz99qYMkPj/nIgZvaw3PvYY7bSsBsmQjvfnpBPj6NvqMNNp8R8cKgs&#10;9pdmI87GbjJyDQhvDw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EUtPzCAQAAjwMAAA4AAAAAAAAAAQAgAAAAHgEAAGRycy9lMm9Eb2MueG1sUEsF&#10;BgAAAAAGAAYAWQEAAFIFAAAAAA==&#10;">
              <v:fill on="f" focussize="0,0"/>
              <v:stroke on="f"/>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84B22"/>
    <w:multiLevelType w:val="singleLevel"/>
    <w:tmpl w:val="85D84B22"/>
    <w:lvl w:ilvl="0" w:tentative="0">
      <w:start w:val="1"/>
      <w:numFmt w:val="decimal"/>
      <w:suff w:val="nothing"/>
      <w:lvlText w:val="%1、"/>
      <w:lvlJc w:val="left"/>
    </w:lvl>
  </w:abstractNum>
  <w:abstractNum w:abstractNumId="1">
    <w:nsid w:val="8E48035A"/>
    <w:multiLevelType w:val="singleLevel"/>
    <w:tmpl w:val="8E48035A"/>
    <w:lvl w:ilvl="0" w:tentative="0">
      <w:start w:val="2"/>
      <w:numFmt w:val="decimal"/>
      <w:suff w:val="nothing"/>
      <w:lvlText w:val="%1、"/>
      <w:lvlJc w:val="left"/>
    </w:lvl>
  </w:abstractNum>
  <w:abstractNum w:abstractNumId="2">
    <w:nsid w:val="0890BEA2"/>
    <w:multiLevelType w:val="singleLevel"/>
    <w:tmpl w:val="0890BEA2"/>
    <w:lvl w:ilvl="0" w:tentative="0">
      <w:start w:val="1"/>
      <w:numFmt w:val="decimalFullWidth"/>
      <w:lvlText w:val="%1."/>
      <w:lvlJc w:val="left"/>
      <w:pPr>
        <w:tabs>
          <w:tab w:val="left" w:pos="312"/>
        </w:tabs>
      </w:pPr>
      <w:rPr>
        <w:rFonts w:hint="eastAsia"/>
      </w:rPr>
    </w:lvl>
  </w:abstractNum>
  <w:abstractNum w:abstractNumId="3">
    <w:nsid w:val="250B1107"/>
    <w:multiLevelType w:val="singleLevel"/>
    <w:tmpl w:val="250B1107"/>
    <w:lvl w:ilvl="0" w:tentative="0">
      <w:start w:val="1"/>
      <w:numFmt w:val="decimal"/>
      <w:suff w:val="nothing"/>
      <w:lvlText w:val="%1、"/>
      <w:lvlJc w:val="left"/>
    </w:lvl>
  </w:abstractNum>
  <w:abstractNum w:abstractNumId="4">
    <w:nsid w:val="297BEF4D"/>
    <w:multiLevelType w:val="singleLevel"/>
    <w:tmpl w:val="297BEF4D"/>
    <w:lvl w:ilvl="0" w:tentative="0">
      <w:start w:val="2"/>
      <w:numFmt w:val="chineseCounting"/>
      <w:suff w:val="nothing"/>
      <w:lvlText w:val="（%1）"/>
      <w:lvlJc w:val="left"/>
      <w:rPr>
        <w:rFonts w:hint="eastAsia"/>
      </w:rPr>
    </w:lvl>
  </w:abstractNum>
  <w:abstractNum w:abstractNumId="5">
    <w:nsid w:val="51CD151F"/>
    <w:multiLevelType w:val="singleLevel"/>
    <w:tmpl w:val="51CD151F"/>
    <w:lvl w:ilvl="0" w:tentative="0">
      <w:start w:val="2"/>
      <w:numFmt w:val="chineseCounting"/>
      <w:suff w:val="nothing"/>
      <w:lvlText w:val="（%1）"/>
      <w:lvlJc w:val="left"/>
      <w:rPr>
        <w:rFonts w:hint="eastAsia"/>
      </w:rPr>
    </w:lvl>
  </w:abstractNum>
  <w:abstractNum w:abstractNumId="6">
    <w:nsid w:val="6C8DAF52"/>
    <w:multiLevelType w:val="singleLevel"/>
    <w:tmpl w:val="6C8DAF52"/>
    <w:lvl w:ilvl="0" w:tentative="0">
      <w:start w:val="1"/>
      <w:numFmt w:val="decimal"/>
      <w:suff w:val="nothing"/>
      <w:lvlText w:val="%1、"/>
      <w:lvlJc w:val="left"/>
    </w:lvl>
  </w:abstractNum>
  <w:abstractNum w:abstractNumId="7">
    <w:nsid w:val="75DA03D0"/>
    <w:multiLevelType w:val="singleLevel"/>
    <w:tmpl w:val="75DA03D0"/>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3"/>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2ef3aa86-7775-4e2b-8729-aeebc4ea6520"/>
  </w:docVars>
  <w:rsids>
    <w:rsidRoot w:val="00100246"/>
    <w:rsid w:val="00003B03"/>
    <w:rsid w:val="000040E6"/>
    <w:rsid w:val="00011D72"/>
    <w:rsid w:val="00013CEC"/>
    <w:rsid w:val="00027CD5"/>
    <w:rsid w:val="00031717"/>
    <w:rsid w:val="00031849"/>
    <w:rsid w:val="00031B8E"/>
    <w:rsid w:val="00033EC1"/>
    <w:rsid w:val="00034224"/>
    <w:rsid w:val="00040275"/>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D6BFA"/>
    <w:rsid w:val="000E0B26"/>
    <w:rsid w:val="000E3291"/>
    <w:rsid w:val="000E56A1"/>
    <w:rsid w:val="000F08FE"/>
    <w:rsid w:val="000F2A48"/>
    <w:rsid w:val="000F49BE"/>
    <w:rsid w:val="00100246"/>
    <w:rsid w:val="0010682D"/>
    <w:rsid w:val="001073C6"/>
    <w:rsid w:val="00107DB5"/>
    <w:rsid w:val="0011483D"/>
    <w:rsid w:val="00115724"/>
    <w:rsid w:val="00122DDC"/>
    <w:rsid w:val="00130995"/>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8724F"/>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396B"/>
    <w:rsid w:val="002253CB"/>
    <w:rsid w:val="002326DE"/>
    <w:rsid w:val="00234314"/>
    <w:rsid w:val="00241724"/>
    <w:rsid w:val="0024390C"/>
    <w:rsid w:val="00243EB9"/>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D72D1"/>
    <w:rsid w:val="002E06AE"/>
    <w:rsid w:val="002E4B75"/>
    <w:rsid w:val="002E68DD"/>
    <w:rsid w:val="002F17C2"/>
    <w:rsid w:val="002F32EE"/>
    <w:rsid w:val="002F4054"/>
    <w:rsid w:val="002F5574"/>
    <w:rsid w:val="002F7B15"/>
    <w:rsid w:val="00301D20"/>
    <w:rsid w:val="00302B19"/>
    <w:rsid w:val="00303428"/>
    <w:rsid w:val="003038DE"/>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1D17"/>
    <w:rsid w:val="004121B3"/>
    <w:rsid w:val="0041271F"/>
    <w:rsid w:val="0041688E"/>
    <w:rsid w:val="004170EF"/>
    <w:rsid w:val="0042093C"/>
    <w:rsid w:val="004233DD"/>
    <w:rsid w:val="00423F0A"/>
    <w:rsid w:val="00424405"/>
    <w:rsid w:val="004250C4"/>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0BC2"/>
    <w:rsid w:val="00461FA5"/>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682C"/>
    <w:rsid w:val="004A168E"/>
    <w:rsid w:val="004A4EC7"/>
    <w:rsid w:val="004B0003"/>
    <w:rsid w:val="004C020A"/>
    <w:rsid w:val="004C03A3"/>
    <w:rsid w:val="004C0BF7"/>
    <w:rsid w:val="004C44B8"/>
    <w:rsid w:val="004C4913"/>
    <w:rsid w:val="004C73F4"/>
    <w:rsid w:val="004C7629"/>
    <w:rsid w:val="004D0D5D"/>
    <w:rsid w:val="004E27DD"/>
    <w:rsid w:val="004E3350"/>
    <w:rsid w:val="004E3911"/>
    <w:rsid w:val="004E5292"/>
    <w:rsid w:val="004F2C5B"/>
    <w:rsid w:val="004F610B"/>
    <w:rsid w:val="004F641B"/>
    <w:rsid w:val="004F71F3"/>
    <w:rsid w:val="00500D0B"/>
    <w:rsid w:val="005052FA"/>
    <w:rsid w:val="005069E1"/>
    <w:rsid w:val="00507E59"/>
    <w:rsid w:val="005122B5"/>
    <w:rsid w:val="0052381C"/>
    <w:rsid w:val="005346B3"/>
    <w:rsid w:val="005368DE"/>
    <w:rsid w:val="0054051C"/>
    <w:rsid w:val="00543E37"/>
    <w:rsid w:val="00546A84"/>
    <w:rsid w:val="00547BE2"/>
    <w:rsid w:val="0055353D"/>
    <w:rsid w:val="005606FD"/>
    <w:rsid w:val="0056187C"/>
    <w:rsid w:val="0056700F"/>
    <w:rsid w:val="00570350"/>
    <w:rsid w:val="00576B03"/>
    <w:rsid w:val="00591655"/>
    <w:rsid w:val="00591BEC"/>
    <w:rsid w:val="005940EA"/>
    <w:rsid w:val="00594448"/>
    <w:rsid w:val="005A1D6F"/>
    <w:rsid w:val="005A4D82"/>
    <w:rsid w:val="005A52A6"/>
    <w:rsid w:val="005B0DEC"/>
    <w:rsid w:val="005B368E"/>
    <w:rsid w:val="005B6E69"/>
    <w:rsid w:val="005C0015"/>
    <w:rsid w:val="005C0F5F"/>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4DA3"/>
    <w:rsid w:val="006C5205"/>
    <w:rsid w:val="006C7272"/>
    <w:rsid w:val="006C75F6"/>
    <w:rsid w:val="006D3F53"/>
    <w:rsid w:val="006D60AF"/>
    <w:rsid w:val="006F5FE4"/>
    <w:rsid w:val="00701651"/>
    <w:rsid w:val="0070304E"/>
    <w:rsid w:val="007049BF"/>
    <w:rsid w:val="00704E79"/>
    <w:rsid w:val="00707A26"/>
    <w:rsid w:val="0071120F"/>
    <w:rsid w:val="00716380"/>
    <w:rsid w:val="00722165"/>
    <w:rsid w:val="00724B1C"/>
    <w:rsid w:val="007428F0"/>
    <w:rsid w:val="00742B05"/>
    <w:rsid w:val="00747613"/>
    <w:rsid w:val="00750E0E"/>
    <w:rsid w:val="007512EF"/>
    <w:rsid w:val="007551AC"/>
    <w:rsid w:val="0076101C"/>
    <w:rsid w:val="00761A93"/>
    <w:rsid w:val="00763D87"/>
    <w:rsid w:val="007670B2"/>
    <w:rsid w:val="00771795"/>
    <w:rsid w:val="00774925"/>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6887"/>
    <w:rsid w:val="007C7A22"/>
    <w:rsid w:val="007C7C62"/>
    <w:rsid w:val="007D1076"/>
    <w:rsid w:val="007D12B7"/>
    <w:rsid w:val="007D2A49"/>
    <w:rsid w:val="007D5E38"/>
    <w:rsid w:val="007D7AC4"/>
    <w:rsid w:val="007E0340"/>
    <w:rsid w:val="007E141D"/>
    <w:rsid w:val="007E1D4A"/>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5267"/>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2279"/>
    <w:rsid w:val="009524EB"/>
    <w:rsid w:val="00962013"/>
    <w:rsid w:val="00963942"/>
    <w:rsid w:val="0096716C"/>
    <w:rsid w:val="009672B2"/>
    <w:rsid w:val="00971C66"/>
    <w:rsid w:val="00981025"/>
    <w:rsid w:val="00982515"/>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384"/>
    <w:rsid w:val="00A117CA"/>
    <w:rsid w:val="00A12225"/>
    <w:rsid w:val="00A14C18"/>
    <w:rsid w:val="00A174D7"/>
    <w:rsid w:val="00A25898"/>
    <w:rsid w:val="00A3071D"/>
    <w:rsid w:val="00A3182E"/>
    <w:rsid w:val="00A31A89"/>
    <w:rsid w:val="00A32F06"/>
    <w:rsid w:val="00A34934"/>
    <w:rsid w:val="00A34EFE"/>
    <w:rsid w:val="00A36546"/>
    <w:rsid w:val="00A403E1"/>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3F4"/>
    <w:rsid w:val="00A97B34"/>
    <w:rsid w:val="00AA1B5C"/>
    <w:rsid w:val="00AA2482"/>
    <w:rsid w:val="00AA7A27"/>
    <w:rsid w:val="00AB3FB0"/>
    <w:rsid w:val="00AB465D"/>
    <w:rsid w:val="00AC114C"/>
    <w:rsid w:val="00AC1478"/>
    <w:rsid w:val="00AC67C7"/>
    <w:rsid w:val="00AC6C2D"/>
    <w:rsid w:val="00AC6E17"/>
    <w:rsid w:val="00AD2FF3"/>
    <w:rsid w:val="00AD7764"/>
    <w:rsid w:val="00AD7FE2"/>
    <w:rsid w:val="00AE0DC7"/>
    <w:rsid w:val="00AE1284"/>
    <w:rsid w:val="00AE1B18"/>
    <w:rsid w:val="00AE7339"/>
    <w:rsid w:val="00AF1B0B"/>
    <w:rsid w:val="00AF242C"/>
    <w:rsid w:val="00AF3CC4"/>
    <w:rsid w:val="00AF5F8D"/>
    <w:rsid w:val="00B05903"/>
    <w:rsid w:val="00B12C7A"/>
    <w:rsid w:val="00B12E10"/>
    <w:rsid w:val="00B22BC3"/>
    <w:rsid w:val="00B25865"/>
    <w:rsid w:val="00B272B6"/>
    <w:rsid w:val="00B2771B"/>
    <w:rsid w:val="00B336E9"/>
    <w:rsid w:val="00B33AE5"/>
    <w:rsid w:val="00B34BDD"/>
    <w:rsid w:val="00B35BE5"/>
    <w:rsid w:val="00B46965"/>
    <w:rsid w:val="00B54ED0"/>
    <w:rsid w:val="00B55D47"/>
    <w:rsid w:val="00B6204E"/>
    <w:rsid w:val="00B649EC"/>
    <w:rsid w:val="00B64E2B"/>
    <w:rsid w:val="00B728DD"/>
    <w:rsid w:val="00B72D43"/>
    <w:rsid w:val="00B74121"/>
    <w:rsid w:val="00B80DC8"/>
    <w:rsid w:val="00B85FF0"/>
    <w:rsid w:val="00B86150"/>
    <w:rsid w:val="00B878F9"/>
    <w:rsid w:val="00B9044A"/>
    <w:rsid w:val="00B96076"/>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1A72"/>
    <w:rsid w:val="00BE34CA"/>
    <w:rsid w:val="00BF116A"/>
    <w:rsid w:val="00C0366F"/>
    <w:rsid w:val="00C0623C"/>
    <w:rsid w:val="00C06A07"/>
    <w:rsid w:val="00C132B6"/>
    <w:rsid w:val="00C21A6C"/>
    <w:rsid w:val="00C224D0"/>
    <w:rsid w:val="00C24A10"/>
    <w:rsid w:val="00C27003"/>
    <w:rsid w:val="00C27597"/>
    <w:rsid w:val="00C32BD4"/>
    <w:rsid w:val="00C32D1F"/>
    <w:rsid w:val="00C33E48"/>
    <w:rsid w:val="00C3618B"/>
    <w:rsid w:val="00C403FB"/>
    <w:rsid w:val="00C4316E"/>
    <w:rsid w:val="00C441A2"/>
    <w:rsid w:val="00C5076B"/>
    <w:rsid w:val="00C512D4"/>
    <w:rsid w:val="00C51CF4"/>
    <w:rsid w:val="00C531E2"/>
    <w:rsid w:val="00C57E34"/>
    <w:rsid w:val="00C64659"/>
    <w:rsid w:val="00C662E9"/>
    <w:rsid w:val="00C66C2D"/>
    <w:rsid w:val="00C66F47"/>
    <w:rsid w:val="00C7190B"/>
    <w:rsid w:val="00C74C2A"/>
    <w:rsid w:val="00C76852"/>
    <w:rsid w:val="00C77210"/>
    <w:rsid w:val="00C777FA"/>
    <w:rsid w:val="00C77989"/>
    <w:rsid w:val="00C81E51"/>
    <w:rsid w:val="00C87B73"/>
    <w:rsid w:val="00C92444"/>
    <w:rsid w:val="00C92FBB"/>
    <w:rsid w:val="00C93327"/>
    <w:rsid w:val="00C97B4D"/>
    <w:rsid w:val="00CA22C2"/>
    <w:rsid w:val="00CA5602"/>
    <w:rsid w:val="00CA5CA9"/>
    <w:rsid w:val="00CA78E2"/>
    <w:rsid w:val="00CB1BBE"/>
    <w:rsid w:val="00CB65DB"/>
    <w:rsid w:val="00CB6BD9"/>
    <w:rsid w:val="00CB6EE7"/>
    <w:rsid w:val="00CC293A"/>
    <w:rsid w:val="00CE19F6"/>
    <w:rsid w:val="00CF366B"/>
    <w:rsid w:val="00CF5D9D"/>
    <w:rsid w:val="00CF606C"/>
    <w:rsid w:val="00CF7423"/>
    <w:rsid w:val="00D001F5"/>
    <w:rsid w:val="00D03E80"/>
    <w:rsid w:val="00D03F61"/>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742E2"/>
    <w:rsid w:val="00D7580E"/>
    <w:rsid w:val="00D76CAF"/>
    <w:rsid w:val="00D87A39"/>
    <w:rsid w:val="00D87DAF"/>
    <w:rsid w:val="00D9446D"/>
    <w:rsid w:val="00D97FE2"/>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019C"/>
    <w:rsid w:val="00EA11B1"/>
    <w:rsid w:val="00EA2224"/>
    <w:rsid w:val="00EA7194"/>
    <w:rsid w:val="00EB1329"/>
    <w:rsid w:val="00EB2987"/>
    <w:rsid w:val="00EB2D75"/>
    <w:rsid w:val="00EB34BE"/>
    <w:rsid w:val="00EB571A"/>
    <w:rsid w:val="00EC2804"/>
    <w:rsid w:val="00EC3F79"/>
    <w:rsid w:val="00EC6138"/>
    <w:rsid w:val="00ED1DCF"/>
    <w:rsid w:val="00ED43C9"/>
    <w:rsid w:val="00ED7460"/>
    <w:rsid w:val="00EE2C60"/>
    <w:rsid w:val="00EE2E58"/>
    <w:rsid w:val="00EE487A"/>
    <w:rsid w:val="00EE734C"/>
    <w:rsid w:val="00EF6907"/>
    <w:rsid w:val="00EF6D91"/>
    <w:rsid w:val="00EF7C4E"/>
    <w:rsid w:val="00F01F54"/>
    <w:rsid w:val="00F04D4D"/>
    <w:rsid w:val="00F11DD8"/>
    <w:rsid w:val="00F12745"/>
    <w:rsid w:val="00F13766"/>
    <w:rsid w:val="00F16273"/>
    <w:rsid w:val="00F20A77"/>
    <w:rsid w:val="00F22C60"/>
    <w:rsid w:val="00F231A4"/>
    <w:rsid w:val="00F23252"/>
    <w:rsid w:val="00F27B2A"/>
    <w:rsid w:val="00F345D3"/>
    <w:rsid w:val="00F356ED"/>
    <w:rsid w:val="00F35909"/>
    <w:rsid w:val="00F359B5"/>
    <w:rsid w:val="00F37183"/>
    <w:rsid w:val="00F4144F"/>
    <w:rsid w:val="00F433F3"/>
    <w:rsid w:val="00F47F64"/>
    <w:rsid w:val="00F522D9"/>
    <w:rsid w:val="00F52F54"/>
    <w:rsid w:val="00F53584"/>
    <w:rsid w:val="00F5449B"/>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01647379"/>
    <w:rsid w:val="026E397F"/>
    <w:rsid w:val="02792885"/>
    <w:rsid w:val="057A7DE6"/>
    <w:rsid w:val="07880228"/>
    <w:rsid w:val="078C2C60"/>
    <w:rsid w:val="08626AE8"/>
    <w:rsid w:val="14914795"/>
    <w:rsid w:val="15625A88"/>
    <w:rsid w:val="16E967DB"/>
    <w:rsid w:val="18233BAD"/>
    <w:rsid w:val="18BB0AD5"/>
    <w:rsid w:val="1DDB6C85"/>
    <w:rsid w:val="1E6467DF"/>
    <w:rsid w:val="1EED7688"/>
    <w:rsid w:val="204541E7"/>
    <w:rsid w:val="245D6454"/>
    <w:rsid w:val="25E373BE"/>
    <w:rsid w:val="26907D7B"/>
    <w:rsid w:val="28423B41"/>
    <w:rsid w:val="28DF60AC"/>
    <w:rsid w:val="2AAD20DA"/>
    <w:rsid w:val="2AB26338"/>
    <w:rsid w:val="2C6B6CB0"/>
    <w:rsid w:val="31660411"/>
    <w:rsid w:val="32CC089C"/>
    <w:rsid w:val="35D10B10"/>
    <w:rsid w:val="36D06FCB"/>
    <w:rsid w:val="37164E66"/>
    <w:rsid w:val="37601B07"/>
    <w:rsid w:val="38EC1B32"/>
    <w:rsid w:val="38F36FB3"/>
    <w:rsid w:val="396E0139"/>
    <w:rsid w:val="3A996D36"/>
    <w:rsid w:val="3B664429"/>
    <w:rsid w:val="3D3E41CF"/>
    <w:rsid w:val="3F860B66"/>
    <w:rsid w:val="40395FBF"/>
    <w:rsid w:val="4046578A"/>
    <w:rsid w:val="433C216A"/>
    <w:rsid w:val="43414049"/>
    <w:rsid w:val="438B126E"/>
    <w:rsid w:val="47B43CD1"/>
    <w:rsid w:val="48DC4EC8"/>
    <w:rsid w:val="4A4F4384"/>
    <w:rsid w:val="4C62407E"/>
    <w:rsid w:val="4C9521E5"/>
    <w:rsid w:val="51135F49"/>
    <w:rsid w:val="52FD2BB9"/>
    <w:rsid w:val="55A249B6"/>
    <w:rsid w:val="55F4509B"/>
    <w:rsid w:val="591E463B"/>
    <w:rsid w:val="5A79740D"/>
    <w:rsid w:val="5B056801"/>
    <w:rsid w:val="5D6600C6"/>
    <w:rsid w:val="5E104130"/>
    <w:rsid w:val="5EEE47EE"/>
    <w:rsid w:val="5FD70068"/>
    <w:rsid w:val="62385AFE"/>
    <w:rsid w:val="625A3D2A"/>
    <w:rsid w:val="64F93AA1"/>
    <w:rsid w:val="661D6511"/>
    <w:rsid w:val="68A37F23"/>
    <w:rsid w:val="6D387916"/>
    <w:rsid w:val="6D461978"/>
    <w:rsid w:val="6F6E6467"/>
    <w:rsid w:val="735D6607"/>
    <w:rsid w:val="73656D75"/>
    <w:rsid w:val="73E94C03"/>
    <w:rsid w:val="741A73F3"/>
    <w:rsid w:val="753B6C1F"/>
    <w:rsid w:val="76145F49"/>
    <w:rsid w:val="76FA0091"/>
    <w:rsid w:val="77780033"/>
    <w:rsid w:val="7D08410F"/>
    <w:rsid w:val="7F75033E"/>
    <w:rsid w:val="7F890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10" w:after="10" w:line="360" w:lineRule="auto"/>
      <w:ind w:firstLine="643" w:firstLineChars="200"/>
      <w:outlineLvl w:val="0"/>
    </w:pPr>
    <w:rPr>
      <w:rFonts w:eastAsia="仿宋"/>
      <w:b/>
      <w:bCs/>
      <w:kern w:val="44"/>
      <w:sz w:val="32"/>
      <w:szCs w:val="44"/>
    </w:rPr>
  </w:style>
  <w:style w:type="paragraph" w:styleId="4">
    <w:name w:val="heading 2"/>
    <w:basedOn w:val="1"/>
    <w:next w:val="1"/>
    <w:qFormat/>
    <w:uiPriority w:val="9"/>
    <w:pPr>
      <w:keepNext/>
      <w:keepLines/>
      <w:spacing w:before="10" w:after="10" w:line="360" w:lineRule="auto"/>
      <w:ind w:firstLine="643" w:firstLineChars="200"/>
      <w:outlineLvl w:val="1"/>
    </w:pPr>
    <w:rPr>
      <w:rFonts w:ascii="Calibri Light" w:hAnsi="Calibri Light" w:eastAsia="仿宋_GB2312"/>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toc 1"/>
    <w:basedOn w:val="1"/>
    <w:next w:val="1"/>
    <w:qFormat/>
    <w:uiPriority w:val="0"/>
  </w:style>
  <w:style w:type="paragraph" w:styleId="11">
    <w:name w:val="Subtitle"/>
    <w:basedOn w:val="1"/>
    <w:next w:val="1"/>
    <w:qFormat/>
    <w:uiPriority w:val="0"/>
    <w:pPr>
      <w:ind w:firstLine="200" w:firstLineChars="200"/>
      <w:jc w:val="left"/>
      <w:outlineLvl w:val="2"/>
    </w:pPr>
    <w:rPr>
      <w:rFonts w:ascii="Cambria" w:hAnsi="Cambria" w:eastAsia="黑体"/>
      <w:bCs/>
      <w:kern w:val="28"/>
      <w:sz w:val="28"/>
      <w:szCs w:val="32"/>
    </w:rPr>
  </w:style>
  <w:style w:type="paragraph" w:styleId="12">
    <w:name w:val="toc 2"/>
    <w:basedOn w:val="1"/>
    <w:next w:val="1"/>
    <w:qFormat/>
    <w:uiPriority w:val="0"/>
    <w:pPr>
      <w:ind w:left="420" w:leftChars="200"/>
    </w:pPr>
  </w:style>
  <w:style w:type="paragraph" w:styleId="13">
    <w:name w:val="Normal (Web)"/>
    <w:basedOn w:val="1"/>
    <w:unhideWhenUsed/>
    <w:qFormat/>
    <w:uiPriority w:val="0"/>
    <w:pPr>
      <w:spacing w:before="100" w:beforeAutospacing="1" w:after="100" w:afterAutospacing="1"/>
      <w:ind w:right="238"/>
      <w:jc w:val="left"/>
    </w:pPr>
    <w:rPr>
      <w:b/>
      <w:kern w:val="0"/>
      <w:sz w:val="2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rPr>
  </w:style>
  <w:style w:type="character" w:styleId="18">
    <w:name w:val="page number"/>
    <w:basedOn w:val="16"/>
    <w:qFormat/>
    <w:uiPriority w:val="0"/>
  </w:style>
  <w:style w:type="character" w:customStyle="1" w:styleId="19">
    <w:name w:val="页脚 字符"/>
    <w:link w:val="8"/>
    <w:qFormat/>
    <w:uiPriority w:val="0"/>
    <w:rPr>
      <w:rFonts w:eastAsia="宋体"/>
      <w:kern w:val="2"/>
      <w:sz w:val="18"/>
      <w:szCs w:val="18"/>
      <w:lang w:val="en-US" w:eastAsia="zh-CN" w:bidi="ar-SA"/>
    </w:rPr>
  </w:style>
  <w:style w:type="character" w:customStyle="1" w:styleId="20">
    <w:name w:val="页眉 字符"/>
    <w:link w:val="9"/>
    <w:qFormat/>
    <w:uiPriority w:val="0"/>
    <w:rPr>
      <w:rFonts w:ascii="Calibri" w:hAnsi="Calibri" w:eastAsia="宋体"/>
      <w:kern w:val="2"/>
      <w:sz w:val="18"/>
      <w:szCs w:val="18"/>
      <w:lang w:val="en-US" w:eastAsia="zh-CN" w:bidi="ar-SA"/>
    </w:rPr>
  </w:style>
  <w:style w:type="paragraph" w:customStyle="1" w:styleId="21">
    <w:name w:val="Char Char Char Char Char Char Char"/>
    <w:basedOn w:val="1"/>
    <w:qFormat/>
    <w:uiPriority w:val="0"/>
    <w:rPr>
      <w:rFonts w:ascii="Tahoma" w:hAnsi="Tahoma"/>
      <w:sz w:val="24"/>
      <w:szCs w:val="20"/>
    </w:rPr>
  </w:style>
  <w:style w:type="paragraph" w:customStyle="1" w:styleId="22">
    <w:name w:val="Char1 Char Char Char"/>
    <w:basedOn w:val="1"/>
    <w:qFormat/>
    <w:uiPriority w:val="0"/>
    <w:pPr>
      <w:widowControl/>
      <w:spacing w:after="160" w:line="240" w:lineRule="exact"/>
      <w:jc w:val="left"/>
    </w:pPr>
    <w:rPr>
      <w:szCs w:val="20"/>
    </w:rPr>
  </w:style>
  <w:style w:type="paragraph" w:customStyle="1" w:styleId="23">
    <w:name w:val="Char"/>
    <w:basedOn w:val="1"/>
    <w:qFormat/>
    <w:uiPriority w:val="0"/>
    <w:rPr>
      <w:rFonts w:ascii="Tahoma" w:hAnsi="Tahoma"/>
      <w:sz w:val="24"/>
      <w:szCs w:val="20"/>
    </w:rPr>
  </w:style>
  <w:style w:type="paragraph" w:customStyle="1" w:styleId="24">
    <w:name w:val="Char Char3 Char Char"/>
    <w:basedOn w:val="1"/>
    <w:qFormat/>
    <w:uiPriority w:val="0"/>
    <w:rPr>
      <w:szCs w:val="21"/>
    </w:rPr>
  </w:style>
  <w:style w:type="paragraph" w:customStyle="1" w:styleId="25">
    <w:name w:val="文档正文"/>
    <w:basedOn w:val="1"/>
    <w:qFormat/>
    <w:uiPriority w:val="0"/>
    <w:pPr>
      <w:adjustRightInd w:val="0"/>
      <w:spacing w:before="60" w:after="60" w:line="36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169</Pages>
  <Words>11103</Words>
  <Characters>15206</Characters>
  <Lines>812</Lines>
  <Paragraphs>228</Paragraphs>
  <TotalTime>2</TotalTime>
  <ScaleCrop>false</ScaleCrop>
  <LinksUpToDate>false</LinksUpToDate>
  <CharactersWithSpaces>15407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2017-07-07T07:16:00Z</dcterms:created>
  <dc:creator>常程</dc:creator>
  <cp:lastModifiedBy>47034</cp:lastModifiedBy>
  <cp:lastPrinted>2021-05-31T12:41:00Z</cp:lastPrinted>
  <dcterms:modified xsi:type="dcterms:W3CDTF">2025-05-15T09:35:14Z</dcterms:modified>
  <dc:title>北京市财政局关于做好向市人大常委会报送2015年度市级部门决算（草案）</dc:title>
  <cp:revision>326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AB1E3C8F694543AEB5FDA69958B3EE6B</vt:lpwstr>
  </property>
  <property fmtid="{D5CDD505-2E9C-101B-9397-08002B2CF9AE}" pid="4" name="KSOTemplateDocerSaveRecord">
    <vt:lpwstr>eyJoZGlkIjoiNjZkY2EwZThlMTkyYjYwYThkOTFhY2ZiNjE5NjNkOTEiLCJ1c2VySWQiOiIzMjk2NDI5NzMifQ==</vt:lpwstr>
  </property>
</Properties>
</file>