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harts/chart1.xml" ContentType="application/vnd.openxmlformats-officedocument.drawingml.chart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20</w:t>
      </w:r>
      <w:r>
        <w:rPr>
          <w:rFonts w:ascii="方正小标宋简体" w:eastAsia="方正小标宋简体"/>
          <w:sz w:val="44"/>
          <w:szCs w:val="44"/>
        </w:rPr>
        <w:t>2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5</w:t>
      </w:r>
      <w:r>
        <w:rPr>
          <w:rFonts w:hint="eastAsia" w:ascii="方正小标宋简体" w:eastAsia="方正小标宋简体"/>
          <w:sz w:val="44"/>
          <w:szCs w:val="44"/>
        </w:rPr>
        <w:t>年1-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9</w:t>
      </w:r>
      <w:r>
        <w:rPr>
          <w:rFonts w:hint="eastAsia" w:ascii="方正小标宋简体" w:eastAsia="方正小标宋简体"/>
          <w:sz w:val="44"/>
          <w:szCs w:val="44"/>
        </w:rPr>
        <w:t>月</w:t>
      </w:r>
    </w:p>
    <w:p>
      <w:pPr>
        <w:spacing w:line="60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丰台区建筑业企业生产经营情况季度报告</w:t>
      </w:r>
    </w:p>
    <w:p>
      <w:pPr>
        <w:jc w:val="center"/>
        <w:rPr>
          <w:rFonts w:ascii="楷体_GB2312" w:eastAsia="楷体_GB2312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</w:rPr>
        <w:t>丰台区统计局 调查队  城建科</w:t>
      </w:r>
    </w:p>
    <w:p>
      <w:pPr>
        <w:jc w:val="center"/>
        <w:rPr>
          <w:rFonts w:ascii="楷体_GB2312" w:eastAsia="楷体_GB2312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</w:rPr>
        <w:t>（二</w:t>
      </w:r>
      <w:r>
        <w:rPr>
          <w:rFonts w:hint="eastAsia" w:ascii="宋体" w:hAnsi="宋体" w:eastAsia="宋体" w:cs="宋体"/>
          <w:sz w:val="32"/>
          <w:szCs w:val="32"/>
        </w:rPr>
        <w:t>0</w:t>
      </w:r>
      <w:r>
        <w:rPr>
          <w:rFonts w:hint="eastAsia" w:ascii="楷体_GB2312" w:hAnsi="楷体_GB2312" w:eastAsia="楷体_GB2312" w:cs="楷体_GB2312"/>
          <w:sz w:val="32"/>
          <w:szCs w:val="32"/>
        </w:rPr>
        <w:t>二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五</w:t>
      </w:r>
      <w:r>
        <w:rPr>
          <w:rFonts w:hint="eastAsia" w:ascii="楷体_GB2312" w:hAnsi="楷体_GB2312" w:eastAsia="楷体_GB2312" w:cs="楷体_GB2312"/>
          <w:sz w:val="32"/>
          <w:szCs w:val="32"/>
        </w:rPr>
        <w:t>年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十</w:t>
      </w:r>
      <w:r>
        <w:rPr>
          <w:rFonts w:hint="eastAsia" w:ascii="楷体_GB2312" w:eastAsia="楷体_GB2312"/>
          <w:sz w:val="32"/>
          <w:szCs w:val="32"/>
        </w:rPr>
        <w:t>月</w:t>
      </w:r>
      <w:r>
        <w:rPr>
          <w:rFonts w:hint="eastAsia" w:ascii="楷体_GB2312" w:eastAsia="楷体_GB2312"/>
          <w:sz w:val="32"/>
          <w:szCs w:val="32"/>
          <w:lang w:eastAsia="zh-CN"/>
        </w:rPr>
        <w:t>三十</w:t>
      </w:r>
      <w:r>
        <w:rPr>
          <w:rFonts w:hint="eastAsia" w:ascii="楷体_GB2312" w:eastAsia="楷体_GB2312"/>
          <w:sz w:val="32"/>
          <w:szCs w:val="32"/>
        </w:rPr>
        <w:t>日）</w:t>
      </w:r>
    </w:p>
    <w:p>
      <w:pPr>
        <w:widowControl/>
        <w:spacing w:line="300" w:lineRule="atLeast"/>
        <w:ind w:firstLine="640" w:firstLineChars="200"/>
        <w:jc w:val="left"/>
        <w:rPr>
          <w:rFonts w:hint="eastAsia" w:ascii="仿宋_GB2312" w:eastAsia="仿宋_GB2312"/>
          <w:sz w:val="32"/>
          <w:szCs w:val="32"/>
        </w:rPr>
      </w:pPr>
    </w:p>
    <w:p>
      <w:pPr>
        <w:widowControl/>
        <w:spacing w:line="300" w:lineRule="atLeast"/>
        <w:ind w:firstLine="640" w:firstLineChars="200"/>
        <w:jc w:val="left"/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-9</w:t>
      </w:r>
      <w:r>
        <w:rPr>
          <w:rFonts w:hint="eastAsia" w:ascii="仿宋_GB2312" w:eastAsia="仿宋_GB2312"/>
          <w:sz w:val="32"/>
          <w:szCs w:val="32"/>
        </w:rPr>
        <w:t>月，丰台区</w:t>
      </w:r>
      <w:r>
        <w:rPr>
          <w:rFonts w:hint="eastAsia" w:ascii="仿宋_GB2312" w:eastAsia="仿宋_GB2312"/>
          <w:bCs/>
          <w:sz w:val="32"/>
          <w:szCs w:val="32"/>
        </w:rPr>
        <w:t>具有资质等级的</w:t>
      </w:r>
      <w:r>
        <w:rPr>
          <w:rFonts w:hint="eastAsia" w:ascii="仿宋_GB2312" w:eastAsia="仿宋_GB2312"/>
          <w:sz w:val="32"/>
          <w:szCs w:val="32"/>
        </w:rPr>
        <w:t>总承包和专业承包建筑业企业完成建筑业总产值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1639.6</w:t>
      </w:r>
      <w:r>
        <w:rPr>
          <w:rFonts w:hint="eastAsia" w:ascii="仿宋_GB2312" w:eastAsia="仿宋_GB2312"/>
          <w:sz w:val="32"/>
          <w:szCs w:val="32"/>
        </w:rPr>
        <w:t>亿元</w:t>
      </w:r>
      <w:r>
        <w:rPr>
          <w:rFonts w:hint="eastAsia" w:ascii="仿宋_GB2312" w:eastAsia="仿宋_GB2312"/>
          <w:sz w:val="32"/>
          <w:szCs w:val="32"/>
          <w:lang w:eastAsia="zh-CN"/>
        </w:rPr>
        <w:t>，同比下降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15.6%；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/>
        </w:rPr>
        <w:t>其中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在北京地区完成产值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>348.9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亿元，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/>
        </w:rPr>
        <w:t>同比下降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>4.7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%。</w:t>
      </w:r>
    </w:p>
    <w:p>
      <w:pPr>
        <w:ind w:firstLine="640" w:firstLineChars="200"/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1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>-9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月，丰台区建筑企业房屋建筑施工面积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>15837.7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万平方米，同比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/>
        </w:rPr>
        <w:t>下降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>1.1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%；其中本年新开工面积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>1960.6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万平方米，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/>
        </w:rPr>
        <w:t>同比增长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>55.3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%。房屋建筑竣工面积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>1355.3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万平方米，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/>
        </w:rPr>
        <w:t>同比下降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>19.5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%。</w:t>
      </w:r>
    </w:p>
    <w:p>
      <w:pPr>
        <w:jc w:val="center"/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</w:pPr>
      <w:bookmarkStart w:id="0" w:name="_GoBack"/>
      <w:bookmarkEnd w:id="0"/>
      <w:r>
        <w:drawing>
          <wp:inline distT="0" distB="0" distL="114300" distR="114300">
            <wp:extent cx="5268595" cy="3526155"/>
            <wp:effectExtent l="4445" t="4445" r="22860" b="12700"/>
            <wp:docPr id="1104" name="图表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altName w:val="仿宋_GB2312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6804"/>
    <w:rsid w:val="000050EA"/>
    <w:rsid w:val="000B29D8"/>
    <w:rsid w:val="00105A55"/>
    <w:rsid w:val="00120104"/>
    <w:rsid w:val="00176336"/>
    <w:rsid w:val="00193532"/>
    <w:rsid w:val="001954AE"/>
    <w:rsid w:val="001B7555"/>
    <w:rsid w:val="001F0606"/>
    <w:rsid w:val="002258FB"/>
    <w:rsid w:val="002355A8"/>
    <w:rsid w:val="0027658F"/>
    <w:rsid w:val="002F0CFE"/>
    <w:rsid w:val="00364348"/>
    <w:rsid w:val="00365449"/>
    <w:rsid w:val="00394EFC"/>
    <w:rsid w:val="003B7FED"/>
    <w:rsid w:val="003D7F82"/>
    <w:rsid w:val="003F1459"/>
    <w:rsid w:val="00444D5E"/>
    <w:rsid w:val="004A6EA3"/>
    <w:rsid w:val="004C23C5"/>
    <w:rsid w:val="004D7160"/>
    <w:rsid w:val="004F0097"/>
    <w:rsid w:val="005419D4"/>
    <w:rsid w:val="00542D52"/>
    <w:rsid w:val="00554AE6"/>
    <w:rsid w:val="00556692"/>
    <w:rsid w:val="00560A1E"/>
    <w:rsid w:val="005B4610"/>
    <w:rsid w:val="005D2E81"/>
    <w:rsid w:val="005E7432"/>
    <w:rsid w:val="00607D0C"/>
    <w:rsid w:val="006268C6"/>
    <w:rsid w:val="006408A3"/>
    <w:rsid w:val="006806CA"/>
    <w:rsid w:val="00687079"/>
    <w:rsid w:val="006E34C9"/>
    <w:rsid w:val="006E4156"/>
    <w:rsid w:val="007243EF"/>
    <w:rsid w:val="00757391"/>
    <w:rsid w:val="00762AD2"/>
    <w:rsid w:val="00774B09"/>
    <w:rsid w:val="00790936"/>
    <w:rsid w:val="00792E34"/>
    <w:rsid w:val="00796674"/>
    <w:rsid w:val="007F6478"/>
    <w:rsid w:val="00834EC1"/>
    <w:rsid w:val="00865496"/>
    <w:rsid w:val="008B39F4"/>
    <w:rsid w:val="008F5C36"/>
    <w:rsid w:val="009023B2"/>
    <w:rsid w:val="00910820"/>
    <w:rsid w:val="0092246B"/>
    <w:rsid w:val="00950EF7"/>
    <w:rsid w:val="0096659B"/>
    <w:rsid w:val="00977F3D"/>
    <w:rsid w:val="009854E8"/>
    <w:rsid w:val="009B709E"/>
    <w:rsid w:val="009D6721"/>
    <w:rsid w:val="009F16B8"/>
    <w:rsid w:val="00A0292E"/>
    <w:rsid w:val="00A12BBE"/>
    <w:rsid w:val="00A23CC0"/>
    <w:rsid w:val="00A8126D"/>
    <w:rsid w:val="00A96E68"/>
    <w:rsid w:val="00AA5712"/>
    <w:rsid w:val="00AA6EDD"/>
    <w:rsid w:val="00AC4C1D"/>
    <w:rsid w:val="00AD6CA9"/>
    <w:rsid w:val="00AF6596"/>
    <w:rsid w:val="00B71923"/>
    <w:rsid w:val="00B74C4C"/>
    <w:rsid w:val="00B7721A"/>
    <w:rsid w:val="00BB2F9C"/>
    <w:rsid w:val="00BC0660"/>
    <w:rsid w:val="00BF19D8"/>
    <w:rsid w:val="00BF3F5F"/>
    <w:rsid w:val="00C44838"/>
    <w:rsid w:val="00C80C1D"/>
    <w:rsid w:val="00C9443B"/>
    <w:rsid w:val="00CC17FE"/>
    <w:rsid w:val="00CD54DF"/>
    <w:rsid w:val="00CE33CE"/>
    <w:rsid w:val="00D43CD8"/>
    <w:rsid w:val="00DC4492"/>
    <w:rsid w:val="00E117D6"/>
    <w:rsid w:val="00E17B57"/>
    <w:rsid w:val="00E72ABB"/>
    <w:rsid w:val="00EB29A5"/>
    <w:rsid w:val="00EE52A2"/>
    <w:rsid w:val="00EF3A6F"/>
    <w:rsid w:val="00EF4238"/>
    <w:rsid w:val="00EF4386"/>
    <w:rsid w:val="00EF6675"/>
    <w:rsid w:val="00F21516"/>
    <w:rsid w:val="00F963F7"/>
    <w:rsid w:val="00FA7267"/>
    <w:rsid w:val="00FD6804"/>
    <w:rsid w:val="00FE17F7"/>
    <w:rsid w:val="00FF7F28"/>
    <w:rsid w:val="1AE82C78"/>
    <w:rsid w:val="1E8F4A9B"/>
    <w:rsid w:val="20747ED0"/>
    <w:rsid w:val="261F542F"/>
    <w:rsid w:val="28FC4196"/>
    <w:rsid w:val="2DFF42D6"/>
    <w:rsid w:val="42D91865"/>
    <w:rsid w:val="43E055A2"/>
    <w:rsid w:val="54EC2ADD"/>
    <w:rsid w:val="573FFF34"/>
    <w:rsid w:val="5AE275CB"/>
    <w:rsid w:val="5DDFC479"/>
    <w:rsid w:val="5EF1C459"/>
    <w:rsid w:val="5F4E6BE0"/>
    <w:rsid w:val="63911962"/>
    <w:rsid w:val="64E45249"/>
    <w:rsid w:val="670F68EE"/>
    <w:rsid w:val="6C4DBCDB"/>
    <w:rsid w:val="6CA70A87"/>
    <w:rsid w:val="6EDFFFF8"/>
    <w:rsid w:val="6EFFFD04"/>
    <w:rsid w:val="6FB768B1"/>
    <w:rsid w:val="6FB7CCF7"/>
    <w:rsid w:val="6FF745DB"/>
    <w:rsid w:val="722764A3"/>
    <w:rsid w:val="72FD1587"/>
    <w:rsid w:val="77EFBF6E"/>
    <w:rsid w:val="77F597C3"/>
    <w:rsid w:val="7D7FB71E"/>
    <w:rsid w:val="7DDC8A24"/>
    <w:rsid w:val="7ECF873F"/>
    <w:rsid w:val="7EE7F3A0"/>
    <w:rsid w:val="7F7B9B40"/>
    <w:rsid w:val="8EB59435"/>
    <w:rsid w:val="8FB68FD9"/>
    <w:rsid w:val="BA7B23C6"/>
    <w:rsid w:val="BBFEC697"/>
    <w:rsid w:val="BFEE3D7F"/>
    <w:rsid w:val="BFFE1774"/>
    <w:rsid w:val="D4BFA4C9"/>
    <w:rsid w:val="D56D17C8"/>
    <w:rsid w:val="D95FD4B1"/>
    <w:rsid w:val="DBFF24C0"/>
    <w:rsid w:val="DEF768D0"/>
    <w:rsid w:val="E6C750A5"/>
    <w:rsid w:val="EBFF615A"/>
    <w:rsid w:val="EEDFD621"/>
    <w:rsid w:val="EEFFDE2C"/>
    <w:rsid w:val="F17031D9"/>
    <w:rsid w:val="F5AFE62D"/>
    <w:rsid w:val="F5BFBDCB"/>
    <w:rsid w:val="F7E629C1"/>
    <w:rsid w:val="F9BDD404"/>
    <w:rsid w:val="FCFFC369"/>
    <w:rsid w:val="FE734873"/>
    <w:rsid w:val="FE9B9383"/>
    <w:rsid w:val="FEFB3BFB"/>
    <w:rsid w:val="FFBEC4CD"/>
    <w:rsid w:val="FFDE492D"/>
    <w:rsid w:val="FFF7A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List Paragraph"/>
    <w:basedOn w:val="1"/>
    <w:qFormat/>
    <w:uiPriority w:val="34"/>
    <w:pPr>
      <w:ind w:firstLine="420" w:firstLineChars="200"/>
    </w:pPr>
  </w:style>
  <w:style w:type="character" w:customStyle="1" w:styleId="7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chart" Target="charts/chart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/home/uos/Desktop/&#26032;&#24314;&#25991;&#20214;&#22841;/&#25968;&#25454;&#21457;&#24067;/&#22686;&#36895;&#22270;&#27169;&#26495;/&#24314;&#31569;&#19994;&#29983;&#20135;&#24773;&#20917;&#22686;&#36895;&#22270;.xls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false"/>
  <c:lang val="zh-CN"/>
  <c:roundedCorners val="false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true"/>
          <a:lstStyle/>
          <a:p>
            <a:pPr defTabSz="914400">
              <a:defRPr lang="zh-CN"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altLang="zh-CN" sz="1400" b="0" i="0" u="none" strike="noStrike" baseline="0">
                <a:solidFill>
                  <a:srgbClr val="333333"/>
                </a:solidFill>
                <a:latin typeface="Calibri" panose="020F0502020204030204" pitchFamily="2" charset="0"/>
                <a:ea typeface="Calibri" panose="020F0502020204030204" pitchFamily="2" charset="0"/>
                <a:cs typeface="Calibri" panose="020F0502020204030204" pitchFamily="2" charset="0"/>
              </a:rPr>
              <a:t>2024</a:t>
            </a:r>
            <a:r>
              <a:rPr altLang="en-US" sz="1400" b="0" i="0" u="none" strike="noStrike" baseline="0">
                <a:solidFill>
                  <a:srgbClr val="333333"/>
                </a:solidFill>
                <a:latin typeface="宋体" charset="-122"/>
                <a:ea typeface="宋体" charset="-122"/>
                <a:cs typeface="宋体" charset="-122"/>
              </a:rPr>
              <a:t>年</a:t>
            </a:r>
            <a:r>
              <a:rPr lang="en-US" altLang="zh-CN" sz="1400" b="0" i="0" u="none" strike="noStrike" baseline="0">
                <a:solidFill>
                  <a:srgbClr val="333333"/>
                </a:solidFill>
                <a:latin typeface="宋体" charset="0"/>
                <a:ea typeface="宋体" charset="0"/>
                <a:cs typeface="宋体" charset="0"/>
              </a:rPr>
              <a:t>-</a:t>
            </a:r>
            <a:r>
              <a:rPr lang="en-US" altLang="zh-CN" sz="1400" b="0" i="0" u="none" strike="noStrike" baseline="0">
                <a:solidFill>
                  <a:srgbClr val="333333"/>
                </a:solidFill>
                <a:latin typeface="Calibri" panose="020F0502020204030204" pitchFamily="2" charset="0"/>
                <a:ea typeface="Calibri" panose="020F0502020204030204" pitchFamily="2" charset="0"/>
                <a:cs typeface="Calibri" panose="020F0502020204030204" pitchFamily="2" charset="0"/>
              </a:rPr>
              <a:t>2025</a:t>
            </a:r>
            <a:r>
              <a:rPr altLang="en-US" sz="1400" b="0" i="0" u="none" strike="noStrike" baseline="0">
                <a:solidFill>
                  <a:srgbClr val="333333"/>
                </a:solidFill>
                <a:latin typeface="宋体" charset="-122"/>
                <a:ea typeface="宋体" charset="-122"/>
                <a:cs typeface="宋体" charset="-122"/>
              </a:rPr>
              <a:t>年</a:t>
            </a:r>
            <a:r>
              <a:rPr lang="en-US" altLang="zh-CN" sz="1400" b="0" i="0" u="none" strike="noStrike" baseline="0">
                <a:solidFill>
                  <a:srgbClr val="333333"/>
                </a:solidFill>
                <a:latin typeface="宋体" charset="0"/>
                <a:ea typeface="宋体" charset="0"/>
                <a:cs typeface="宋体" charset="0"/>
              </a:rPr>
              <a:t>3</a:t>
            </a:r>
            <a:r>
              <a:rPr altLang="en-US" sz="1400" b="0" i="0" u="none" strike="noStrike" baseline="0">
                <a:solidFill>
                  <a:srgbClr val="333333"/>
                </a:solidFill>
                <a:latin typeface="宋体" charset="-122"/>
                <a:ea typeface="宋体" charset="-122"/>
                <a:cs typeface="宋体" charset="-122"/>
              </a:rPr>
              <a:t>季度丰台区建筑业总产值增速图</a:t>
            </a:r>
            <a:endParaRPr altLang="en-US" sz="1200" b="0" i="0" u="none" strike="noStrike" baseline="0">
              <a:solidFill>
                <a:srgbClr val="000000"/>
              </a:solidFill>
              <a:latin typeface="宋体" charset="-122"/>
              <a:ea typeface="宋体" charset="-122"/>
              <a:cs typeface="宋体" charset="-122"/>
            </a:endParaRPr>
          </a:p>
        </c:rich>
      </c:tx>
      <c:layout>
        <c:manualLayout>
          <c:xMode val="edge"/>
          <c:yMode val="edge"/>
          <c:x val="0.122327640733713"/>
          <c:y val="0.0279485746226942"/>
        </c:manualLayout>
      </c:layout>
      <c:overlay val="false"/>
      <c:spPr>
        <a:noFill/>
        <a:ln>
          <a:noFill/>
        </a:ln>
        <a:effectLst/>
      </c:spPr>
    </c:title>
    <c:autoTitleDeleted val="false"/>
    <c:plotArea>
      <c:layout/>
      <c:lineChart>
        <c:grouping val="standard"/>
        <c:varyColors val="false"/>
        <c:ser>
          <c:idx val="0"/>
          <c:order val="0"/>
          <c:spPr>
            <a:ln w="28575" cap="rnd" cmpd="sng" algn="ctr">
              <a:solidFill>
                <a:schemeClr val="accent1"/>
              </a:solidFill>
              <a:prstDash val="solid"/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 cap="flat" cmpd="sng" algn="ctr">
                <a:solidFill>
                  <a:schemeClr val="accent1"/>
                </a:solidFill>
                <a:prstDash val="solid"/>
                <a:round/>
              </a:ln>
              <a:effectLst/>
            </c:spPr>
          </c:marker>
          <c:dLbls>
            <c:delete val="true"/>
          </c:dLbls>
          <c:cat>
            <c:strRef>
              <c:f>[建筑业生产情况增速图.xls]Sheet1!$B$27:$B$33</c:f>
              <c:strCache>
                <c:ptCount val="7"/>
                <c:pt idx="0">
                  <c:v>2024年1季度</c:v>
                </c:pt>
                <c:pt idx="1">
                  <c:v>2024年1-2季度</c:v>
                </c:pt>
                <c:pt idx="2">
                  <c:v>2024年1-3季度</c:v>
                </c:pt>
                <c:pt idx="3">
                  <c:v>2024年1-4季度</c:v>
                </c:pt>
                <c:pt idx="4">
                  <c:v>2025年1季度</c:v>
                </c:pt>
                <c:pt idx="5">
                  <c:v>2025年1-2季度</c:v>
                </c:pt>
                <c:pt idx="6">
                  <c:v>2025年1-3季度</c:v>
                </c:pt>
              </c:strCache>
            </c:strRef>
          </c:cat>
          <c:val>
            <c:numRef>
              <c:f>[建筑业生产情况增速图.xls]Sheet1!$C$27:$C$33</c:f>
              <c:numCache>
                <c:formatCode>0.00_ </c:formatCode>
                <c:ptCount val="7"/>
                <c:pt idx="0">
                  <c:v>-0.0274879189157473</c:v>
                </c:pt>
                <c:pt idx="1">
                  <c:v>-2</c:v>
                </c:pt>
                <c:pt idx="2" c:formatCode="General">
                  <c:v>-7.5</c:v>
                </c:pt>
                <c:pt idx="3" c:formatCode="General">
                  <c:v>-9.3</c:v>
                </c:pt>
                <c:pt idx="4" c:formatCode="General">
                  <c:v>-21.6</c:v>
                </c:pt>
                <c:pt idx="5" c:formatCode="General">
                  <c:v>-24.4</c:v>
                </c:pt>
                <c:pt idx="6" c:formatCode="General">
                  <c:v>-15.6</c:v>
                </c:pt>
              </c:numCache>
            </c:numRef>
          </c:val>
          <c:smooth val="false"/>
        </c:ser>
        <c:dLbls>
          <c:showLegendKey val="false"/>
          <c:showVal val="false"/>
          <c:showCatName val="false"/>
          <c:showSerName val="false"/>
          <c:showPercent val="false"/>
          <c:showBubbleSize val="false"/>
        </c:dLbls>
        <c:marker val="true"/>
        <c:smooth val="false"/>
        <c:axId val="913721042"/>
        <c:axId val="135478935"/>
      </c:lineChart>
      <c:dateAx>
        <c:axId val="913721042"/>
        <c:scaling>
          <c:orientation val="minMax"/>
        </c:scaling>
        <c:delete val="false"/>
        <c:axPos val="b"/>
        <c:numFmt formatCode="m&quot;月&quot;d&quot;日&quot;yyyy&quot;年&quot;" sourceLinked="false"/>
        <c:majorTickMark val="none"/>
        <c:minorTickMark val="none"/>
        <c:tickLblPos val="low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prstDash val="solid"/>
            <a:round/>
          </a:ln>
          <a:effectLst/>
        </c:spPr>
        <c:txPr>
          <a:bodyPr rot="-60000000" spcFirstLastPara="0" vertOverflow="ellipsis" vert="horz" wrap="square" anchor="ctr" anchorCtr="true" forceAA="false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135478935"/>
        <c:crosses val="autoZero"/>
        <c:auto val="true"/>
        <c:lblAlgn val="ctr"/>
        <c:lblOffset val="100"/>
        <c:baseTimeUnit val="days"/>
      </c:dateAx>
      <c:valAx>
        <c:axId val="135478935"/>
        <c:scaling>
          <c:orientation val="minMax"/>
        </c:scaling>
        <c:delete val="false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prstDash val="solid"/>
              <a:round/>
            </a:ln>
            <a:effectLst/>
          </c:spPr>
        </c:majorGridlines>
        <c:numFmt formatCode="0.00_ " sourceLinked="true"/>
        <c:majorTickMark val="none"/>
        <c:minorTickMark val="none"/>
        <c:tickLblPos val="nextTo"/>
        <c:spPr>
          <a:noFill/>
          <a:ln w="6350" cap="flat" cmpd="sng" algn="ctr">
            <a:noFill/>
            <a:prstDash val="solid"/>
            <a:round/>
          </a:ln>
          <a:effectLst/>
        </c:spPr>
        <c:txPr>
          <a:bodyPr rot="-60000000" spcFirstLastPara="0" vertOverflow="ellipsis" vert="horz" wrap="square" anchor="ctr" anchorCtr="true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913721042"/>
        <c:crosses val="autoZero"/>
        <c:crossBetween val="between"/>
      </c:valAx>
      <c:spPr>
        <a:noFill/>
        <a:ln>
          <a:noFill/>
        </a:ln>
        <a:effectLst/>
      </c:spPr>
    </c:plotArea>
    <c:plotVisOnly val="true"/>
    <c:dispBlanksAs val="zero"/>
    <c:showDLblsOverMax val="false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prstDash val="solid"/>
      <a:round/>
    </a:ln>
    <a:effectLst/>
  </c:spPr>
  <c:txPr>
    <a:bodyPr wrap="square"/>
    <a:lstStyle/>
    <a:p>
      <a:pPr>
        <a:defRPr lang="zh-CN"/>
      </a:pPr>
    </a:p>
  </c:txPr>
  <c:externalData r:id="rId1">
    <c:autoUpdate val="false"/>
  </c:externalData>
</c:chartSpace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ft</Company>
  <Pages>1</Pages>
  <Words>41</Words>
  <Characters>237</Characters>
  <Lines>1</Lines>
  <Paragraphs>1</Paragraphs>
  <TotalTime>227</TotalTime>
  <ScaleCrop>false</ScaleCrop>
  <LinksUpToDate>false</LinksUpToDate>
  <CharactersWithSpaces>277</CharactersWithSpaces>
  <Application>WPS Office_11.1.0.10161_F1E327BC-269C-435d-A152-05C5408002CA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2013-07-28T03:08:00Z</dcterms:created>
  <dc:creator>zhoumin</dc:creator>
  <cp:lastModifiedBy>uos</cp:lastModifiedBy>
  <dcterms:modified xsi:type="dcterms:W3CDTF">2025-10-22T17:25:03Z</dcterms:modified>
  <cp:revision>60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2052-11.1.0.10161</vt:lpwstr>
  </property>
</Properties>
</file>