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60" w:lineRule="exact"/>
        <w:rPr>
          <w:rFonts w:ascii="黑体" w:hAnsi="黑体" w:eastAsia="黑体" w:cs="仿宋_GB2312"/>
          <w:szCs w:val="32"/>
        </w:rPr>
      </w:pPr>
      <w:r>
        <w:rPr>
          <w:rFonts w:ascii="黑体" w:hAnsi="黑体" w:eastAsia="黑体" w:cs="仿宋_GB2312"/>
          <w:szCs w:val="32"/>
        </w:rPr>
        <w:t>附件3</w:t>
      </w:r>
    </w:p>
    <w:tbl>
      <w:tblPr>
        <w:tblStyle w:val="2"/>
        <w:tblW w:w="0" w:type="auto"/>
        <w:tblInd w:w="-13" w:type="dxa"/>
        <w:tblLayout w:type="fixed"/>
        <w:tblCellMar>
          <w:top w:w="15" w:type="dxa"/>
          <w:left w:w="15" w:type="dxa"/>
          <w:bottom w:w="15" w:type="dxa"/>
          <w:right w:w="15" w:type="dxa"/>
        </w:tblCellMar>
      </w:tblPr>
      <w:tblGrid>
        <w:gridCol w:w="567"/>
        <w:gridCol w:w="2503"/>
        <w:gridCol w:w="1098"/>
        <w:gridCol w:w="4317"/>
        <w:gridCol w:w="871"/>
      </w:tblGrid>
      <w:tr>
        <w:tblPrEx>
          <w:tblCellMar>
            <w:top w:w="15" w:type="dxa"/>
            <w:left w:w="15" w:type="dxa"/>
            <w:bottom w:w="15" w:type="dxa"/>
            <w:right w:w="15" w:type="dxa"/>
          </w:tblCellMar>
        </w:tblPrEx>
        <w:trPr>
          <w:trHeight w:val="705" w:hRule="atLeast"/>
        </w:trPr>
        <w:tc>
          <w:tcPr>
            <w:tcW w:w="9356" w:type="dxa"/>
            <w:gridSpan w:val="5"/>
            <w:tcBorders>
              <w:bottom w:val="single" w:color="000000" w:sz="4" w:space="0"/>
            </w:tcBorders>
            <w:noWrap w:val="0"/>
            <w:vAlign w:val="center"/>
          </w:tcPr>
          <w:p>
            <w:pPr>
              <w:adjustRightInd w:val="0"/>
              <w:snapToGrid w:val="0"/>
              <w:spacing w:line="540" w:lineRule="exact"/>
              <w:jc w:val="center"/>
              <w:textAlignment w:val="center"/>
              <w:rPr>
                <w:rFonts w:hAnsi="宋体"/>
                <w:b/>
                <w:bCs/>
                <w:color w:val="000000"/>
                <w:sz w:val="24"/>
                <w:szCs w:val="24"/>
              </w:rPr>
            </w:pPr>
            <w:r>
              <w:rPr>
                <w:rFonts w:hint="eastAsia" w:ascii="方正小标宋简体" w:hAnsi="方正小标宋简体" w:eastAsia="方正小标宋简体" w:cs="方正小标宋简体"/>
                <w:sz w:val="44"/>
                <w:szCs w:val="44"/>
              </w:rPr>
              <w:t>社区养老服务驿站养老服务清单</w:t>
            </w:r>
          </w:p>
        </w:tc>
      </w:tr>
      <w:tr>
        <w:tblPrEx>
          <w:tblCellMar>
            <w:top w:w="15" w:type="dxa"/>
            <w:left w:w="15" w:type="dxa"/>
            <w:bottom w:w="15" w:type="dxa"/>
            <w:right w:w="15" w:type="dxa"/>
          </w:tblCellMar>
        </w:tblPrEx>
        <w:trPr>
          <w:trHeight w:val="548"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黑体" w:hAnsi="黑体" w:eastAsia="黑体" w:cs="黑体"/>
                <w:color w:val="000000"/>
                <w:sz w:val="24"/>
                <w:szCs w:val="24"/>
              </w:rPr>
            </w:pPr>
            <w:r>
              <w:rPr>
                <w:rFonts w:hint="eastAsia" w:ascii="黑体" w:hAnsi="黑体" w:eastAsia="黑体" w:cs="黑体"/>
                <w:color w:val="000000"/>
                <w:sz w:val="24"/>
                <w:szCs w:val="24"/>
              </w:rPr>
              <w:t>类型</w:t>
            </w:r>
          </w:p>
        </w:tc>
        <w:tc>
          <w:tcPr>
            <w:tcW w:w="25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sz w:val="24"/>
                <w:szCs w:val="24"/>
              </w:rPr>
              <w:t>服务对象</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sz w:val="24"/>
                <w:szCs w:val="24"/>
              </w:rPr>
              <w:t>服务</w:t>
            </w:r>
          </w:p>
          <w:p>
            <w:pPr>
              <w:spacing w:line="28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sz w:val="24"/>
                <w:szCs w:val="24"/>
              </w:rPr>
              <w:t>项目</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sz w:val="24"/>
                <w:szCs w:val="24"/>
              </w:rPr>
              <w:t>服务标准</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ascii="黑体" w:hAnsi="黑体" w:eastAsia="黑体" w:cs="黑体"/>
                <w:color w:val="000000"/>
                <w:sz w:val="24"/>
                <w:szCs w:val="24"/>
              </w:rPr>
            </w:pPr>
            <w:r>
              <w:rPr>
                <w:rFonts w:hint="eastAsia" w:ascii="黑体" w:hAnsi="黑体" w:eastAsia="黑体" w:cs="黑体"/>
                <w:color w:val="000000"/>
                <w:sz w:val="24"/>
                <w:szCs w:val="24"/>
              </w:rPr>
              <w:t>备注</w:t>
            </w:r>
          </w:p>
        </w:tc>
      </w:tr>
      <w:tr>
        <w:tblPrEx>
          <w:tblCellMar>
            <w:top w:w="15" w:type="dxa"/>
            <w:left w:w="15" w:type="dxa"/>
            <w:bottom w:w="15" w:type="dxa"/>
            <w:right w:w="15" w:type="dxa"/>
          </w:tblCellMar>
        </w:tblPrEx>
        <w:trPr>
          <w:trHeight w:val="1231" w:hRule="atLeast"/>
        </w:trPr>
        <w:tc>
          <w:tcPr>
            <w:tcW w:w="56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Ansi="宋体"/>
                <w:color w:val="000000"/>
                <w:sz w:val="24"/>
                <w:szCs w:val="24"/>
              </w:rPr>
            </w:pPr>
            <w:r>
              <w:rPr>
                <w:rFonts w:hint="eastAsia" w:hAnsi="宋体" w:cs="仿宋_GB2312"/>
                <w:color w:val="000000"/>
                <w:sz w:val="24"/>
                <w:szCs w:val="24"/>
              </w:rPr>
              <w:t>基本养老服务清单</w:t>
            </w:r>
          </w:p>
        </w:tc>
        <w:tc>
          <w:tcPr>
            <w:tcW w:w="2503" w:type="dxa"/>
            <w:vMerge w:val="restart"/>
            <w:tcBorders>
              <w:top w:val="single" w:color="000000" w:sz="4" w:space="0"/>
              <w:left w:val="single" w:color="000000" w:sz="4" w:space="0"/>
              <w:right w:val="single" w:color="000000" w:sz="4" w:space="0"/>
            </w:tcBorders>
            <w:noWrap w:val="0"/>
            <w:vAlign w:val="center"/>
          </w:tcPr>
          <w:p>
            <w:pPr>
              <w:spacing w:line="280" w:lineRule="exact"/>
              <w:textAlignment w:val="center"/>
              <w:rPr>
                <w:rFonts w:hint="eastAsia" w:hAnsi="仿宋_GB2312" w:cs="仿宋_GB2312"/>
                <w:b/>
                <w:color w:val="000000"/>
                <w:sz w:val="24"/>
                <w:szCs w:val="24"/>
              </w:rPr>
            </w:pPr>
            <w:r>
              <w:rPr>
                <w:rStyle w:val="4"/>
                <w:rFonts w:hint="default" w:ascii="仿宋_GB2312" w:hAnsi="仿宋_GB2312" w:eastAsia="仿宋_GB2312" w:cs="仿宋_GB2312"/>
                <w:b w:val="0"/>
                <w:sz w:val="24"/>
                <w:szCs w:val="24"/>
              </w:rPr>
              <w:t>城乡特困家庭老年人；低保低收入家庭失能、失智、高龄老年人；计划生育特殊困难家庭老年人；其他家庭重度失能老年人、失智老年人、重度残疾老年人。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hAnsi="仿宋_GB2312" w:cs="仿宋_GB2312"/>
                <w:color w:val="000000"/>
                <w:sz w:val="24"/>
                <w:szCs w:val="24"/>
              </w:rPr>
            </w:pPr>
            <w:r>
              <w:rPr>
                <w:rFonts w:hint="eastAsia" w:hAnsi="仿宋_GB2312" w:cs="仿宋_GB2312"/>
                <w:color w:val="000000"/>
                <w:sz w:val="24"/>
                <w:szCs w:val="24"/>
              </w:rPr>
              <w:t>巡视探访服务</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r>
              <w:rPr>
                <w:rFonts w:hint="eastAsia" w:hAnsi="仿宋_GB2312" w:cs="仿宋_GB2312"/>
                <w:color w:val="000000"/>
                <w:sz w:val="24"/>
                <w:szCs w:val="24"/>
              </w:rPr>
              <w:t xml:space="preserve">提供关怀访视、生活陪伴、心理咨询、不良情绪干预、精神慰藉服务和服务需求调查服务。每周入户探访1次(每次入户探访原则不少于20分钟)。 </w:t>
            </w:r>
          </w:p>
        </w:tc>
        <w:tc>
          <w:tcPr>
            <w:tcW w:w="871" w:type="dxa"/>
            <w:vMerge w:val="restart"/>
            <w:tcBorders>
              <w:top w:val="single" w:color="000000" w:sz="4" w:space="0"/>
              <w:left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r>
              <w:rPr>
                <w:rFonts w:hint="eastAsia" w:hAnsi="仿宋_GB2312" w:cs="仿宋_GB2312"/>
                <w:color w:val="000000"/>
                <w:sz w:val="24"/>
                <w:szCs w:val="24"/>
              </w:rPr>
              <w:t>政府购买服务，老年人不付费</w:t>
            </w:r>
          </w:p>
          <w:p>
            <w:pPr>
              <w:spacing w:line="280" w:lineRule="exact"/>
              <w:textAlignment w:val="center"/>
              <w:rPr>
                <w:rFonts w:hint="eastAsia" w:hAnsi="仿宋_GB2312" w:cs="仿宋_GB2312"/>
                <w:color w:val="000000"/>
                <w:sz w:val="24"/>
                <w:szCs w:val="24"/>
              </w:rPr>
            </w:pPr>
          </w:p>
        </w:tc>
      </w:tr>
      <w:tr>
        <w:tblPrEx>
          <w:tblCellMar>
            <w:top w:w="15" w:type="dxa"/>
            <w:left w:w="15" w:type="dxa"/>
            <w:bottom w:w="15" w:type="dxa"/>
            <w:right w:w="15" w:type="dxa"/>
          </w:tblCellMar>
        </w:tblPrEx>
        <w:trPr>
          <w:trHeight w:val="771"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Ansi="宋体"/>
                <w:color w:val="000000"/>
                <w:sz w:val="24"/>
                <w:szCs w:val="24"/>
              </w:rPr>
            </w:pPr>
          </w:p>
        </w:tc>
        <w:tc>
          <w:tcPr>
            <w:tcW w:w="2503" w:type="dxa"/>
            <w:vMerge w:val="continue"/>
            <w:tcBorders>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hAnsi="仿宋_GB2312" w:cs="仿宋_GB2312"/>
                <w:color w:val="000000"/>
                <w:sz w:val="24"/>
                <w:szCs w:val="24"/>
              </w:rPr>
            </w:pPr>
            <w:r>
              <w:rPr>
                <w:rFonts w:hint="eastAsia" w:hAnsi="仿宋_GB2312" w:cs="仿宋_GB2312"/>
                <w:color w:val="000000"/>
                <w:sz w:val="24"/>
                <w:szCs w:val="24"/>
              </w:rPr>
              <w:t>个人清洁服务</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r>
              <w:rPr>
                <w:rFonts w:hint="eastAsia" w:hAnsi="仿宋_GB2312" w:cs="仿宋_GB2312"/>
                <w:color w:val="000000"/>
                <w:sz w:val="24"/>
                <w:szCs w:val="24"/>
              </w:rPr>
              <w:t>每月安排免费理发1次。</w:t>
            </w:r>
          </w:p>
        </w:tc>
        <w:tc>
          <w:tcPr>
            <w:tcW w:w="871" w:type="dxa"/>
            <w:vMerge w:val="continue"/>
            <w:tcBorders>
              <w:left w:val="single" w:color="000000" w:sz="4" w:space="0"/>
              <w:right w:val="single" w:color="000000" w:sz="4" w:space="0"/>
            </w:tcBorders>
            <w:noWrap w:val="0"/>
            <w:vAlign w:val="center"/>
          </w:tcPr>
          <w:p>
            <w:pPr>
              <w:spacing w:line="280" w:lineRule="exact"/>
              <w:rPr>
                <w:rFonts w:hint="eastAsia" w:hAnsi="仿宋_GB2312" w:cs="仿宋_GB2312"/>
                <w:color w:val="000000"/>
                <w:sz w:val="24"/>
                <w:szCs w:val="24"/>
              </w:rPr>
            </w:pPr>
          </w:p>
        </w:tc>
      </w:tr>
      <w:tr>
        <w:tblPrEx>
          <w:tblCellMar>
            <w:top w:w="15" w:type="dxa"/>
            <w:left w:w="15" w:type="dxa"/>
            <w:bottom w:w="15" w:type="dxa"/>
            <w:right w:w="15" w:type="dxa"/>
          </w:tblCellMar>
        </w:tblPrEx>
        <w:trPr>
          <w:trHeight w:val="720"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Ansi="宋体"/>
                <w:color w:val="000000"/>
                <w:sz w:val="24"/>
                <w:szCs w:val="24"/>
              </w:rPr>
            </w:pPr>
          </w:p>
        </w:tc>
        <w:tc>
          <w:tcPr>
            <w:tcW w:w="250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仿宋_GB2312" w:cs="仿宋_GB2312"/>
                <w:b/>
                <w:color w:val="000000"/>
                <w:sz w:val="24"/>
                <w:szCs w:val="24"/>
              </w:rPr>
            </w:pPr>
            <w:r>
              <w:rPr>
                <w:rStyle w:val="4"/>
                <w:rFonts w:hint="default" w:ascii="仿宋_GB2312" w:hAnsi="仿宋_GB2312" w:eastAsia="仿宋_GB2312" w:cs="仿宋_GB2312"/>
                <w:b w:val="0"/>
                <w:sz w:val="24"/>
                <w:szCs w:val="24"/>
              </w:rPr>
              <w:t>城乡特困家庭老年人；低保低收入家庭失能、失智、高龄老年人；计划生育特殊困难家庭老年人；其他家庭失能老年人、失智老年人、重度残疾老年人。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hAnsi="仿宋_GB2312" w:cs="仿宋_GB2312"/>
                <w:color w:val="000000"/>
                <w:sz w:val="24"/>
                <w:szCs w:val="24"/>
              </w:rPr>
            </w:pPr>
            <w:r>
              <w:rPr>
                <w:rFonts w:hint="eastAsia" w:hAnsi="仿宋_GB2312" w:cs="仿宋_GB2312"/>
                <w:color w:val="000000"/>
                <w:sz w:val="24"/>
                <w:szCs w:val="24"/>
              </w:rPr>
              <w:t>养老顾问服务</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r>
              <w:rPr>
                <w:rFonts w:hint="eastAsia" w:hAnsi="仿宋_GB2312" w:cs="仿宋_GB2312"/>
                <w:color w:val="000000"/>
                <w:sz w:val="24"/>
                <w:szCs w:val="24"/>
              </w:rPr>
              <w:t>提供养老服务政策咨询服务、代缴咨询、供需对接服务，实现基本养老服务对象养老服务困难和需求及时响应。</w:t>
            </w:r>
          </w:p>
        </w:tc>
        <w:tc>
          <w:tcPr>
            <w:tcW w:w="871" w:type="dxa"/>
            <w:vMerge w:val="continue"/>
            <w:tcBorders>
              <w:left w:val="single" w:color="000000" w:sz="4" w:space="0"/>
              <w:right w:val="single" w:color="000000" w:sz="4" w:space="0"/>
            </w:tcBorders>
            <w:noWrap w:val="0"/>
            <w:vAlign w:val="center"/>
          </w:tcPr>
          <w:p>
            <w:pPr>
              <w:spacing w:line="280" w:lineRule="exact"/>
              <w:rPr>
                <w:rFonts w:hint="eastAsia" w:hAnsi="仿宋_GB2312" w:cs="仿宋_GB2312"/>
                <w:color w:val="000000"/>
                <w:sz w:val="24"/>
                <w:szCs w:val="24"/>
              </w:rPr>
            </w:pPr>
          </w:p>
        </w:tc>
      </w:tr>
      <w:tr>
        <w:tblPrEx>
          <w:tblCellMar>
            <w:top w:w="15" w:type="dxa"/>
            <w:left w:w="15" w:type="dxa"/>
            <w:bottom w:w="15" w:type="dxa"/>
            <w:right w:w="15" w:type="dxa"/>
          </w:tblCellMar>
        </w:tblPrEx>
        <w:trPr>
          <w:trHeight w:val="1220"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Ansi="宋体"/>
                <w:color w:val="000000"/>
                <w:sz w:val="24"/>
                <w:szCs w:val="24"/>
              </w:rPr>
            </w:pPr>
          </w:p>
        </w:tc>
        <w:tc>
          <w:tcPr>
            <w:tcW w:w="250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hAnsi="仿宋_GB2312" w:cs="仿宋_GB2312"/>
                <w:color w:val="000000"/>
                <w:sz w:val="24"/>
                <w:szCs w:val="24"/>
              </w:rPr>
            </w:pPr>
            <w:r>
              <w:rPr>
                <w:rFonts w:hint="eastAsia" w:hAnsi="仿宋_GB2312" w:cs="仿宋_GB2312"/>
                <w:color w:val="000000"/>
                <w:sz w:val="24"/>
                <w:szCs w:val="24"/>
              </w:rPr>
              <w:t>呼叫服务</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r>
              <w:rPr>
                <w:rFonts w:hint="eastAsia" w:hAnsi="仿宋_GB2312" w:cs="仿宋_GB2312"/>
                <w:color w:val="000000"/>
                <w:sz w:val="24"/>
                <w:szCs w:val="24"/>
              </w:rPr>
              <w:t xml:space="preserve">对老年人紧急情况下的应急呼叫及通过智能设备获取的老年人异常情况第一时间响应；可为行动不便、家中确实无人取餐的基本养老对象家庭提供免费代为取餐服务。 </w:t>
            </w:r>
          </w:p>
        </w:tc>
        <w:tc>
          <w:tcPr>
            <w:tcW w:w="871" w:type="dxa"/>
            <w:vMerge w:val="continue"/>
            <w:tcBorders>
              <w:left w:val="single" w:color="000000" w:sz="4" w:space="0"/>
              <w:right w:val="single" w:color="000000" w:sz="4" w:space="0"/>
            </w:tcBorders>
            <w:noWrap w:val="0"/>
            <w:vAlign w:val="center"/>
          </w:tcPr>
          <w:p>
            <w:pPr>
              <w:spacing w:line="280" w:lineRule="exact"/>
              <w:rPr>
                <w:rFonts w:hint="eastAsia" w:hAnsi="仿宋_GB2312" w:cs="仿宋_GB2312"/>
                <w:color w:val="000000"/>
                <w:sz w:val="24"/>
                <w:szCs w:val="24"/>
              </w:rPr>
            </w:pPr>
          </w:p>
        </w:tc>
      </w:tr>
      <w:tr>
        <w:tblPrEx>
          <w:tblCellMar>
            <w:top w:w="15" w:type="dxa"/>
            <w:left w:w="15" w:type="dxa"/>
            <w:bottom w:w="15" w:type="dxa"/>
            <w:right w:w="15" w:type="dxa"/>
          </w:tblCellMar>
        </w:tblPrEx>
        <w:trPr>
          <w:trHeight w:val="775"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Ansi="宋体"/>
                <w:color w:val="000000"/>
                <w:sz w:val="24"/>
                <w:szCs w:val="24"/>
              </w:rPr>
            </w:pPr>
          </w:p>
        </w:tc>
        <w:tc>
          <w:tcPr>
            <w:tcW w:w="250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r>
              <w:rPr>
                <w:rStyle w:val="4"/>
                <w:rFonts w:hint="default" w:ascii="仿宋_GB2312" w:hAnsi="仿宋_GB2312" w:eastAsia="仿宋_GB2312" w:cs="仿宋_GB2312"/>
                <w:b w:val="0"/>
                <w:sz w:val="24"/>
                <w:szCs w:val="24"/>
              </w:rPr>
              <w:t>所有60周岁以上老年人。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hAnsi="宋体" w:cs="仿宋_GB2312"/>
                <w:color w:val="000000"/>
                <w:sz w:val="24"/>
                <w:szCs w:val="24"/>
              </w:rPr>
            </w:pPr>
            <w:r>
              <w:rPr>
                <w:rFonts w:hint="eastAsia" w:hAnsi="宋体" w:cs="仿宋_GB2312"/>
                <w:color w:val="000000"/>
                <w:sz w:val="24"/>
                <w:szCs w:val="24"/>
              </w:rPr>
              <w:t>健康监测</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宋体" w:cs="仿宋_GB2312"/>
                <w:color w:val="000000"/>
                <w:sz w:val="24"/>
                <w:szCs w:val="24"/>
              </w:rPr>
            </w:pPr>
            <w:r>
              <w:rPr>
                <w:rFonts w:hint="eastAsia" w:hAnsi="宋体" w:cs="仿宋_GB2312"/>
                <w:color w:val="000000"/>
                <w:sz w:val="24"/>
                <w:szCs w:val="24"/>
              </w:rPr>
              <w:t xml:space="preserve">在驿站对外公示的营业期间内，根据老年人及其陪同人员要求，协助老年人开展测量心率、血压、血糖、体温等自查。   </w:t>
            </w:r>
          </w:p>
        </w:tc>
        <w:tc>
          <w:tcPr>
            <w:tcW w:w="871" w:type="dxa"/>
            <w:vMerge w:val="continue"/>
            <w:tcBorders>
              <w:left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p>
        </w:tc>
      </w:tr>
      <w:tr>
        <w:tblPrEx>
          <w:tblCellMar>
            <w:top w:w="15" w:type="dxa"/>
            <w:left w:w="15" w:type="dxa"/>
            <w:bottom w:w="15" w:type="dxa"/>
            <w:right w:w="15" w:type="dxa"/>
          </w:tblCellMar>
        </w:tblPrEx>
        <w:trPr>
          <w:trHeight w:val="347"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Ansi="宋体"/>
                <w:color w:val="000000"/>
                <w:sz w:val="24"/>
                <w:szCs w:val="24"/>
              </w:rPr>
            </w:pPr>
          </w:p>
        </w:tc>
        <w:tc>
          <w:tcPr>
            <w:tcW w:w="250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Ansi="宋体"/>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hAnsi="宋体" w:cs="仿宋_GB2312"/>
                <w:color w:val="000000"/>
                <w:sz w:val="24"/>
                <w:szCs w:val="24"/>
              </w:rPr>
            </w:pPr>
            <w:r>
              <w:rPr>
                <w:rFonts w:hint="eastAsia" w:hAnsi="宋体" w:cs="仿宋_GB2312"/>
                <w:color w:val="000000"/>
                <w:sz w:val="24"/>
                <w:szCs w:val="24"/>
              </w:rPr>
              <w:t>方便服务</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hAnsi="宋体" w:cs="仿宋_GB2312"/>
                <w:color w:val="000000"/>
                <w:sz w:val="24"/>
                <w:szCs w:val="24"/>
              </w:rPr>
            </w:pPr>
            <w:r>
              <w:rPr>
                <w:rFonts w:hint="eastAsia" w:hAnsi="宋体" w:cs="仿宋_GB2312"/>
                <w:color w:val="000000"/>
                <w:sz w:val="24"/>
                <w:szCs w:val="24"/>
              </w:rPr>
              <w:t>提供“喝口水、歇歇脚、解内急”等服务。</w:t>
            </w:r>
          </w:p>
        </w:tc>
        <w:tc>
          <w:tcPr>
            <w:tcW w:w="871" w:type="dxa"/>
            <w:vMerge w:val="continue"/>
            <w:tcBorders>
              <w:left w:val="single" w:color="000000" w:sz="4" w:space="0"/>
              <w:right w:val="single" w:color="000000" w:sz="4" w:space="0"/>
            </w:tcBorders>
            <w:noWrap w:val="0"/>
            <w:vAlign w:val="center"/>
          </w:tcPr>
          <w:p>
            <w:pPr>
              <w:spacing w:line="280" w:lineRule="exact"/>
              <w:rPr>
                <w:rFonts w:hAnsi="宋体"/>
                <w:color w:val="000000"/>
                <w:sz w:val="24"/>
                <w:szCs w:val="24"/>
              </w:rPr>
            </w:pPr>
          </w:p>
        </w:tc>
      </w:tr>
      <w:tr>
        <w:tblPrEx>
          <w:tblCellMar>
            <w:top w:w="15" w:type="dxa"/>
            <w:left w:w="15" w:type="dxa"/>
            <w:bottom w:w="15" w:type="dxa"/>
            <w:right w:w="15" w:type="dxa"/>
          </w:tblCellMar>
        </w:tblPrEx>
        <w:trPr>
          <w:trHeight w:val="520"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Ansi="宋体"/>
                <w:color w:val="000000"/>
                <w:sz w:val="24"/>
                <w:szCs w:val="24"/>
              </w:rPr>
            </w:pPr>
          </w:p>
        </w:tc>
        <w:tc>
          <w:tcPr>
            <w:tcW w:w="250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Ansi="宋体"/>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hAnsi="宋体" w:cs="仿宋_GB2312"/>
                <w:color w:val="000000"/>
                <w:sz w:val="24"/>
                <w:szCs w:val="24"/>
              </w:rPr>
            </w:pPr>
            <w:r>
              <w:rPr>
                <w:rFonts w:hint="eastAsia" w:hAnsi="宋体" w:cs="仿宋_GB2312"/>
                <w:color w:val="000000"/>
                <w:sz w:val="24"/>
                <w:szCs w:val="24"/>
              </w:rPr>
              <w:t>解难服务</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宋体" w:cs="仿宋_GB2312"/>
                <w:color w:val="000000"/>
                <w:sz w:val="24"/>
                <w:szCs w:val="24"/>
              </w:rPr>
            </w:pPr>
            <w:r>
              <w:rPr>
                <w:rFonts w:hint="eastAsia" w:hAnsi="宋体" w:cs="仿宋_GB2312"/>
                <w:color w:val="000000"/>
                <w:sz w:val="24"/>
                <w:szCs w:val="24"/>
              </w:rPr>
              <w:t>提供恶劣天气临时避险、应急雨具借用、问路指引和走失临时联络服务。</w:t>
            </w:r>
          </w:p>
        </w:tc>
        <w:tc>
          <w:tcPr>
            <w:tcW w:w="871" w:type="dxa"/>
            <w:vMerge w:val="continue"/>
            <w:tcBorders>
              <w:left w:val="single" w:color="000000" w:sz="4" w:space="0"/>
              <w:right w:val="single" w:color="000000" w:sz="4" w:space="0"/>
            </w:tcBorders>
            <w:noWrap w:val="0"/>
            <w:vAlign w:val="center"/>
          </w:tcPr>
          <w:p>
            <w:pPr>
              <w:spacing w:line="280" w:lineRule="exact"/>
              <w:rPr>
                <w:rFonts w:hAnsi="宋体"/>
                <w:color w:val="000000"/>
                <w:sz w:val="24"/>
                <w:szCs w:val="24"/>
              </w:rPr>
            </w:pPr>
          </w:p>
        </w:tc>
      </w:tr>
      <w:tr>
        <w:tblPrEx>
          <w:tblCellMar>
            <w:top w:w="15" w:type="dxa"/>
            <w:left w:w="15" w:type="dxa"/>
            <w:bottom w:w="15" w:type="dxa"/>
            <w:right w:w="15" w:type="dxa"/>
          </w:tblCellMar>
        </w:tblPrEx>
        <w:trPr>
          <w:trHeight w:val="505"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Ansi="宋体"/>
                <w:color w:val="000000"/>
                <w:sz w:val="24"/>
                <w:szCs w:val="24"/>
              </w:rPr>
            </w:pPr>
          </w:p>
        </w:tc>
        <w:tc>
          <w:tcPr>
            <w:tcW w:w="250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Ansi="宋体"/>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hAnsi="宋体" w:cs="仿宋_GB2312"/>
                <w:color w:val="000000"/>
                <w:sz w:val="24"/>
                <w:szCs w:val="24"/>
              </w:rPr>
            </w:pPr>
            <w:r>
              <w:rPr>
                <w:rFonts w:hint="eastAsia" w:hAnsi="宋体" w:cs="仿宋_GB2312"/>
                <w:color w:val="000000"/>
                <w:sz w:val="24"/>
                <w:szCs w:val="24"/>
              </w:rPr>
              <w:t>文化娱乐</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宋体" w:cs="仿宋_GB2312"/>
                <w:color w:val="000000"/>
                <w:sz w:val="24"/>
                <w:szCs w:val="24"/>
              </w:rPr>
            </w:pPr>
            <w:r>
              <w:rPr>
                <w:rFonts w:hint="eastAsia" w:hAnsi="宋体" w:cs="仿宋_GB2312"/>
                <w:color w:val="000000"/>
                <w:sz w:val="24"/>
                <w:szCs w:val="24"/>
              </w:rPr>
              <w:t>提供读书看报、棋牌娱乐、健康教育、智能技术应用培训。</w:t>
            </w:r>
          </w:p>
        </w:tc>
        <w:tc>
          <w:tcPr>
            <w:tcW w:w="871" w:type="dxa"/>
            <w:vMerge w:val="continue"/>
            <w:tcBorders>
              <w:left w:val="single" w:color="000000" w:sz="4" w:space="0"/>
              <w:right w:val="single" w:color="000000" w:sz="4" w:space="0"/>
            </w:tcBorders>
            <w:noWrap w:val="0"/>
            <w:vAlign w:val="center"/>
          </w:tcPr>
          <w:p>
            <w:pPr>
              <w:spacing w:line="280" w:lineRule="exact"/>
              <w:rPr>
                <w:rFonts w:hAnsi="宋体"/>
                <w:color w:val="000000"/>
                <w:sz w:val="24"/>
                <w:szCs w:val="24"/>
              </w:rPr>
            </w:pPr>
          </w:p>
        </w:tc>
      </w:tr>
      <w:tr>
        <w:tblPrEx>
          <w:tblCellMar>
            <w:top w:w="15" w:type="dxa"/>
            <w:left w:w="15" w:type="dxa"/>
            <w:bottom w:w="15" w:type="dxa"/>
            <w:right w:w="15" w:type="dxa"/>
          </w:tblCellMar>
        </w:tblPrEx>
        <w:trPr>
          <w:trHeight w:val="470"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Ansi="宋体"/>
                <w:color w:val="000000"/>
                <w:sz w:val="24"/>
                <w:szCs w:val="24"/>
              </w:rPr>
            </w:pPr>
          </w:p>
        </w:tc>
        <w:tc>
          <w:tcPr>
            <w:tcW w:w="250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Ansi="宋体"/>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hAnsi="宋体" w:cs="仿宋_GB2312"/>
                <w:color w:val="000000"/>
                <w:sz w:val="24"/>
                <w:szCs w:val="24"/>
              </w:rPr>
            </w:pPr>
            <w:r>
              <w:rPr>
                <w:rFonts w:hint="eastAsia" w:hAnsi="宋体" w:cs="仿宋_GB2312"/>
                <w:color w:val="000000"/>
                <w:sz w:val="24"/>
                <w:szCs w:val="24"/>
              </w:rPr>
              <w:t>助急服务</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hAnsi="宋体" w:cs="仿宋_GB2312"/>
                <w:color w:val="000000"/>
                <w:sz w:val="24"/>
                <w:szCs w:val="24"/>
              </w:rPr>
            </w:pPr>
            <w:r>
              <w:rPr>
                <w:rFonts w:hint="eastAsia" w:hAnsi="宋体" w:cs="仿宋_GB2312"/>
                <w:color w:val="000000"/>
                <w:sz w:val="24"/>
                <w:szCs w:val="24"/>
              </w:rPr>
              <w:t xml:space="preserve">提供应急上网、应急充电、应急电话服务。 </w:t>
            </w:r>
          </w:p>
        </w:tc>
        <w:tc>
          <w:tcPr>
            <w:tcW w:w="871" w:type="dxa"/>
            <w:vMerge w:val="continue"/>
            <w:tcBorders>
              <w:left w:val="single" w:color="000000" w:sz="4" w:space="0"/>
              <w:bottom w:val="single" w:color="000000" w:sz="4" w:space="0"/>
              <w:right w:val="single" w:color="000000" w:sz="4" w:space="0"/>
            </w:tcBorders>
            <w:noWrap w:val="0"/>
            <w:vAlign w:val="center"/>
          </w:tcPr>
          <w:p>
            <w:pPr>
              <w:spacing w:line="280" w:lineRule="exact"/>
              <w:rPr>
                <w:rFonts w:hint="eastAsia" w:hAnsi="仿宋_GB2312" w:cs="仿宋_GB2312"/>
                <w:color w:val="000000"/>
                <w:sz w:val="24"/>
                <w:szCs w:val="24"/>
              </w:rPr>
            </w:pPr>
          </w:p>
        </w:tc>
      </w:tr>
      <w:tr>
        <w:tblPrEx>
          <w:tblCellMar>
            <w:top w:w="15" w:type="dxa"/>
            <w:left w:w="15" w:type="dxa"/>
            <w:bottom w:w="15" w:type="dxa"/>
            <w:right w:w="15" w:type="dxa"/>
          </w:tblCellMar>
        </w:tblPrEx>
        <w:trPr>
          <w:trHeight w:val="355" w:hRule="atLeast"/>
        </w:trPr>
        <w:tc>
          <w:tcPr>
            <w:tcW w:w="56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Ansi="宋体"/>
                <w:color w:val="000000"/>
                <w:sz w:val="24"/>
                <w:szCs w:val="24"/>
              </w:rPr>
            </w:pPr>
            <w:r>
              <w:rPr>
                <w:rFonts w:hAnsi="宋体" w:cs="仿宋_GB2312"/>
                <w:color w:val="000000"/>
                <w:sz w:val="24"/>
                <w:szCs w:val="24"/>
              </w:rPr>
              <w:t>普惠</w:t>
            </w:r>
            <w:r>
              <w:rPr>
                <w:rFonts w:hint="eastAsia" w:hAnsi="宋体" w:cs="仿宋_GB2312"/>
                <w:color w:val="000000"/>
                <w:sz w:val="24"/>
                <w:szCs w:val="24"/>
              </w:rPr>
              <w:t>型养老服务清单</w:t>
            </w:r>
          </w:p>
        </w:tc>
        <w:tc>
          <w:tcPr>
            <w:tcW w:w="250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ascii="Symbol" w:hAnsi="Symbol" w:cs="Symbol"/>
                <w:b/>
                <w:color w:val="000000"/>
                <w:sz w:val="24"/>
                <w:szCs w:val="24"/>
              </w:rPr>
            </w:pPr>
            <w:r>
              <w:rPr>
                <w:rStyle w:val="4"/>
                <w:rFonts w:hint="default" w:ascii="仿宋_GB2312" w:hAnsi="仿宋_GB2312" w:eastAsia="仿宋_GB2312" w:cs="仿宋_GB2312"/>
                <w:b w:val="0"/>
                <w:sz w:val="24"/>
                <w:szCs w:val="24"/>
              </w:rPr>
              <w:t>城乡特困家庭老年人；低保低收入家庭失能、失智、高龄老年人；计划生育特殊困难家庭老年人；其他家庭失能老年人、失智老年人、重度残疾老年人。</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hAnsi="仿宋_GB2312" w:cs="仿宋_GB2312"/>
                <w:color w:val="000000"/>
                <w:sz w:val="24"/>
                <w:szCs w:val="24"/>
              </w:rPr>
            </w:pPr>
            <w:r>
              <w:rPr>
                <w:rFonts w:hint="eastAsia" w:hAnsi="仿宋_GB2312" w:cs="仿宋_GB2312"/>
                <w:color w:val="000000"/>
                <w:sz w:val="24"/>
                <w:szCs w:val="24"/>
              </w:rPr>
              <w:t>助餐</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r>
              <w:rPr>
                <w:rFonts w:hint="eastAsia" w:hAnsi="仿宋_GB2312" w:cs="仿宋_GB2312"/>
                <w:color w:val="000000"/>
                <w:sz w:val="24"/>
                <w:szCs w:val="24"/>
              </w:rPr>
              <w:t>提供上门助餐、集中助餐，代为取餐服务。</w:t>
            </w:r>
          </w:p>
        </w:tc>
        <w:tc>
          <w:tcPr>
            <w:tcW w:w="87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r>
              <w:rPr>
                <w:rFonts w:hint="eastAsia" w:hAnsi="仿宋_GB2312" w:cs="仿宋_GB2312"/>
                <w:color w:val="000000"/>
                <w:sz w:val="24"/>
                <w:szCs w:val="24"/>
              </w:rPr>
              <w:t>老年人支付部分费用，驿站运营商低偿服务</w:t>
            </w:r>
          </w:p>
        </w:tc>
      </w:tr>
      <w:tr>
        <w:tblPrEx>
          <w:tblCellMar>
            <w:top w:w="15" w:type="dxa"/>
            <w:left w:w="15" w:type="dxa"/>
            <w:bottom w:w="15" w:type="dxa"/>
            <w:right w:w="15" w:type="dxa"/>
          </w:tblCellMar>
        </w:tblPrEx>
        <w:trPr>
          <w:trHeight w:val="295"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Ansi="宋体"/>
                <w:color w:val="000000"/>
                <w:sz w:val="24"/>
                <w:szCs w:val="24"/>
              </w:rPr>
            </w:pPr>
          </w:p>
        </w:tc>
        <w:tc>
          <w:tcPr>
            <w:tcW w:w="250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ascii="Symbol" w:hAnsi="Symbol" w:cs="Symbol"/>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hAnsi="仿宋_GB2312" w:cs="仿宋_GB2312"/>
                <w:color w:val="000000"/>
                <w:sz w:val="24"/>
                <w:szCs w:val="24"/>
              </w:rPr>
            </w:pPr>
            <w:r>
              <w:rPr>
                <w:rFonts w:hint="eastAsia" w:hAnsi="仿宋_GB2312" w:cs="仿宋_GB2312"/>
                <w:color w:val="000000"/>
                <w:sz w:val="24"/>
                <w:szCs w:val="24"/>
              </w:rPr>
              <w:t>助浴</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r>
              <w:rPr>
                <w:rFonts w:hint="eastAsia" w:hAnsi="仿宋_GB2312" w:cs="仿宋_GB2312"/>
                <w:color w:val="000000"/>
                <w:sz w:val="24"/>
                <w:szCs w:val="24"/>
              </w:rPr>
              <w:t>提供助浴、擦浴服务。</w:t>
            </w:r>
          </w:p>
        </w:tc>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hAnsi="仿宋_GB2312" w:cs="仿宋_GB2312"/>
                <w:color w:val="000000"/>
                <w:sz w:val="24"/>
                <w:szCs w:val="24"/>
              </w:rPr>
            </w:pPr>
          </w:p>
        </w:tc>
      </w:tr>
      <w:tr>
        <w:tblPrEx>
          <w:tblCellMar>
            <w:top w:w="15" w:type="dxa"/>
            <w:left w:w="15" w:type="dxa"/>
            <w:bottom w:w="15" w:type="dxa"/>
            <w:right w:w="15" w:type="dxa"/>
          </w:tblCellMar>
        </w:tblPrEx>
        <w:trPr>
          <w:trHeight w:val="655"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Ansi="宋体"/>
                <w:color w:val="000000"/>
                <w:sz w:val="24"/>
                <w:szCs w:val="24"/>
              </w:rPr>
            </w:pPr>
          </w:p>
        </w:tc>
        <w:tc>
          <w:tcPr>
            <w:tcW w:w="2503" w:type="dxa"/>
            <w:vMerge w:val="continue"/>
            <w:tcBorders>
              <w:top w:val="single" w:color="000000" w:sz="4" w:space="0"/>
              <w:left w:val="single" w:color="000000" w:sz="4" w:space="0"/>
              <w:right w:val="single" w:color="000000" w:sz="4" w:space="0"/>
            </w:tcBorders>
            <w:noWrap w:val="0"/>
            <w:vAlign w:val="center"/>
          </w:tcPr>
          <w:p>
            <w:pPr>
              <w:spacing w:line="280" w:lineRule="exact"/>
              <w:textAlignment w:val="center"/>
              <w:rPr>
                <w:rFonts w:ascii="Symbol" w:hAnsi="Symbol" w:cs="Symbol"/>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hAnsi="仿宋_GB2312" w:cs="仿宋_GB2312"/>
                <w:color w:val="000000"/>
                <w:sz w:val="24"/>
                <w:szCs w:val="24"/>
              </w:rPr>
            </w:pPr>
            <w:bookmarkStart w:id="0" w:name="_GoBack"/>
            <w:bookmarkEnd w:id="0"/>
            <w:r>
              <w:rPr>
                <w:rFonts w:hint="eastAsia" w:hAnsi="仿宋_GB2312" w:cs="仿宋_GB2312"/>
                <w:color w:val="000000"/>
                <w:sz w:val="24"/>
                <w:szCs w:val="24"/>
              </w:rPr>
              <w:t>助洁</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r>
              <w:rPr>
                <w:rFonts w:hint="eastAsia" w:hAnsi="仿宋_GB2312" w:cs="仿宋_GB2312"/>
                <w:color w:val="000000"/>
                <w:sz w:val="24"/>
                <w:szCs w:val="24"/>
              </w:rPr>
              <w:t>提供室内清洁、晨间护理、晚间护理、协助如厕、清洁排泄物、洗衣、理发、剪甲、扦脚服务。</w:t>
            </w:r>
          </w:p>
        </w:tc>
        <w:tc>
          <w:tcPr>
            <w:tcW w:w="871" w:type="dxa"/>
            <w:vMerge w:val="continue"/>
            <w:tcBorders>
              <w:top w:val="single" w:color="000000" w:sz="4" w:space="0"/>
              <w:left w:val="single" w:color="000000" w:sz="4" w:space="0"/>
              <w:right w:val="single" w:color="000000" w:sz="4" w:space="0"/>
            </w:tcBorders>
            <w:noWrap w:val="0"/>
            <w:vAlign w:val="center"/>
          </w:tcPr>
          <w:p>
            <w:pPr>
              <w:spacing w:line="280" w:lineRule="exact"/>
              <w:rPr>
                <w:rFonts w:hint="eastAsia" w:hAnsi="仿宋_GB2312" w:cs="仿宋_GB2312"/>
                <w:color w:val="000000"/>
                <w:sz w:val="24"/>
                <w:szCs w:val="24"/>
              </w:rPr>
            </w:pPr>
          </w:p>
        </w:tc>
      </w:tr>
      <w:tr>
        <w:tblPrEx>
          <w:tblCellMar>
            <w:top w:w="15" w:type="dxa"/>
            <w:left w:w="15" w:type="dxa"/>
            <w:bottom w:w="15" w:type="dxa"/>
            <w:right w:w="15" w:type="dxa"/>
          </w:tblCellMar>
        </w:tblPrEx>
        <w:trPr>
          <w:trHeight w:val="305" w:hRule="atLeast"/>
        </w:trPr>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Ansi="宋体"/>
                <w:color w:val="000000"/>
                <w:sz w:val="24"/>
                <w:szCs w:val="24"/>
              </w:rPr>
            </w:pPr>
          </w:p>
        </w:tc>
        <w:tc>
          <w:tcPr>
            <w:tcW w:w="250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ascii="Symbol" w:hAnsi="Symbol" w:cs="Symbol"/>
                <w:color w:val="000000"/>
                <w:sz w:val="24"/>
                <w:szCs w:val="24"/>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int="eastAsia" w:hAnsi="仿宋_GB2312" w:cs="仿宋_GB2312"/>
                <w:color w:val="000000"/>
                <w:sz w:val="24"/>
                <w:szCs w:val="24"/>
              </w:rPr>
            </w:pPr>
            <w:r>
              <w:rPr>
                <w:rFonts w:hint="eastAsia" w:hAnsi="仿宋_GB2312" w:cs="仿宋_GB2312"/>
                <w:color w:val="000000"/>
                <w:sz w:val="24"/>
                <w:szCs w:val="24"/>
              </w:rPr>
              <w:t>助医</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r>
              <w:rPr>
                <w:rFonts w:hint="eastAsia" w:hAnsi="仿宋_GB2312" w:cs="仿宋_GB2312"/>
                <w:color w:val="000000"/>
                <w:sz w:val="24"/>
                <w:szCs w:val="24"/>
              </w:rPr>
              <w:t>提供就医陪诊、健康教育、养老辅具租赁、血压、心率、体温辅助监测。</w:t>
            </w:r>
          </w:p>
        </w:tc>
        <w:tc>
          <w:tcPr>
            <w:tcW w:w="87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hAnsi="仿宋_GB2312" w:cs="仿宋_GB2312"/>
                <w:color w:val="000000"/>
                <w:sz w:val="24"/>
                <w:szCs w:val="24"/>
              </w:rPr>
            </w:pPr>
          </w:p>
        </w:tc>
      </w:tr>
      <w:tr>
        <w:tblPrEx>
          <w:tblCellMar>
            <w:top w:w="15" w:type="dxa"/>
            <w:left w:w="15" w:type="dxa"/>
            <w:bottom w:w="15" w:type="dxa"/>
            <w:right w:w="15" w:type="dxa"/>
          </w:tblCellMar>
        </w:tblPrEx>
        <w:trPr>
          <w:trHeight w:val="1110" w:hRule="atLeast"/>
        </w:trPr>
        <w:tc>
          <w:tcPr>
            <w:tcW w:w="5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textAlignment w:val="center"/>
              <w:rPr>
                <w:rFonts w:hAnsi="宋体"/>
                <w:color w:val="000000"/>
                <w:sz w:val="24"/>
                <w:szCs w:val="24"/>
              </w:rPr>
            </w:pPr>
            <w:r>
              <w:rPr>
                <w:rFonts w:hint="eastAsia" w:hAnsi="宋体" w:cs="仿宋_GB2312"/>
                <w:color w:val="000000"/>
                <w:sz w:val="24"/>
                <w:szCs w:val="24"/>
              </w:rPr>
              <w:t>市场服务清单</w:t>
            </w:r>
          </w:p>
        </w:tc>
        <w:tc>
          <w:tcPr>
            <w:tcW w:w="25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Ansi="宋体"/>
                <w:color w:val="000000"/>
                <w:sz w:val="24"/>
                <w:szCs w:val="24"/>
              </w:rPr>
            </w:pPr>
            <w:r>
              <w:rPr>
                <w:rFonts w:hint="eastAsia" w:hAnsi="宋体" w:cs="仿宋_GB2312"/>
                <w:color w:val="000000"/>
                <w:sz w:val="24"/>
                <w:szCs w:val="24"/>
              </w:rPr>
              <w:t>所有</w:t>
            </w:r>
            <w:r>
              <w:rPr>
                <w:rFonts w:hAnsi="宋体" w:cs="仿宋_GB2312"/>
                <w:color w:val="000000"/>
                <w:sz w:val="24"/>
                <w:szCs w:val="24"/>
              </w:rPr>
              <w:t>60</w:t>
            </w:r>
            <w:r>
              <w:rPr>
                <w:rFonts w:hint="eastAsia" w:hAnsi="宋体" w:cs="仿宋_GB2312"/>
                <w:color w:val="000000"/>
                <w:sz w:val="24"/>
                <w:szCs w:val="24"/>
              </w:rPr>
              <w:t>周岁以上的老年人。</w:t>
            </w:r>
          </w:p>
        </w:tc>
        <w:tc>
          <w:tcPr>
            <w:tcW w:w="541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r>
              <w:rPr>
                <w:rFonts w:hint="eastAsia" w:hAnsi="仿宋_GB2312" w:cs="仿宋_GB2312"/>
                <w:color w:val="000000"/>
                <w:sz w:val="24"/>
                <w:szCs w:val="24"/>
              </w:rPr>
              <w:t>驿站在不违反《北京市社区养老服务驿站管理办法（试行）》中明确规定的“十个严禁”服务行为的前提下，可明码标价为老年人提供市场化的养老服务。</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textAlignment w:val="center"/>
              <w:rPr>
                <w:rFonts w:hint="eastAsia" w:hAnsi="仿宋_GB2312" w:cs="仿宋_GB2312"/>
                <w:color w:val="000000"/>
                <w:sz w:val="24"/>
                <w:szCs w:val="24"/>
              </w:rPr>
            </w:pPr>
            <w:r>
              <w:rPr>
                <w:rFonts w:hint="eastAsia" w:hAnsi="仿宋_GB2312" w:cs="仿宋_GB2312"/>
                <w:color w:val="000000"/>
                <w:sz w:val="24"/>
                <w:szCs w:val="24"/>
              </w:rPr>
              <w:t>报区民政局备案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C3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2023-01-13T09:29:01Z</dcterms:created>
  <dc:creator>Administrator</dc:creator>
  <cp:lastModifiedBy>If火焰</cp:lastModifiedBy>
  <dcterms:modified xsi:type="dcterms:W3CDTF">2023-01-13T09:29:34Z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