
<file path=[Content_Types].xml><?xml version="1.0" encoding="utf-8"?>
<Types xmlns="http://schemas.openxmlformats.org/package/2006/content-types">
  <Default Extension="xml" ContentType="application/xml"/>
  <Default Extension="xls" ContentType="application/vnd.ms-exce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600" w:lineRule="exact"/>
        <w:rPr>
          <w:rFonts w:ascii="仿宋_GB2312" w:hAnsi="Calibri" w:eastAsia="仿宋_GB2312" w:cs="Times New Roman"/>
          <w:sz w:val="32"/>
          <w:szCs w:val="32"/>
        </w:rPr>
      </w:pPr>
      <w:bookmarkStart w:id="34" w:name="_GoBack"/>
      <w:bookmarkEnd w:id="34"/>
    </w:p>
    <w:p>
      <w:pPr>
        <w:snapToGrid w:val="0"/>
        <w:spacing w:line="600" w:lineRule="exact"/>
        <w:rPr>
          <w:rFonts w:ascii="仿宋_GB2312" w:hAnsi="Calibri" w:eastAsia="仿宋_GB2312" w:cs="Times New Roman"/>
          <w:sz w:val="32"/>
          <w:szCs w:val="32"/>
        </w:rPr>
      </w:pPr>
    </w:p>
    <w:p>
      <w:pPr>
        <w:snapToGrid w:val="0"/>
        <w:spacing w:line="600" w:lineRule="exact"/>
        <w:rPr>
          <w:rFonts w:ascii="仿宋_GB2312" w:hAnsi="Calibri" w:eastAsia="仿宋_GB2312" w:cs="Times New Roman"/>
          <w:sz w:val="32"/>
          <w:szCs w:val="32"/>
        </w:rPr>
      </w:pPr>
    </w:p>
    <w:p>
      <w:pPr>
        <w:snapToGrid w:val="0"/>
        <w:spacing w:line="600" w:lineRule="exact"/>
        <w:rPr>
          <w:rFonts w:ascii="仿宋_GB2312" w:hAnsi="Calibri" w:eastAsia="仿宋_GB2312" w:cs="Times New Roman"/>
          <w:sz w:val="32"/>
          <w:szCs w:val="32"/>
        </w:rPr>
      </w:pPr>
    </w:p>
    <w:p>
      <w:pPr>
        <w:snapToGrid w:val="0"/>
        <w:spacing w:line="600" w:lineRule="exact"/>
        <w:rPr>
          <w:rFonts w:ascii="仿宋_GB2312" w:hAnsi="Calibri" w:eastAsia="仿宋_GB2312" w:cs="Times New Roman"/>
          <w:sz w:val="32"/>
          <w:szCs w:val="32"/>
        </w:rPr>
      </w:pPr>
      <w:r>
        <w:rPr>
          <w:rFonts w:hint="eastAsia" w:ascii="仿宋_GB2312" w:hAnsi="Calibri" w:eastAsia="仿宋_GB2312" w:cs="Times New Roman"/>
          <w:sz w:val="32"/>
          <w:szCs w:val="32"/>
        </w:rPr>
        <w:t xml:space="preserve">                    </w:t>
      </w:r>
    </w:p>
    <w:p>
      <w:pPr>
        <w:widowControl/>
        <w:topLinePunct/>
        <w:snapToGrid w:val="0"/>
        <w:spacing w:line="600" w:lineRule="exact"/>
        <w:jc w:val="center"/>
        <w:rPr>
          <w:rFonts w:ascii="黑体" w:hAnsi="黑体" w:eastAsia="黑体" w:cs="微软雅黑"/>
          <w:color w:val="000000"/>
          <w:sz w:val="44"/>
          <w:szCs w:val="44"/>
        </w:rPr>
      </w:pPr>
      <w:r>
        <w:rPr>
          <w:rFonts w:hint="eastAsia" w:ascii="黑体" w:hAnsi="黑体" w:eastAsia="黑体" w:cs="Times New Roman"/>
          <w:color w:val="000000"/>
          <w:sz w:val="44"/>
          <w:szCs w:val="44"/>
        </w:rPr>
        <w:t>“</w:t>
      </w:r>
      <w:r>
        <w:rPr>
          <w:rFonts w:hint="eastAsia" w:ascii="黑体" w:hAnsi="黑体" w:eastAsia="黑体" w:cs="微软雅黑"/>
          <w:color w:val="000000"/>
          <w:sz w:val="44"/>
          <w:szCs w:val="44"/>
        </w:rPr>
        <w:t>十四五</w:t>
      </w:r>
      <w:r>
        <w:rPr>
          <w:rFonts w:hint="eastAsia" w:ascii="黑体" w:hAnsi="黑体" w:eastAsia="黑体" w:cs="Malgun Gothic Semilight"/>
          <w:color w:val="000000"/>
          <w:sz w:val="44"/>
          <w:szCs w:val="44"/>
        </w:rPr>
        <w:t>”</w:t>
      </w:r>
      <w:r>
        <w:rPr>
          <w:rFonts w:hint="eastAsia" w:ascii="黑体" w:hAnsi="黑体" w:eastAsia="黑体" w:cs="微软雅黑"/>
          <w:color w:val="000000"/>
          <w:sz w:val="44"/>
          <w:szCs w:val="44"/>
        </w:rPr>
        <w:t>时期</w:t>
      </w:r>
    </w:p>
    <w:p>
      <w:pPr>
        <w:widowControl/>
        <w:topLinePunct/>
        <w:snapToGrid w:val="0"/>
        <w:spacing w:line="600" w:lineRule="exact"/>
        <w:jc w:val="center"/>
        <w:rPr>
          <w:rFonts w:ascii="黑体" w:hAnsi="黑体" w:eastAsia="黑体" w:cs="微软雅黑"/>
          <w:color w:val="000000"/>
          <w:sz w:val="44"/>
          <w:szCs w:val="44"/>
        </w:rPr>
      </w:pPr>
      <w:r>
        <w:rPr>
          <w:rFonts w:hint="eastAsia" w:ascii="黑体" w:hAnsi="黑体" w:eastAsia="黑体" w:cs="微软雅黑"/>
          <w:color w:val="000000"/>
          <w:sz w:val="44"/>
          <w:szCs w:val="44"/>
        </w:rPr>
        <w:t>丰台区消防救援发展建设规划</w:t>
      </w:r>
    </w:p>
    <w:p>
      <w:pPr>
        <w:widowControl/>
        <w:topLinePunct/>
        <w:snapToGrid w:val="0"/>
        <w:spacing w:line="600" w:lineRule="exact"/>
        <w:jc w:val="center"/>
        <w:rPr>
          <w:rFonts w:ascii="黑体" w:hAnsi="黑体" w:eastAsia="黑体" w:cs="Times New Roman"/>
          <w:sz w:val="44"/>
          <w:szCs w:val="44"/>
        </w:rPr>
      </w:pPr>
    </w:p>
    <w:p>
      <w:pPr>
        <w:snapToGrid w:val="0"/>
        <w:spacing w:line="600" w:lineRule="exact"/>
        <w:rPr>
          <w:rFonts w:ascii="仿宋_GB2312" w:hAnsi="Calibri" w:eastAsia="仿宋_GB2312" w:cs="Times New Roman"/>
          <w:sz w:val="32"/>
          <w:szCs w:val="32"/>
        </w:rPr>
      </w:pPr>
    </w:p>
    <w:p>
      <w:pPr>
        <w:snapToGrid w:val="0"/>
        <w:spacing w:line="600" w:lineRule="exact"/>
        <w:rPr>
          <w:rFonts w:ascii="仿宋_GB2312" w:hAnsi="Calibri" w:eastAsia="仿宋_GB2312" w:cs="Times New Roman"/>
          <w:sz w:val="32"/>
          <w:szCs w:val="32"/>
        </w:rPr>
      </w:pPr>
    </w:p>
    <w:p>
      <w:pPr>
        <w:snapToGrid w:val="0"/>
        <w:spacing w:line="600" w:lineRule="exact"/>
        <w:rPr>
          <w:rFonts w:ascii="仿宋_GB2312" w:hAnsi="Calibri" w:eastAsia="仿宋_GB2312" w:cs="Times New Roman"/>
          <w:sz w:val="32"/>
          <w:szCs w:val="32"/>
        </w:rPr>
      </w:pPr>
    </w:p>
    <w:p>
      <w:pPr>
        <w:snapToGrid w:val="0"/>
        <w:spacing w:line="600" w:lineRule="exact"/>
        <w:rPr>
          <w:rFonts w:ascii="仿宋_GB2312" w:hAnsi="Calibri" w:eastAsia="仿宋_GB2312" w:cs="Times New Roman"/>
          <w:sz w:val="32"/>
          <w:szCs w:val="32"/>
        </w:rPr>
      </w:pPr>
    </w:p>
    <w:p>
      <w:pPr>
        <w:snapToGrid w:val="0"/>
        <w:spacing w:line="600" w:lineRule="exact"/>
        <w:rPr>
          <w:rFonts w:ascii="仿宋_GB2312" w:hAnsi="Calibri" w:eastAsia="仿宋_GB2312" w:cs="Times New Roman"/>
          <w:sz w:val="32"/>
          <w:szCs w:val="32"/>
        </w:rPr>
      </w:pPr>
    </w:p>
    <w:p>
      <w:pPr>
        <w:snapToGrid w:val="0"/>
        <w:spacing w:line="600" w:lineRule="exact"/>
        <w:rPr>
          <w:rFonts w:ascii="仿宋_GB2312" w:hAnsi="Calibri" w:eastAsia="仿宋_GB2312" w:cs="Times New Roman"/>
          <w:sz w:val="32"/>
          <w:szCs w:val="32"/>
        </w:rPr>
      </w:pPr>
    </w:p>
    <w:p>
      <w:pPr>
        <w:snapToGrid w:val="0"/>
        <w:spacing w:line="600" w:lineRule="exact"/>
        <w:rPr>
          <w:rFonts w:ascii="仿宋_GB2312" w:hAnsi="Calibri" w:eastAsia="仿宋_GB2312" w:cs="Times New Roman"/>
          <w:sz w:val="32"/>
          <w:szCs w:val="32"/>
        </w:rPr>
      </w:pPr>
    </w:p>
    <w:p>
      <w:pPr>
        <w:snapToGrid w:val="0"/>
        <w:spacing w:line="600" w:lineRule="exact"/>
        <w:rPr>
          <w:rFonts w:ascii="仿宋_GB2312" w:hAnsi="Calibri" w:eastAsia="仿宋_GB2312" w:cs="Times New Roman"/>
          <w:sz w:val="32"/>
          <w:szCs w:val="32"/>
        </w:rPr>
      </w:pPr>
    </w:p>
    <w:p>
      <w:pPr>
        <w:snapToGrid w:val="0"/>
        <w:spacing w:line="600" w:lineRule="exact"/>
        <w:rPr>
          <w:rFonts w:ascii="仿宋_GB2312" w:hAnsi="Calibri" w:eastAsia="仿宋_GB2312" w:cs="Times New Roman"/>
          <w:sz w:val="32"/>
          <w:szCs w:val="32"/>
        </w:rPr>
      </w:pPr>
    </w:p>
    <w:p>
      <w:pPr>
        <w:snapToGrid w:val="0"/>
        <w:spacing w:line="600" w:lineRule="exact"/>
        <w:rPr>
          <w:rFonts w:ascii="仿宋_GB2312" w:hAnsi="Calibri" w:eastAsia="仿宋_GB2312" w:cs="Times New Roman"/>
          <w:sz w:val="32"/>
          <w:szCs w:val="32"/>
        </w:rPr>
      </w:pPr>
    </w:p>
    <w:p>
      <w:pPr>
        <w:snapToGrid w:val="0"/>
        <w:spacing w:line="600" w:lineRule="exact"/>
        <w:rPr>
          <w:rFonts w:ascii="仿宋_GB2312" w:hAnsi="Calibri" w:eastAsia="仿宋_GB2312" w:cs="Times New Roman"/>
          <w:sz w:val="32"/>
          <w:szCs w:val="32"/>
        </w:rPr>
      </w:pPr>
    </w:p>
    <w:p>
      <w:pPr>
        <w:snapToGrid w:val="0"/>
        <w:spacing w:line="600" w:lineRule="exact"/>
        <w:jc w:val="center"/>
        <w:rPr>
          <w:rFonts w:ascii="黑体" w:hAnsi="黑体" w:eastAsia="黑体" w:cs="黑体"/>
          <w:sz w:val="32"/>
          <w:szCs w:val="32"/>
        </w:rPr>
      </w:pPr>
      <w:r>
        <w:rPr>
          <w:rFonts w:hint="eastAsia" w:ascii="黑体" w:hAnsi="黑体" w:eastAsia="黑体" w:cs="黑体"/>
          <w:sz w:val="32"/>
          <w:szCs w:val="32"/>
        </w:rPr>
        <w:t>北京市丰台区消防救援支队</w:t>
      </w:r>
    </w:p>
    <w:p>
      <w:pPr>
        <w:snapToGrid w:val="0"/>
        <w:spacing w:line="600" w:lineRule="exact"/>
        <w:jc w:val="center"/>
        <w:rPr>
          <w:rFonts w:ascii="黑体" w:hAnsi="黑体" w:eastAsia="黑体" w:cs="黑体"/>
          <w:sz w:val="32"/>
          <w:szCs w:val="32"/>
        </w:rPr>
      </w:pPr>
      <w:r>
        <w:rPr>
          <w:rFonts w:hint="eastAsia" w:ascii="黑体" w:hAnsi="黑体" w:eastAsia="黑体" w:cs="黑体"/>
          <w:sz w:val="32"/>
          <w:szCs w:val="32"/>
        </w:rPr>
        <w:t>二〇二一年十月</w:t>
      </w:r>
    </w:p>
    <w:p>
      <w:pPr>
        <w:snapToGrid w:val="0"/>
        <w:spacing w:line="600" w:lineRule="exact"/>
        <w:rPr>
          <w:rFonts w:ascii="黑体" w:hAnsi="黑体" w:eastAsia="黑体" w:cs="黑体"/>
          <w:sz w:val="44"/>
          <w:szCs w:val="44"/>
        </w:rPr>
      </w:pPr>
    </w:p>
    <w:p>
      <w:pPr>
        <w:snapToGrid w:val="0"/>
        <w:spacing w:line="600" w:lineRule="exact"/>
        <w:rPr>
          <w:rFonts w:ascii="黑体" w:hAnsi="黑体" w:eastAsia="黑体" w:cs="黑体"/>
          <w:sz w:val="44"/>
          <w:szCs w:val="44"/>
        </w:rPr>
      </w:pPr>
    </w:p>
    <w:p>
      <w:pPr>
        <w:snapToGrid w:val="0"/>
        <w:spacing w:line="600" w:lineRule="exact"/>
        <w:jc w:val="center"/>
        <w:rPr>
          <w:rFonts w:ascii="黑体" w:hAnsi="黑体" w:eastAsia="黑体" w:cs="黑体"/>
          <w:sz w:val="44"/>
          <w:szCs w:val="44"/>
        </w:rPr>
      </w:pPr>
      <w:bookmarkStart w:id="0" w:name="_Toc41648515"/>
      <w:bookmarkStart w:id="1" w:name="_Toc50133244"/>
      <w:bookmarkStart w:id="2" w:name="_Toc43387167"/>
      <w:r>
        <w:rPr>
          <w:rFonts w:hint="eastAsia" w:ascii="黑体" w:hAnsi="黑体" w:eastAsia="黑体" w:cs="黑体"/>
          <w:sz w:val="44"/>
          <w:szCs w:val="44"/>
        </w:rPr>
        <w:t>目 录</w:t>
      </w:r>
    </w:p>
    <w:p>
      <w:pPr>
        <w:tabs>
          <w:tab w:val="right" w:leader="dot" w:pos="8306"/>
        </w:tabs>
        <w:spacing w:line="600" w:lineRule="exact"/>
        <w:rPr>
          <w:rFonts w:ascii="黑体" w:hAnsi="黑体" w:eastAsia="黑体" w:cs="黑体"/>
          <w:sz w:val="32"/>
          <w:szCs w:val="40"/>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TOC \o "1-2" \h \u </w:instrText>
      </w:r>
      <w:r>
        <w:rPr>
          <w:rFonts w:hint="eastAsia" w:ascii="宋体" w:hAnsi="宋体" w:eastAsia="宋体" w:cs="宋体"/>
          <w:sz w:val="32"/>
          <w:szCs w:val="32"/>
        </w:rPr>
        <w:fldChar w:fldCharType="separate"/>
      </w:r>
      <w:r>
        <w:fldChar w:fldCharType="begin"/>
      </w:r>
      <w:r>
        <w:instrText xml:space="preserve"> HYPERLINK \l "_Toc25639" </w:instrText>
      </w:r>
      <w:r>
        <w:fldChar w:fldCharType="separate"/>
      </w:r>
      <w:r>
        <w:rPr>
          <w:rFonts w:hint="eastAsia" w:ascii="黑体" w:hAnsi="黑体" w:eastAsia="黑体" w:cs="黑体"/>
          <w:sz w:val="32"/>
          <w:szCs w:val="40"/>
        </w:rPr>
        <w:t>前 言</w:t>
      </w:r>
      <w:r>
        <w:rPr>
          <w:rFonts w:hint="eastAsia" w:ascii="黑体" w:hAnsi="黑体" w:eastAsia="黑体" w:cs="黑体"/>
          <w:sz w:val="32"/>
          <w:szCs w:val="40"/>
        </w:rPr>
        <w:tab/>
      </w:r>
      <w:r>
        <w:rPr>
          <w:rFonts w:hint="eastAsia" w:ascii="黑体" w:hAnsi="黑体" w:eastAsia="黑体" w:cs="黑体"/>
          <w:sz w:val="32"/>
          <w:szCs w:val="40"/>
        </w:rPr>
        <w:fldChar w:fldCharType="begin"/>
      </w:r>
      <w:r>
        <w:rPr>
          <w:rFonts w:hint="eastAsia" w:ascii="黑体" w:hAnsi="黑体" w:eastAsia="黑体" w:cs="黑体"/>
          <w:sz w:val="32"/>
          <w:szCs w:val="40"/>
        </w:rPr>
        <w:instrText xml:space="preserve"> PAGEREF _Toc25639 \h </w:instrText>
      </w:r>
      <w:r>
        <w:rPr>
          <w:rFonts w:hint="eastAsia" w:ascii="黑体" w:hAnsi="黑体" w:eastAsia="黑体" w:cs="黑体"/>
          <w:sz w:val="32"/>
          <w:szCs w:val="40"/>
        </w:rPr>
        <w:fldChar w:fldCharType="separate"/>
      </w:r>
      <w:r>
        <w:rPr>
          <w:rFonts w:ascii="黑体" w:hAnsi="黑体" w:eastAsia="黑体" w:cs="黑体"/>
          <w:sz w:val="32"/>
          <w:szCs w:val="40"/>
        </w:rPr>
        <w:t>1</w:t>
      </w:r>
      <w:r>
        <w:rPr>
          <w:rFonts w:hint="eastAsia" w:ascii="黑体" w:hAnsi="黑体" w:eastAsia="黑体" w:cs="黑体"/>
          <w:sz w:val="32"/>
          <w:szCs w:val="40"/>
        </w:rPr>
        <w:fldChar w:fldCharType="end"/>
      </w:r>
      <w:r>
        <w:rPr>
          <w:rFonts w:hint="eastAsia" w:ascii="黑体" w:hAnsi="黑体" w:eastAsia="黑体" w:cs="黑体"/>
          <w:sz w:val="32"/>
          <w:szCs w:val="40"/>
        </w:rPr>
        <w:fldChar w:fldCharType="end"/>
      </w:r>
    </w:p>
    <w:p>
      <w:pPr>
        <w:tabs>
          <w:tab w:val="right" w:leader="dot" w:pos="8306"/>
        </w:tabs>
        <w:spacing w:line="600" w:lineRule="exact"/>
        <w:rPr>
          <w:rFonts w:ascii="Calibri" w:hAnsi="Calibri" w:eastAsia="宋体" w:cs="Times New Roman"/>
          <w:szCs w:val="24"/>
        </w:rPr>
      </w:pPr>
      <w:r>
        <w:fldChar w:fldCharType="begin"/>
      </w:r>
      <w:r>
        <w:instrText xml:space="preserve"> HYPERLINK \l "_Toc30496" </w:instrText>
      </w:r>
      <w:r>
        <w:fldChar w:fldCharType="separate"/>
      </w:r>
      <w:r>
        <w:rPr>
          <w:rFonts w:hint="eastAsia" w:ascii="黑体" w:hAnsi="黑体" w:eastAsia="黑体" w:cs="黑体"/>
          <w:sz w:val="32"/>
          <w:szCs w:val="40"/>
        </w:rPr>
        <w:t>第一章 规划背景</w:t>
      </w:r>
      <w:r>
        <w:rPr>
          <w:rFonts w:hint="eastAsia" w:ascii="黑体" w:hAnsi="黑体" w:eastAsia="黑体" w:cs="黑体"/>
          <w:sz w:val="32"/>
          <w:szCs w:val="40"/>
        </w:rPr>
        <w:tab/>
      </w:r>
      <w:r>
        <w:rPr>
          <w:rFonts w:hint="eastAsia" w:ascii="黑体" w:hAnsi="黑体" w:eastAsia="黑体" w:cs="黑体"/>
          <w:sz w:val="32"/>
          <w:szCs w:val="40"/>
        </w:rPr>
        <w:fldChar w:fldCharType="begin"/>
      </w:r>
      <w:r>
        <w:rPr>
          <w:rFonts w:hint="eastAsia" w:ascii="黑体" w:hAnsi="黑体" w:eastAsia="黑体" w:cs="黑体"/>
          <w:sz w:val="32"/>
          <w:szCs w:val="40"/>
        </w:rPr>
        <w:instrText xml:space="preserve"> PAGEREF _Toc30496 \h </w:instrText>
      </w:r>
      <w:r>
        <w:rPr>
          <w:rFonts w:hint="eastAsia" w:ascii="黑体" w:hAnsi="黑体" w:eastAsia="黑体" w:cs="黑体"/>
          <w:sz w:val="32"/>
          <w:szCs w:val="40"/>
        </w:rPr>
        <w:fldChar w:fldCharType="separate"/>
      </w:r>
      <w:r>
        <w:rPr>
          <w:rFonts w:ascii="黑体" w:hAnsi="黑体" w:eastAsia="黑体" w:cs="黑体"/>
          <w:sz w:val="32"/>
          <w:szCs w:val="40"/>
        </w:rPr>
        <w:t>2</w:t>
      </w:r>
      <w:r>
        <w:rPr>
          <w:rFonts w:hint="eastAsia" w:ascii="黑体" w:hAnsi="黑体" w:eastAsia="黑体" w:cs="黑体"/>
          <w:sz w:val="32"/>
          <w:szCs w:val="40"/>
        </w:rPr>
        <w:fldChar w:fldCharType="end"/>
      </w:r>
      <w:r>
        <w:rPr>
          <w:rFonts w:hint="eastAsia" w:ascii="黑体" w:hAnsi="黑体" w:eastAsia="黑体" w:cs="黑体"/>
          <w:sz w:val="32"/>
          <w:szCs w:val="40"/>
        </w:rPr>
        <w:fldChar w:fldCharType="end"/>
      </w:r>
    </w:p>
    <w:p>
      <w:pPr>
        <w:tabs>
          <w:tab w:val="right" w:leader="dot" w:pos="8306"/>
        </w:tabs>
        <w:spacing w:line="600" w:lineRule="exact"/>
        <w:ind w:left="420" w:leftChars="200"/>
        <w:rPr>
          <w:rFonts w:ascii="楷体" w:hAnsi="楷体" w:eastAsia="楷体" w:cs="楷体"/>
          <w:sz w:val="32"/>
          <w:szCs w:val="40"/>
        </w:rPr>
      </w:pPr>
      <w:r>
        <w:fldChar w:fldCharType="begin"/>
      </w:r>
      <w:r>
        <w:instrText xml:space="preserve"> HYPERLINK \l "_Toc27882" </w:instrText>
      </w:r>
      <w:r>
        <w:fldChar w:fldCharType="separate"/>
      </w:r>
      <w:r>
        <w:rPr>
          <w:rFonts w:hint="eastAsia" w:ascii="楷体" w:hAnsi="楷体" w:eastAsia="楷体" w:cs="楷体"/>
          <w:sz w:val="32"/>
          <w:szCs w:val="40"/>
        </w:rPr>
        <w:t>一、“十三五”时期取得的主要成绩</w:t>
      </w:r>
      <w:r>
        <w:rPr>
          <w:rFonts w:hint="eastAsia" w:ascii="楷体" w:hAnsi="楷体" w:eastAsia="楷体" w:cs="楷体"/>
          <w:sz w:val="32"/>
          <w:szCs w:val="40"/>
        </w:rPr>
        <w:tab/>
      </w:r>
      <w:r>
        <w:rPr>
          <w:rFonts w:hint="eastAsia" w:ascii="楷体" w:hAnsi="楷体" w:eastAsia="楷体" w:cs="楷体"/>
          <w:sz w:val="32"/>
          <w:szCs w:val="40"/>
        </w:rPr>
        <w:fldChar w:fldCharType="begin"/>
      </w:r>
      <w:r>
        <w:rPr>
          <w:rFonts w:hint="eastAsia" w:ascii="楷体" w:hAnsi="楷体" w:eastAsia="楷体" w:cs="楷体"/>
          <w:sz w:val="32"/>
          <w:szCs w:val="40"/>
        </w:rPr>
        <w:instrText xml:space="preserve"> PAGEREF _Toc27882 \h </w:instrText>
      </w:r>
      <w:r>
        <w:rPr>
          <w:rFonts w:hint="eastAsia" w:ascii="楷体" w:hAnsi="楷体" w:eastAsia="楷体" w:cs="楷体"/>
          <w:sz w:val="32"/>
          <w:szCs w:val="40"/>
        </w:rPr>
        <w:fldChar w:fldCharType="separate"/>
      </w:r>
      <w:r>
        <w:rPr>
          <w:rFonts w:ascii="楷体" w:hAnsi="楷体" w:eastAsia="楷体" w:cs="楷体"/>
          <w:sz w:val="32"/>
          <w:szCs w:val="40"/>
        </w:rPr>
        <w:t>2</w:t>
      </w:r>
      <w:r>
        <w:rPr>
          <w:rFonts w:hint="eastAsia" w:ascii="楷体" w:hAnsi="楷体" w:eastAsia="楷体" w:cs="楷体"/>
          <w:sz w:val="32"/>
          <w:szCs w:val="40"/>
        </w:rPr>
        <w:fldChar w:fldCharType="end"/>
      </w:r>
      <w:r>
        <w:rPr>
          <w:rFonts w:hint="eastAsia" w:ascii="楷体" w:hAnsi="楷体" w:eastAsia="楷体" w:cs="楷体"/>
          <w:sz w:val="32"/>
          <w:szCs w:val="40"/>
        </w:rPr>
        <w:fldChar w:fldCharType="end"/>
      </w:r>
    </w:p>
    <w:p>
      <w:pPr>
        <w:tabs>
          <w:tab w:val="right" w:leader="dot" w:pos="8306"/>
        </w:tabs>
        <w:spacing w:line="600" w:lineRule="exact"/>
        <w:ind w:left="420" w:leftChars="200"/>
        <w:rPr>
          <w:rFonts w:ascii="楷体" w:hAnsi="楷体" w:eastAsia="楷体" w:cs="楷体"/>
          <w:sz w:val="32"/>
          <w:szCs w:val="40"/>
        </w:rPr>
      </w:pPr>
      <w:r>
        <w:fldChar w:fldCharType="begin"/>
      </w:r>
      <w:r>
        <w:instrText xml:space="preserve"> HYPERLINK \l "_Toc29081" </w:instrText>
      </w:r>
      <w:r>
        <w:fldChar w:fldCharType="separate"/>
      </w:r>
      <w:r>
        <w:rPr>
          <w:rFonts w:hint="eastAsia" w:ascii="楷体" w:hAnsi="楷体" w:eastAsia="楷体" w:cs="楷体"/>
          <w:sz w:val="32"/>
          <w:szCs w:val="40"/>
        </w:rPr>
        <w:t>二、“十三五”时期存在的主要问题</w:t>
      </w:r>
      <w:r>
        <w:rPr>
          <w:rFonts w:hint="eastAsia" w:ascii="楷体" w:hAnsi="楷体" w:eastAsia="楷体" w:cs="楷体"/>
          <w:sz w:val="32"/>
          <w:szCs w:val="40"/>
        </w:rPr>
        <w:tab/>
      </w:r>
      <w:r>
        <w:rPr>
          <w:rFonts w:hint="eastAsia" w:ascii="楷体" w:hAnsi="楷体" w:eastAsia="楷体" w:cs="楷体"/>
          <w:sz w:val="32"/>
          <w:szCs w:val="40"/>
        </w:rPr>
        <w:fldChar w:fldCharType="begin"/>
      </w:r>
      <w:r>
        <w:rPr>
          <w:rFonts w:hint="eastAsia" w:ascii="楷体" w:hAnsi="楷体" w:eastAsia="楷体" w:cs="楷体"/>
          <w:sz w:val="32"/>
          <w:szCs w:val="40"/>
        </w:rPr>
        <w:instrText xml:space="preserve"> PAGEREF _Toc29081 \h </w:instrText>
      </w:r>
      <w:r>
        <w:rPr>
          <w:rFonts w:hint="eastAsia" w:ascii="楷体" w:hAnsi="楷体" w:eastAsia="楷体" w:cs="楷体"/>
          <w:sz w:val="32"/>
          <w:szCs w:val="40"/>
        </w:rPr>
        <w:fldChar w:fldCharType="separate"/>
      </w:r>
      <w:r>
        <w:rPr>
          <w:rFonts w:ascii="楷体" w:hAnsi="楷体" w:eastAsia="楷体" w:cs="楷体"/>
          <w:sz w:val="32"/>
          <w:szCs w:val="40"/>
        </w:rPr>
        <w:t>4</w:t>
      </w:r>
      <w:r>
        <w:rPr>
          <w:rFonts w:hint="eastAsia" w:ascii="楷体" w:hAnsi="楷体" w:eastAsia="楷体" w:cs="楷体"/>
          <w:sz w:val="32"/>
          <w:szCs w:val="40"/>
        </w:rPr>
        <w:fldChar w:fldCharType="end"/>
      </w:r>
      <w:r>
        <w:rPr>
          <w:rFonts w:hint="eastAsia" w:ascii="楷体" w:hAnsi="楷体" w:eastAsia="楷体" w:cs="楷体"/>
          <w:sz w:val="32"/>
          <w:szCs w:val="40"/>
        </w:rPr>
        <w:fldChar w:fldCharType="end"/>
      </w:r>
    </w:p>
    <w:p>
      <w:pPr>
        <w:tabs>
          <w:tab w:val="right" w:leader="dot" w:pos="8306"/>
        </w:tabs>
        <w:spacing w:line="600" w:lineRule="exact"/>
        <w:ind w:left="420" w:leftChars="200"/>
        <w:rPr>
          <w:rFonts w:ascii="Calibri" w:hAnsi="Calibri" w:eastAsia="宋体" w:cs="Times New Roman"/>
          <w:szCs w:val="24"/>
        </w:rPr>
      </w:pPr>
      <w:r>
        <w:fldChar w:fldCharType="begin"/>
      </w:r>
      <w:r>
        <w:instrText xml:space="preserve"> HYPERLINK \l "_Toc6873" </w:instrText>
      </w:r>
      <w:r>
        <w:fldChar w:fldCharType="separate"/>
      </w:r>
      <w:r>
        <w:rPr>
          <w:rFonts w:hint="eastAsia" w:ascii="楷体" w:hAnsi="楷体" w:eastAsia="楷体" w:cs="楷体"/>
          <w:sz w:val="32"/>
          <w:szCs w:val="40"/>
        </w:rPr>
        <w:t>三、“十四五”时期面临的主要形势</w:t>
      </w:r>
      <w:r>
        <w:rPr>
          <w:rFonts w:hint="eastAsia" w:ascii="楷体" w:hAnsi="楷体" w:eastAsia="楷体" w:cs="楷体"/>
          <w:sz w:val="32"/>
          <w:szCs w:val="40"/>
        </w:rPr>
        <w:tab/>
      </w:r>
      <w:r>
        <w:rPr>
          <w:rFonts w:hint="eastAsia" w:ascii="楷体" w:hAnsi="楷体" w:eastAsia="楷体" w:cs="楷体"/>
          <w:sz w:val="32"/>
          <w:szCs w:val="40"/>
        </w:rPr>
        <w:fldChar w:fldCharType="begin"/>
      </w:r>
      <w:r>
        <w:rPr>
          <w:rFonts w:hint="eastAsia" w:ascii="楷体" w:hAnsi="楷体" w:eastAsia="楷体" w:cs="楷体"/>
          <w:sz w:val="32"/>
          <w:szCs w:val="40"/>
        </w:rPr>
        <w:instrText xml:space="preserve"> PAGEREF _Toc6873 \h </w:instrText>
      </w:r>
      <w:r>
        <w:rPr>
          <w:rFonts w:hint="eastAsia" w:ascii="楷体" w:hAnsi="楷体" w:eastAsia="楷体" w:cs="楷体"/>
          <w:sz w:val="32"/>
          <w:szCs w:val="40"/>
        </w:rPr>
        <w:fldChar w:fldCharType="separate"/>
      </w:r>
      <w:r>
        <w:rPr>
          <w:rFonts w:ascii="楷体" w:hAnsi="楷体" w:eastAsia="楷体" w:cs="楷体"/>
          <w:sz w:val="32"/>
          <w:szCs w:val="40"/>
        </w:rPr>
        <w:t>6</w:t>
      </w:r>
      <w:r>
        <w:rPr>
          <w:rFonts w:hint="eastAsia" w:ascii="楷体" w:hAnsi="楷体" w:eastAsia="楷体" w:cs="楷体"/>
          <w:sz w:val="32"/>
          <w:szCs w:val="40"/>
        </w:rPr>
        <w:fldChar w:fldCharType="end"/>
      </w:r>
      <w:r>
        <w:rPr>
          <w:rFonts w:hint="eastAsia" w:ascii="楷体" w:hAnsi="楷体" w:eastAsia="楷体" w:cs="楷体"/>
          <w:sz w:val="32"/>
          <w:szCs w:val="40"/>
        </w:rPr>
        <w:fldChar w:fldCharType="end"/>
      </w:r>
    </w:p>
    <w:p>
      <w:pPr>
        <w:tabs>
          <w:tab w:val="right" w:leader="dot" w:pos="8306"/>
        </w:tabs>
        <w:spacing w:line="600" w:lineRule="exact"/>
        <w:rPr>
          <w:rFonts w:ascii="黑体" w:hAnsi="黑体" w:eastAsia="黑体" w:cs="黑体"/>
          <w:sz w:val="32"/>
          <w:szCs w:val="48"/>
        </w:rPr>
      </w:pPr>
      <w:r>
        <w:fldChar w:fldCharType="begin"/>
      </w:r>
      <w:r>
        <w:instrText xml:space="preserve"> HYPERLINK \l "_Toc31971" </w:instrText>
      </w:r>
      <w:r>
        <w:fldChar w:fldCharType="separate"/>
      </w:r>
      <w:r>
        <w:rPr>
          <w:rFonts w:hint="eastAsia" w:ascii="黑体" w:hAnsi="黑体" w:eastAsia="黑体" w:cs="黑体"/>
          <w:sz w:val="32"/>
          <w:szCs w:val="48"/>
        </w:rPr>
        <w:t>第二章 指导思想、发展原则和主要目标</w:t>
      </w:r>
      <w:r>
        <w:rPr>
          <w:rFonts w:hint="eastAsia" w:ascii="黑体" w:hAnsi="黑体" w:eastAsia="黑体" w:cs="黑体"/>
          <w:sz w:val="32"/>
          <w:szCs w:val="48"/>
        </w:rPr>
        <w:tab/>
      </w:r>
      <w:r>
        <w:rPr>
          <w:rFonts w:hint="eastAsia" w:ascii="黑体" w:hAnsi="黑体" w:eastAsia="黑体" w:cs="黑体"/>
          <w:sz w:val="32"/>
          <w:szCs w:val="48"/>
        </w:rPr>
        <w:fldChar w:fldCharType="begin"/>
      </w:r>
      <w:r>
        <w:rPr>
          <w:rFonts w:hint="eastAsia" w:ascii="黑体" w:hAnsi="黑体" w:eastAsia="黑体" w:cs="黑体"/>
          <w:sz w:val="32"/>
          <w:szCs w:val="48"/>
        </w:rPr>
        <w:instrText xml:space="preserve"> PAGEREF _Toc31971 \h </w:instrText>
      </w:r>
      <w:r>
        <w:rPr>
          <w:rFonts w:hint="eastAsia" w:ascii="黑体" w:hAnsi="黑体" w:eastAsia="黑体" w:cs="黑体"/>
          <w:sz w:val="32"/>
          <w:szCs w:val="48"/>
        </w:rPr>
        <w:fldChar w:fldCharType="separate"/>
      </w:r>
      <w:r>
        <w:rPr>
          <w:rFonts w:ascii="黑体" w:hAnsi="黑体" w:eastAsia="黑体" w:cs="黑体"/>
          <w:sz w:val="32"/>
          <w:szCs w:val="48"/>
        </w:rPr>
        <w:t>11</w:t>
      </w:r>
      <w:r>
        <w:rPr>
          <w:rFonts w:hint="eastAsia" w:ascii="黑体" w:hAnsi="黑体" w:eastAsia="黑体" w:cs="黑体"/>
          <w:sz w:val="32"/>
          <w:szCs w:val="48"/>
        </w:rPr>
        <w:fldChar w:fldCharType="end"/>
      </w:r>
      <w:r>
        <w:rPr>
          <w:rFonts w:hint="eastAsia" w:ascii="黑体" w:hAnsi="黑体" w:eastAsia="黑体" w:cs="黑体"/>
          <w:sz w:val="32"/>
          <w:szCs w:val="48"/>
        </w:rPr>
        <w:fldChar w:fldCharType="end"/>
      </w:r>
    </w:p>
    <w:p>
      <w:pPr>
        <w:tabs>
          <w:tab w:val="right" w:leader="dot" w:pos="8306"/>
        </w:tabs>
        <w:spacing w:line="600" w:lineRule="exact"/>
        <w:ind w:left="420" w:leftChars="200"/>
        <w:rPr>
          <w:rFonts w:ascii="楷体" w:hAnsi="楷体" w:eastAsia="楷体" w:cs="楷体"/>
          <w:sz w:val="32"/>
          <w:szCs w:val="48"/>
        </w:rPr>
      </w:pPr>
      <w:r>
        <w:fldChar w:fldCharType="begin"/>
      </w:r>
      <w:r>
        <w:instrText xml:space="preserve"> HYPERLINK \l "_Toc29275" </w:instrText>
      </w:r>
      <w:r>
        <w:fldChar w:fldCharType="separate"/>
      </w:r>
      <w:r>
        <w:rPr>
          <w:rFonts w:hint="eastAsia" w:ascii="楷体" w:hAnsi="楷体" w:eastAsia="楷体" w:cs="楷体"/>
          <w:sz w:val="32"/>
          <w:szCs w:val="48"/>
        </w:rPr>
        <w:t>一、指导思想</w:t>
      </w:r>
      <w:r>
        <w:rPr>
          <w:rFonts w:hint="eastAsia" w:ascii="楷体" w:hAnsi="楷体" w:eastAsia="楷体" w:cs="楷体"/>
          <w:sz w:val="32"/>
          <w:szCs w:val="48"/>
        </w:rPr>
        <w:tab/>
      </w:r>
      <w:r>
        <w:rPr>
          <w:rFonts w:hint="eastAsia" w:ascii="楷体" w:hAnsi="楷体" w:eastAsia="楷体" w:cs="楷体"/>
          <w:sz w:val="32"/>
          <w:szCs w:val="48"/>
        </w:rPr>
        <w:fldChar w:fldCharType="begin"/>
      </w:r>
      <w:r>
        <w:rPr>
          <w:rFonts w:hint="eastAsia" w:ascii="楷体" w:hAnsi="楷体" w:eastAsia="楷体" w:cs="楷体"/>
          <w:sz w:val="32"/>
          <w:szCs w:val="48"/>
        </w:rPr>
        <w:instrText xml:space="preserve"> PAGEREF _Toc29275 \h </w:instrText>
      </w:r>
      <w:r>
        <w:rPr>
          <w:rFonts w:hint="eastAsia" w:ascii="楷体" w:hAnsi="楷体" w:eastAsia="楷体" w:cs="楷体"/>
          <w:sz w:val="32"/>
          <w:szCs w:val="48"/>
        </w:rPr>
        <w:fldChar w:fldCharType="separate"/>
      </w:r>
      <w:r>
        <w:rPr>
          <w:rFonts w:ascii="楷体" w:hAnsi="楷体" w:eastAsia="楷体" w:cs="楷体"/>
          <w:sz w:val="32"/>
          <w:szCs w:val="48"/>
        </w:rPr>
        <w:t>11</w:t>
      </w:r>
      <w:r>
        <w:rPr>
          <w:rFonts w:hint="eastAsia" w:ascii="楷体" w:hAnsi="楷体" w:eastAsia="楷体" w:cs="楷体"/>
          <w:sz w:val="32"/>
          <w:szCs w:val="48"/>
        </w:rPr>
        <w:fldChar w:fldCharType="end"/>
      </w:r>
      <w:r>
        <w:rPr>
          <w:rFonts w:hint="eastAsia" w:ascii="楷体" w:hAnsi="楷体" w:eastAsia="楷体" w:cs="楷体"/>
          <w:sz w:val="32"/>
          <w:szCs w:val="48"/>
        </w:rPr>
        <w:fldChar w:fldCharType="end"/>
      </w:r>
    </w:p>
    <w:p>
      <w:pPr>
        <w:tabs>
          <w:tab w:val="right" w:leader="dot" w:pos="8306"/>
        </w:tabs>
        <w:spacing w:line="600" w:lineRule="exact"/>
        <w:ind w:left="420" w:leftChars="200"/>
        <w:rPr>
          <w:rFonts w:ascii="楷体" w:hAnsi="楷体" w:eastAsia="楷体" w:cs="楷体"/>
          <w:sz w:val="32"/>
          <w:szCs w:val="48"/>
        </w:rPr>
      </w:pPr>
      <w:r>
        <w:fldChar w:fldCharType="begin"/>
      </w:r>
      <w:r>
        <w:instrText xml:space="preserve"> HYPERLINK \l "_Toc24670" </w:instrText>
      </w:r>
      <w:r>
        <w:fldChar w:fldCharType="separate"/>
      </w:r>
      <w:r>
        <w:rPr>
          <w:rFonts w:hint="eastAsia" w:ascii="楷体" w:hAnsi="楷体" w:eastAsia="楷体" w:cs="楷体"/>
          <w:sz w:val="32"/>
          <w:szCs w:val="48"/>
        </w:rPr>
        <w:t>二、发展原则</w:t>
      </w:r>
      <w:r>
        <w:rPr>
          <w:rFonts w:hint="eastAsia" w:ascii="楷体" w:hAnsi="楷体" w:eastAsia="楷体" w:cs="楷体"/>
          <w:sz w:val="32"/>
          <w:szCs w:val="48"/>
        </w:rPr>
        <w:tab/>
      </w:r>
      <w:r>
        <w:rPr>
          <w:rFonts w:hint="eastAsia" w:ascii="楷体" w:hAnsi="楷体" w:eastAsia="楷体" w:cs="楷体"/>
          <w:sz w:val="32"/>
          <w:szCs w:val="48"/>
        </w:rPr>
        <w:fldChar w:fldCharType="begin"/>
      </w:r>
      <w:r>
        <w:rPr>
          <w:rFonts w:hint="eastAsia" w:ascii="楷体" w:hAnsi="楷体" w:eastAsia="楷体" w:cs="楷体"/>
          <w:sz w:val="32"/>
          <w:szCs w:val="48"/>
        </w:rPr>
        <w:instrText xml:space="preserve"> PAGEREF _Toc24670 \h </w:instrText>
      </w:r>
      <w:r>
        <w:rPr>
          <w:rFonts w:hint="eastAsia" w:ascii="楷体" w:hAnsi="楷体" w:eastAsia="楷体" w:cs="楷体"/>
          <w:sz w:val="32"/>
          <w:szCs w:val="48"/>
        </w:rPr>
        <w:fldChar w:fldCharType="separate"/>
      </w:r>
      <w:r>
        <w:rPr>
          <w:rFonts w:ascii="楷体" w:hAnsi="楷体" w:eastAsia="楷体" w:cs="楷体"/>
          <w:sz w:val="32"/>
          <w:szCs w:val="48"/>
        </w:rPr>
        <w:t>12</w:t>
      </w:r>
      <w:r>
        <w:rPr>
          <w:rFonts w:hint="eastAsia" w:ascii="楷体" w:hAnsi="楷体" w:eastAsia="楷体" w:cs="楷体"/>
          <w:sz w:val="32"/>
          <w:szCs w:val="48"/>
        </w:rPr>
        <w:fldChar w:fldCharType="end"/>
      </w:r>
      <w:r>
        <w:rPr>
          <w:rFonts w:hint="eastAsia" w:ascii="楷体" w:hAnsi="楷体" w:eastAsia="楷体" w:cs="楷体"/>
          <w:sz w:val="32"/>
          <w:szCs w:val="48"/>
        </w:rPr>
        <w:fldChar w:fldCharType="end"/>
      </w:r>
    </w:p>
    <w:p>
      <w:pPr>
        <w:tabs>
          <w:tab w:val="right" w:leader="dot" w:pos="8306"/>
        </w:tabs>
        <w:spacing w:line="600" w:lineRule="exact"/>
        <w:ind w:left="420" w:leftChars="200"/>
        <w:rPr>
          <w:rFonts w:ascii="Calibri" w:hAnsi="Calibri" w:eastAsia="宋体" w:cs="Times New Roman"/>
          <w:szCs w:val="24"/>
        </w:rPr>
      </w:pPr>
      <w:r>
        <w:fldChar w:fldCharType="begin"/>
      </w:r>
      <w:r>
        <w:instrText xml:space="preserve"> HYPERLINK \l "_Toc1921" </w:instrText>
      </w:r>
      <w:r>
        <w:fldChar w:fldCharType="separate"/>
      </w:r>
      <w:r>
        <w:rPr>
          <w:rFonts w:hint="eastAsia" w:ascii="楷体" w:hAnsi="楷体" w:eastAsia="楷体" w:cs="楷体"/>
          <w:sz w:val="32"/>
          <w:szCs w:val="48"/>
        </w:rPr>
        <w:t>三、主要目标</w:t>
      </w:r>
      <w:r>
        <w:rPr>
          <w:rFonts w:hint="eastAsia" w:ascii="楷体" w:hAnsi="楷体" w:eastAsia="楷体" w:cs="楷体"/>
          <w:sz w:val="32"/>
          <w:szCs w:val="48"/>
        </w:rPr>
        <w:tab/>
      </w:r>
      <w:r>
        <w:rPr>
          <w:rFonts w:hint="eastAsia" w:ascii="楷体" w:hAnsi="楷体" w:eastAsia="楷体" w:cs="楷体"/>
          <w:sz w:val="32"/>
          <w:szCs w:val="48"/>
        </w:rPr>
        <w:fldChar w:fldCharType="begin"/>
      </w:r>
      <w:r>
        <w:rPr>
          <w:rFonts w:hint="eastAsia" w:ascii="楷体" w:hAnsi="楷体" w:eastAsia="楷体" w:cs="楷体"/>
          <w:sz w:val="32"/>
          <w:szCs w:val="48"/>
        </w:rPr>
        <w:instrText xml:space="preserve"> PAGEREF _Toc1921 \h </w:instrText>
      </w:r>
      <w:r>
        <w:rPr>
          <w:rFonts w:hint="eastAsia" w:ascii="楷体" w:hAnsi="楷体" w:eastAsia="楷体" w:cs="楷体"/>
          <w:sz w:val="32"/>
          <w:szCs w:val="48"/>
        </w:rPr>
        <w:fldChar w:fldCharType="separate"/>
      </w:r>
      <w:r>
        <w:rPr>
          <w:rFonts w:ascii="楷体" w:hAnsi="楷体" w:eastAsia="楷体" w:cs="楷体"/>
          <w:sz w:val="32"/>
          <w:szCs w:val="48"/>
        </w:rPr>
        <w:t>13</w:t>
      </w:r>
      <w:r>
        <w:rPr>
          <w:rFonts w:hint="eastAsia" w:ascii="楷体" w:hAnsi="楷体" w:eastAsia="楷体" w:cs="楷体"/>
          <w:sz w:val="32"/>
          <w:szCs w:val="48"/>
        </w:rPr>
        <w:fldChar w:fldCharType="end"/>
      </w:r>
      <w:r>
        <w:rPr>
          <w:rFonts w:hint="eastAsia" w:ascii="楷体" w:hAnsi="楷体" w:eastAsia="楷体" w:cs="楷体"/>
          <w:sz w:val="32"/>
          <w:szCs w:val="48"/>
        </w:rPr>
        <w:fldChar w:fldCharType="end"/>
      </w:r>
    </w:p>
    <w:p>
      <w:pPr>
        <w:tabs>
          <w:tab w:val="right" w:leader="dot" w:pos="8306"/>
        </w:tabs>
        <w:spacing w:line="600" w:lineRule="exact"/>
        <w:rPr>
          <w:rFonts w:ascii="黑体" w:hAnsi="黑体" w:eastAsia="黑体" w:cs="黑体"/>
          <w:sz w:val="32"/>
          <w:szCs w:val="48"/>
        </w:rPr>
      </w:pPr>
      <w:r>
        <w:fldChar w:fldCharType="begin"/>
      </w:r>
      <w:r>
        <w:instrText xml:space="preserve"> HYPERLINK \l "_Toc26951" </w:instrText>
      </w:r>
      <w:r>
        <w:fldChar w:fldCharType="separate"/>
      </w:r>
      <w:r>
        <w:rPr>
          <w:rFonts w:hint="eastAsia" w:ascii="黑体" w:hAnsi="黑体" w:eastAsia="黑体" w:cs="黑体"/>
          <w:sz w:val="32"/>
          <w:szCs w:val="48"/>
        </w:rPr>
        <w:t>第三章 主要任务</w:t>
      </w:r>
      <w:r>
        <w:rPr>
          <w:rFonts w:hint="eastAsia" w:ascii="黑体" w:hAnsi="黑体" w:eastAsia="黑体" w:cs="黑体"/>
          <w:sz w:val="32"/>
          <w:szCs w:val="48"/>
        </w:rPr>
        <w:tab/>
      </w:r>
      <w:r>
        <w:rPr>
          <w:rFonts w:hint="eastAsia" w:ascii="黑体" w:hAnsi="黑体" w:eastAsia="黑体" w:cs="黑体"/>
          <w:sz w:val="32"/>
          <w:szCs w:val="48"/>
        </w:rPr>
        <w:fldChar w:fldCharType="begin"/>
      </w:r>
      <w:r>
        <w:rPr>
          <w:rFonts w:hint="eastAsia" w:ascii="黑体" w:hAnsi="黑体" w:eastAsia="黑体" w:cs="黑体"/>
          <w:sz w:val="32"/>
          <w:szCs w:val="48"/>
        </w:rPr>
        <w:instrText xml:space="preserve"> PAGEREF _Toc26951 \h </w:instrText>
      </w:r>
      <w:r>
        <w:rPr>
          <w:rFonts w:hint="eastAsia" w:ascii="黑体" w:hAnsi="黑体" w:eastAsia="黑体" w:cs="黑体"/>
          <w:sz w:val="32"/>
          <w:szCs w:val="48"/>
        </w:rPr>
        <w:fldChar w:fldCharType="separate"/>
      </w:r>
      <w:r>
        <w:rPr>
          <w:rFonts w:ascii="黑体" w:hAnsi="黑体" w:eastAsia="黑体" w:cs="黑体"/>
          <w:sz w:val="32"/>
          <w:szCs w:val="48"/>
        </w:rPr>
        <w:t>17</w:t>
      </w:r>
      <w:r>
        <w:rPr>
          <w:rFonts w:hint="eastAsia" w:ascii="黑体" w:hAnsi="黑体" w:eastAsia="黑体" w:cs="黑体"/>
          <w:sz w:val="32"/>
          <w:szCs w:val="48"/>
        </w:rPr>
        <w:fldChar w:fldCharType="end"/>
      </w:r>
      <w:r>
        <w:rPr>
          <w:rFonts w:hint="eastAsia" w:ascii="黑体" w:hAnsi="黑体" w:eastAsia="黑体" w:cs="黑体"/>
          <w:sz w:val="32"/>
          <w:szCs w:val="48"/>
        </w:rPr>
        <w:fldChar w:fldCharType="end"/>
      </w:r>
    </w:p>
    <w:p>
      <w:pPr>
        <w:tabs>
          <w:tab w:val="right" w:leader="dot" w:pos="8306"/>
        </w:tabs>
        <w:spacing w:line="600" w:lineRule="exact"/>
        <w:ind w:left="420" w:leftChars="200"/>
        <w:rPr>
          <w:rFonts w:ascii="楷体" w:hAnsi="楷体" w:eastAsia="楷体" w:cs="楷体"/>
          <w:sz w:val="32"/>
          <w:szCs w:val="48"/>
        </w:rPr>
      </w:pPr>
      <w:r>
        <w:fldChar w:fldCharType="begin"/>
      </w:r>
      <w:r>
        <w:instrText xml:space="preserve"> HYPERLINK \l "_Toc32344" </w:instrText>
      </w:r>
      <w:r>
        <w:fldChar w:fldCharType="separate"/>
      </w:r>
      <w:r>
        <w:rPr>
          <w:rFonts w:hint="eastAsia" w:ascii="楷体" w:hAnsi="楷体" w:eastAsia="楷体" w:cs="楷体"/>
          <w:sz w:val="32"/>
          <w:szCs w:val="48"/>
        </w:rPr>
        <w:t>一、完善火灾风险防范化解体系</w:t>
      </w:r>
      <w:r>
        <w:rPr>
          <w:rFonts w:hint="eastAsia" w:ascii="楷体" w:hAnsi="楷体" w:eastAsia="楷体" w:cs="楷体"/>
          <w:sz w:val="32"/>
          <w:szCs w:val="48"/>
        </w:rPr>
        <w:tab/>
      </w:r>
      <w:r>
        <w:rPr>
          <w:rFonts w:hint="eastAsia" w:ascii="楷体" w:hAnsi="楷体" w:eastAsia="楷体" w:cs="楷体"/>
          <w:sz w:val="32"/>
          <w:szCs w:val="48"/>
        </w:rPr>
        <w:fldChar w:fldCharType="begin"/>
      </w:r>
      <w:r>
        <w:rPr>
          <w:rFonts w:hint="eastAsia" w:ascii="楷体" w:hAnsi="楷体" w:eastAsia="楷体" w:cs="楷体"/>
          <w:sz w:val="32"/>
          <w:szCs w:val="48"/>
        </w:rPr>
        <w:instrText xml:space="preserve"> PAGEREF _Toc32344 \h </w:instrText>
      </w:r>
      <w:r>
        <w:rPr>
          <w:rFonts w:hint="eastAsia" w:ascii="楷体" w:hAnsi="楷体" w:eastAsia="楷体" w:cs="楷体"/>
          <w:sz w:val="32"/>
          <w:szCs w:val="48"/>
        </w:rPr>
        <w:fldChar w:fldCharType="separate"/>
      </w:r>
      <w:r>
        <w:rPr>
          <w:rFonts w:ascii="楷体" w:hAnsi="楷体" w:eastAsia="楷体" w:cs="楷体"/>
          <w:sz w:val="32"/>
          <w:szCs w:val="48"/>
        </w:rPr>
        <w:t>17</w:t>
      </w:r>
      <w:r>
        <w:rPr>
          <w:rFonts w:hint="eastAsia" w:ascii="楷体" w:hAnsi="楷体" w:eastAsia="楷体" w:cs="楷体"/>
          <w:sz w:val="32"/>
          <w:szCs w:val="48"/>
        </w:rPr>
        <w:fldChar w:fldCharType="end"/>
      </w:r>
      <w:r>
        <w:rPr>
          <w:rFonts w:hint="eastAsia" w:ascii="楷体" w:hAnsi="楷体" w:eastAsia="楷体" w:cs="楷体"/>
          <w:sz w:val="32"/>
          <w:szCs w:val="48"/>
        </w:rPr>
        <w:fldChar w:fldCharType="end"/>
      </w:r>
    </w:p>
    <w:p>
      <w:pPr>
        <w:tabs>
          <w:tab w:val="right" w:leader="dot" w:pos="8306"/>
        </w:tabs>
        <w:spacing w:line="600" w:lineRule="exact"/>
        <w:ind w:left="420" w:leftChars="200"/>
        <w:rPr>
          <w:rFonts w:ascii="楷体" w:hAnsi="楷体" w:eastAsia="楷体" w:cs="楷体"/>
          <w:sz w:val="32"/>
          <w:szCs w:val="48"/>
        </w:rPr>
      </w:pPr>
      <w:r>
        <w:fldChar w:fldCharType="begin"/>
      </w:r>
      <w:r>
        <w:instrText xml:space="preserve"> HYPERLINK \l "_Toc4142" </w:instrText>
      </w:r>
      <w:r>
        <w:fldChar w:fldCharType="separate"/>
      </w:r>
      <w:r>
        <w:rPr>
          <w:rFonts w:hint="eastAsia" w:ascii="楷体" w:hAnsi="楷体" w:eastAsia="楷体" w:cs="楷体"/>
          <w:sz w:val="32"/>
          <w:szCs w:val="48"/>
        </w:rPr>
        <w:t>二、健全灾害事故应对处置体系</w:t>
      </w:r>
      <w:r>
        <w:rPr>
          <w:rFonts w:hint="eastAsia" w:ascii="楷体" w:hAnsi="楷体" w:eastAsia="楷体" w:cs="楷体"/>
          <w:sz w:val="32"/>
          <w:szCs w:val="48"/>
        </w:rPr>
        <w:tab/>
      </w:r>
      <w:r>
        <w:rPr>
          <w:rFonts w:hint="eastAsia" w:ascii="楷体" w:hAnsi="楷体" w:eastAsia="楷体" w:cs="楷体"/>
          <w:sz w:val="32"/>
          <w:szCs w:val="48"/>
        </w:rPr>
        <w:fldChar w:fldCharType="begin"/>
      </w:r>
      <w:r>
        <w:rPr>
          <w:rFonts w:hint="eastAsia" w:ascii="楷体" w:hAnsi="楷体" w:eastAsia="楷体" w:cs="楷体"/>
          <w:sz w:val="32"/>
          <w:szCs w:val="48"/>
        </w:rPr>
        <w:instrText xml:space="preserve"> PAGEREF _Toc4142 \h </w:instrText>
      </w:r>
      <w:r>
        <w:rPr>
          <w:rFonts w:hint="eastAsia" w:ascii="楷体" w:hAnsi="楷体" w:eastAsia="楷体" w:cs="楷体"/>
          <w:sz w:val="32"/>
          <w:szCs w:val="48"/>
        </w:rPr>
        <w:fldChar w:fldCharType="separate"/>
      </w:r>
      <w:r>
        <w:rPr>
          <w:rFonts w:ascii="楷体" w:hAnsi="楷体" w:eastAsia="楷体" w:cs="楷体"/>
          <w:sz w:val="32"/>
          <w:szCs w:val="48"/>
        </w:rPr>
        <w:t>22</w:t>
      </w:r>
      <w:r>
        <w:rPr>
          <w:rFonts w:hint="eastAsia" w:ascii="楷体" w:hAnsi="楷体" w:eastAsia="楷体" w:cs="楷体"/>
          <w:sz w:val="32"/>
          <w:szCs w:val="48"/>
        </w:rPr>
        <w:fldChar w:fldCharType="end"/>
      </w:r>
      <w:r>
        <w:rPr>
          <w:rFonts w:hint="eastAsia" w:ascii="楷体" w:hAnsi="楷体" w:eastAsia="楷体" w:cs="楷体"/>
          <w:sz w:val="32"/>
          <w:szCs w:val="48"/>
        </w:rPr>
        <w:fldChar w:fldCharType="end"/>
      </w:r>
    </w:p>
    <w:p>
      <w:pPr>
        <w:tabs>
          <w:tab w:val="right" w:leader="dot" w:pos="8306"/>
        </w:tabs>
        <w:spacing w:line="600" w:lineRule="exact"/>
        <w:ind w:left="420" w:leftChars="200"/>
        <w:rPr>
          <w:rFonts w:ascii="楷体" w:hAnsi="楷体" w:eastAsia="楷体" w:cs="楷体"/>
          <w:sz w:val="32"/>
          <w:szCs w:val="48"/>
        </w:rPr>
      </w:pPr>
      <w:r>
        <w:fldChar w:fldCharType="begin"/>
      </w:r>
      <w:r>
        <w:instrText xml:space="preserve"> HYPERLINK \l "_Toc9985" </w:instrText>
      </w:r>
      <w:r>
        <w:fldChar w:fldCharType="separate"/>
      </w:r>
      <w:r>
        <w:rPr>
          <w:rFonts w:hint="eastAsia" w:ascii="楷体" w:hAnsi="楷体" w:eastAsia="楷体" w:cs="楷体"/>
          <w:sz w:val="32"/>
          <w:szCs w:val="48"/>
        </w:rPr>
        <w:t>三、优化筑牢消防救援保障体系</w:t>
      </w:r>
      <w:r>
        <w:rPr>
          <w:rFonts w:hint="eastAsia" w:ascii="楷体" w:hAnsi="楷体" w:eastAsia="楷体" w:cs="楷体"/>
          <w:sz w:val="32"/>
          <w:szCs w:val="48"/>
        </w:rPr>
        <w:tab/>
      </w:r>
      <w:r>
        <w:rPr>
          <w:rFonts w:hint="eastAsia" w:ascii="楷体" w:hAnsi="楷体" w:eastAsia="楷体" w:cs="楷体"/>
          <w:sz w:val="32"/>
          <w:szCs w:val="48"/>
        </w:rPr>
        <w:fldChar w:fldCharType="begin"/>
      </w:r>
      <w:r>
        <w:rPr>
          <w:rFonts w:hint="eastAsia" w:ascii="楷体" w:hAnsi="楷体" w:eastAsia="楷体" w:cs="楷体"/>
          <w:sz w:val="32"/>
          <w:szCs w:val="48"/>
        </w:rPr>
        <w:instrText xml:space="preserve"> PAGEREF _Toc9985 \h </w:instrText>
      </w:r>
      <w:r>
        <w:rPr>
          <w:rFonts w:hint="eastAsia" w:ascii="楷体" w:hAnsi="楷体" w:eastAsia="楷体" w:cs="楷体"/>
          <w:sz w:val="32"/>
          <w:szCs w:val="48"/>
        </w:rPr>
        <w:fldChar w:fldCharType="separate"/>
      </w:r>
      <w:r>
        <w:rPr>
          <w:rFonts w:ascii="楷体" w:hAnsi="楷体" w:eastAsia="楷体" w:cs="楷体"/>
          <w:sz w:val="32"/>
          <w:szCs w:val="48"/>
        </w:rPr>
        <w:t>25</w:t>
      </w:r>
      <w:r>
        <w:rPr>
          <w:rFonts w:hint="eastAsia" w:ascii="楷体" w:hAnsi="楷体" w:eastAsia="楷体" w:cs="楷体"/>
          <w:sz w:val="32"/>
          <w:szCs w:val="48"/>
        </w:rPr>
        <w:fldChar w:fldCharType="end"/>
      </w:r>
      <w:r>
        <w:rPr>
          <w:rFonts w:hint="eastAsia" w:ascii="楷体" w:hAnsi="楷体" w:eastAsia="楷体" w:cs="楷体"/>
          <w:sz w:val="32"/>
          <w:szCs w:val="48"/>
        </w:rPr>
        <w:fldChar w:fldCharType="end"/>
      </w:r>
    </w:p>
    <w:p>
      <w:pPr>
        <w:tabs>
          <w:tab w:val="right" w:leader="dot" w:pos="8306"/>
        </w:tabs>
        <w:spacing w:line="600" w:lineRule="exact"/>
        <w:ind w:left="420" w:leftChars="200"/>
        <w:rPr>
          <w:rFonts w:ascii="Calibri" w:hAnsi="Calibri" w:eastAsia="宋体" w:cs="Times New Roman"/>
          <w:szCs w:val="24"/>
        </w:rPr>
      </w:pPr>
      <w:r>
        <w:fldChar w:fldCharType="begin"/>
      </w:r>
      <w:r>
        <w:instrText xml:space="preserve"> HYPERLINK \l "_Toc32569" </w:instrText>
      </w:r>
      <w:r>
        <w:fldChar w:fldCharType="separate"/>
      </w:r>
      <w:r>
        <w:rPr>
          <w:rFonts w:hint="eastAsia" w:ascii="楷体" w:hAnsi="楷体" w:eastAsia="楷体" w:cs="楷体"/>
          <w:sz w:val="32"/>
          <w:szCs w:val="48"/>
        </w:rPr>
        <w:t>四、完善提升消防信息化支撑体系</w:t>
      </w:r>
      <w:r>
        <w:rPr>
          <w:rFonts w:hint="eastAsia" w:ascii="楷体" w:hAnsi="楷体" w:eastAsia="楷体" w:cs="楷体"/>
          <w:sz w:val="32"/>
          <w:szCs w:val="48"/>
        </w:rPr>
        <w:tab/>
      </w:r>
      <w:r>
        <w:rPr>
          <w:rFonts w:hint="eastAsia" w:ascii="楷体" w:hAnsi="楷体" w:eastAsia="楷体" w:cs="楷体"/>
          <w:sz w:val="32"/>
          <w:szCs w:val="48"/>
        </w:rPr>
        <w:fldChar w:fldCharType="begin"/>
      </w:r>
      <w:r>
        <w:rPr>
          <w:rFonts w:hint="eastAsia" w:ascii="楷体" w:hAnsi="楷体" w:eastAsia="楷体" w:cs="楷体"/>
          <w:sz w:val="32"/>
          <w:szCs w:val="48"/>
        </w:rPr>
        <w:instrText xml:space="preserve"> PAGEREF _Toc32569 \h </w:instrText>
      </w:r>
      <w:r>
        <w:rPr>
          <w:rFonts w:hint="eastAsia" w:ascii="楷体" w:hAnsi="楷体" w:eastAsia="楷体" w:cs="楷体"/>
          <w:sz w:val="32"/>
          <w:szCs w:val="48"/>
        </w:rPr>
        <w:fldChar w:fldCharType="separate"/>
      </w:r>
      <w:r>
        <w:rPr>
          <w:rFonts w:ascii="楷体" w:hAnsi="楷体" w:eastAsia="楷体" w:cs="楷体"/>
          <w:sz w:val="32"/>
          <w:szCs w:val="48"/>
        </w:rPr>
        <w:t>28</w:t>
      </w:r>
      <w:r>
        <w:rPr>
          <w:rFonts w:hint="eastAsia" w:ascii="楷体" w:hAnsi="楷体" w:eastAsia="楷体" w:cs="楷体"/>
          <w:sz w:val="32"/>
          <w:szCs w:val="48"/>
        </w:rPr>
        <w:fldChar w:fldCharType="end"/>
      </w:r>
      <w:r>
        <w:rPr>
          <w:rFonts w:hint="eastAsia" w:ascii="楷体" w:hAnsi="楷体" w:eastAsia="楷体" w:cs="楷体"/>
          <w:sz w:val="32"/>
          <w:szCs w:val="48"/>
        </w:rPr>
        <w:fldChar w:fldCharType="end"/>
      </w:r>
    </w:p>
    <w:p>
      <w:pPr>
        <w:tabs>
          <w:tab w:val="right" w:leader="dot" w:pos="8306"/>
        </w:tabs>
        <w:spacing w:line="600" w:lineRule="exact"/>
        <w:rPr>
          <w:rFonts w:ascii="黑体" w:hAnsi="黑体" w:eastAsia="黑体" w:cs="黑体"/>
          <w:sz w:val="32"/>
          <w:szCs w:val="48"/>
        </w:rPr>
      </w:pPr>
      <w:r>
        <w:fldChar w:fldCharType="begin"/>
      </w:r>
      <w:r>
        <w:instrText xml:space="preserve"> HYPERLINK \l "_Toc23402" </w:instrText>
      </w:r>
      <w:r>
        <w:fldChar w:fldCharType="separate"/>
      </w:r>
      <w:r>
        <w:rPr>
          <w:rFonts w:hint="eastAsia" w:ascii="黑体" w:hAnsi="黑体" w:eastAsia="黑体" w:cs="黑体"/>
          <w:sz w:val="32"/>
          <w:szCs w:val="48"/>
        </w:rPr>
        <w:t>第四章 重大项目</w:t>
      </w:r>
      <w:r>
        <w:rPr>
          <w:rFonts w:hint="eastAsia" w:ascii="黑体" w:hAnsi="黑体" w:eastAsia="黑体" w:cs="黑体"/>
          <w:sz w:val="32"/>
          <w:szCs w:val="48"/>
        </w:rPr>
        <w:tab/>
      </w:r>
      <w:r>
        <w:rPr>
          <w:rFonts w:hint="eastAsia" w:ascii="黑体" w:hAnsi="黑体" w:eastAsia="黑体" w:cs="黑体"/>
          <w:sz w:val="32"/>
          <w:szCs w:val="48"/>
        </w:rPr>
        <w:fldChar w:fldCharType="begin"/>
      </w:r>
      <w:r>
        <w:rPr>
          <w:rFonts w:hint="eastAsia" w:ascii="黑体" w:hAnsi="黑体" w:eastAsia="黑体" w:cs="黑体"/>
          <w:sz w:val="32"/>
          <w:szCs w:val="48"/>
        </w:rPr>
        <w:instrText xml:space="preserve"> PAGEREF _Toc23402 \h </w:instrText>
      </w:r>
      <w:r>
        <w:rPr>
          <w:rFonts w:hint="eastAsia" w:ascii="黑体" w:hAnsi="黑体" w:eastAsia="黑体" w:cs="黑体"/>
          <w:sz w:val="32"/>
          <w:szCs w:val="48"/>
        </w:rPr>
        <w:fldChar w:fldCharType="separate"/>
      </w:r>
      <w:r>
        <w:rPr>
          <w:rFonts w:ascii="黑体" w:hAnsi="黑体" w:eastAsia="黑体" w:cs="黑体"/>
          <w:sz w:val="32"/>
          <w:szCs w:val="48"/>
        </w:rPr>
        <w:t>32</w:t>
      </w:r>
      <w:r>
        <w:rPr>
          <w:rFonts w:hint="eastAsia" w:ascii="黑体" w:hAnsi="黑体" w:eastAsia="黑体" w:cs="黑体"/>
          <w:sz w:val="32"/>
          <w:szCs w:val="48"/>
        </w:rPr>
        <w:fldChar w:fldCharType="end"/>
      </w:r>
      <w:r>
        <w:rPr>
          <w:rFonts w:hint="eastAsia" w:ascii="黑体" w:hAnsi="黑体" w:eastAsia="黑体" w:cs="黑体"/>
          <w:sz w:val="32"/>
          <w:szCs w:val="48"/>
        </w:rPr>
        <w:fldChar w:fldCharType="end"/>
      </w:r>
    </w:p>
    <w:p>
      <w:pPr>
        <w:tabs>
          <w:tab w:val="right" w:leader="dot" w:pos="8306"/>
        </w:tabs>
        <w:spacing w:line="600" w:lineRule="exact"/>
        <w:ind w:left="420" w:leftChars="200"/>
        <w:rPr>
          <w:rFonts w:ascii="楷体" w:hAnsi="楷体" w:eastAsia="楷体" w:cs="楷体"/>
          <w:sz w:val="32"/>
          <w:szCs w:val="48"/>
        </w:rPr>
      </w:pPr>
      <w:r>
        <w:fldChar w:fldCharType="begin"/>
      </w:r>
      <w:r>
        <w:instrText xml:space="preserve"> HYPERLINK \l "_Toc10106" </w:instrText>
      </w:r>
      <w:r>
        <w:fldChar w:fldCharType="separate"/>
      </w:r>
      <w:r>
        <w:rPr>
          <w:rFonts w:hint="eastAsia" w:ascii="楷体" w:hAnsi="楷体" w:eastAsia="楷体" w:cs="楷体"/>
          <w:sz w:val="32"/>
          <w:szCs w:val="48"/>
        </w:rPr>
        <w:t>一、训练基地及战勤保障基地合建项目</w:t>
      </w:r>
      <w:r>
        <w:rPr>
          <w:rFonts w:hint="eastAsia" w:ascii="楷体" w:hAnsi="楷体" w:eastAsia="楷体" w:cs="楷体"/>
          <w:sz w:val="32"/>
          <w:szCs w:val="48"/>
        </w:rPr>
        <w:tab/>
      </w:r>
      <w:r>
        <w:rPr>
          <w:rFonts w:hint="eastAsia" w:ascii="楷体" w:hAnsi="楷体" w:eastAsia="楷体" w:cs="楷体"/>
          <w:sz w:val="32"/>
          <w:szCs w:val="48"/>
        </w:rPr>
        <w:fldChar w:fldCharType="begin"/>
      </w:r>
      <w:r>
        <w:rPr>
          <w:rFonts w:hint="eastAsia" w:ascii="楷体" w:hAnsi="楷体" w:eastAsia="楷体" w:cs="楷体"/>
          <w:sz w:val="32"/>
          <w:szCs w:val="48"/>
        </w:rPr>
        <w:instrText xml:space="preserve"> PAGEREF _Toc10106 \h </w:instrText>
      </w:r>
      <w:r>
        <w:rPr>
          <w:rFonts w:hint="eastAsia" w:ascii="楷体" w:hAnsi="楷体" w:eastAsia="楷体" w:cs="楷体"/>
          <w:sz w:val="32"/>
          <w:szCs w:val="48"/>
        </w:rPr>
        <w:fldChar w:fldCharType="separate"/>
      </w:r>
      <w:r>
        <w:rPr>
          <w:rFonts w:ascii="楷体" w:hAnsi="楷体" w:eastAsia="楷体" w:cs="楷体"/>
          <w:sz w:val="32"/>
          <w:szCs w:val="48"/>
        </w:rPr>
        <w:t>32</w:t>
      </w:r>
      <w:r>
        <w:rPr>
          <w:rFonts w:hint="eastAsia" w:ascii="楷体" w:hAnsi="楷体" w:eastAsia="楷体" w:cs="楷体"/>
          <w:sz w:val="32"/>
          <w:szCs w:val="48"/>
        </w:rPr>
        <w:fldChar w:fldCharType="end"/>
      </w:r>
      <w:r>
        <w:rPr>
          <w:rFonts w:hint="eastAsia" w:ascii="楷体" w:hAnsi="楷体" w:eastAsia="楷体" w:cs="楷体"/>
          <w:sz w:val="32"/>
          <w:szCs w:val="48"/>
        </w:rPr>
        <w:fldChar w:fldCharType="end"/>
      </w:r>
    </w:p>
    <w:p>
      <w:pPr>
        <w:tabs>
          <w:tab w:val="right" w:leader="dot" w:pos="8306"/>
        </w:tabs>
        <w:spacing w:line="600" w:lineRule="exact"/>
        <w:ind w:left="420" w:leftChars="200"/>
        <w:rPr>
          <w:rFonts w:ascii="楷体" w:hAnsi="楷体" w:eastAsia="楷体" w:cs="楷体"/>
          <w:sz w:val="32"/>
          <w:szCs w:val="48"/>
        </w:rPr>
      </w:pPr>
      <w:r>
        <w:fldChar w:fldCharType="begin"/>
      </w:r>
      <w:r>
        <w:instrText xml:space="preserve"> HYPERLINK \l "_Toc13268" </w:instrText>
      </w:r>
      <w:r>
        <w:fldChar w:fldCharType="separate"/>
      </w:r>
      <w:r>
        <w:rPr>
          <w:rFonts w:hint="eastAsia" w:ascii="楷体" w:hAnsi="楷体" w:eastAsia="楷体" w:cs="楷体"/>
          <w:sz w:val="32"/>
          <w:szCs w:val="48"/>
        </w:rPr>
        <w:t>二、消防救援站建设改造项目</w:t>
      </w:r>
      <w:r>
        <w:rPr>
          <w:rFonts w:hint="eastAsia" w:ascii="楷体" w:hAnsi="楷体" w:eastAsia="楷体" w:cs="楷体"/>
          <w:sz w:val="32"/>
          <w:szCs w:val="48"/>
        </w:rPr>
        <w:tab/>
      </w:r>
      <w:r>
        <w:rPr>
          <w:rFonts w:hint="eastAsia" w:ascii="楷体" w:hAnsi="楷体" w:eastAsia="楷体" w:cs="楷体"/>
          <w:sz w:val="32"/>
          <w:szCs w:val="48"/>
        </w:rPr>
        <w:fldChar w:fldCharType="begin"/>
      </w:r>
      <w:r>
        <w:rPr>
          <w:rFonts w:hint="eastAsia" w:ascii="楷体" w:hAnsi="楷体" w:eastAsia="楷体" w:cs="楷体"/>
          <w:sz w:val="32"/>
          <w:szCs w:val="48"/>
        </w:rPr>
        <w:instrText xml:space="preserve"> PAGEREF _Toc13268 \h </w:instrText>
      </w:r>
      <w:r>
        <w:rPr>
          <w:rFonts w:hint="eastAsia" w:ascii="楷体" w:hAnsi="楷体" w:eastAsia="楷体" w:cs="楷体"/>
          <w:sz w:val="32"/>
          <w:szCs w:val="48"/>
        </w:rPr>
        <w:fldChar w:fldCharType="separate"/>
      </w:r>
      <w:r>
        <w:rPr>
          <w:rFonts w:ascii="楷体" w:hAnsi="楷体" w:eastAsia="楷体" w:cs="楷体"/>
          <w:sz w:val="32"/>
          <w:szCs w:val="48"/>
        </w:rPr>
        <w:t>32</w:t>
      </w:r>
      <w:r>
        <w:rPr>
          <w:rFonts w:hint="eastAsia" w:ascii="楷体" w:hAnsi="楷体" w:eastAsia="楷体" w:cs="楷体"/>
          <w:sz w:val="32"/>
          <w:szCs w:val="48"/>
        </w:rPr>
        <w:fldChar w:fldCharType="end"/>
      </w:r>
      <w:r>
        <w:rPr>
          <w:rFonts w:hint="eastAsia" w:ascii="楷体" w:hAnsi="楷体" w:eastAsia="楷体" w:cs="楷体"/>
          <w:sz w:val="32"/>
          <w:szCs w:val="48"/>
        </w:rPr>
        <w:fldChar w:fldCharType="end"/>
      </w:r>
    </w:p>
    <w:p>
      <w:pPr>
        <w:tabs>
          <w:tab w:val="right" w:leader="dot" w:pos="8306"/>
        </w:tabs>
        <w:spacing w:line="600" w:lineRule="exact"/>
        <w:ind w:left="420" w:leftChars="200"/>
        <w:rPr>
          <w:rFonts w:ascii="楷体" w:hAnsi="楷体" w:eastAsia="楷体" w:cs="楷体"/>
          <w:sz w:val="32"/>
          <w:szCs w:val="48"/>
        </w:rPr>
      </w:pPr>
      <w:r>
        <w:fldChar w:fldCharType="begin"/>
      </w:r>
      <w:r>
        <w:instrText xml:space="preserve"> HYPERLINK \l "_Toc17877" </w:instrText>
      </w:r>
      <w:r>
        <w:fldChar w:fldCharType="separate"/>
      </w:r>
      <w:r>
        <w:rPr>
          <w:rFonts w:hint="eastAsia" w:ascii="楷体" w:hAnsi="楷体" w:eastAsia="楷体" w:cs="楷体"/>
          <w:sz w:val="32"/>
          <w:szCs w:val="48"/>
        </w:rPr>
        <w:t>三、消防水源建设项目</w:t>
      </w:r>
      <w:r>
        <w:rPr>
          <w:rFonts w:hint="eastAsia" w:ascii="楷体" w:hAnsi="楷体" w:eastAsia="楷体" w:cs="楷体"/>
          <w:sz w:val="32"/>
          <w:szCs w:val="48"/>
        </w:rPr>
        <w:tab/>
      </w:r>
      <w:r>
        <w:rPr>
          <w:rFonts w:hint="eastAsia" w:ascii="楷体" w:hAnsi="楷体" w:eastAsia="楷体" w:cs="楷体"/>
          <w:sz w:val="32"/>
          <w:szCs w:val="48"/>
        </w:rPr>
        <w:fldChar w:fldCharType="begin"/>
      </w:r>
      <w:r>
        <w:rPr>
          <w:rFonts w:hint="eastAsia" w:ascii="楷体" w:hAnsi="楷体" w:eastAsia="楷体" w:cs="楷体"/>
          <w:sz w:val="32"/>
          <w:szCs w:val="48"/>
        </w:rPr>
        <w:instrText xml:space="preserve"> PAGEREF _Toc17877 \h </w:instrText>
      </w:r>
      <w:r>
        <w:rPr>
          <w:rFonts w:hint="eastAsia" w:ascii="楷体" w:hAnsi="楷体" w:eastAsia="楷体" w:cs="楷体"/>
          <w:sz w:val="32"/>
          <w:szCs w:val="48"/>
        </w:rPr>
        <w:fldChar w:fldCharType="separate"/>
      </w:r>
      <w:r>
        <w:rPr>
          <w:rFonts w:ascii="楷体" w:hAnsi="楷体" w:eastAsia="楷体" w:cs="楷体"/>
          <w:sz w:val="32"/>
          <w:szCs w:val="48"/>
        </w:rPr>
        <w:t>32</w:t>
      </w:r>
      <w:r>
        <w:rPr>
          <w:rFonts w:hint="eastAsia" w:ascii="楷体" w:hAnsi="楷体" w:eastAsia="楷体" w:cs="楷体"/>
          <w:sz w:val="32"/>
          <w:szCs w:val="48"/>
        </w:rPr>
        <w:fldChar w:fldCharType="end"/>
      </w:r>
      <w:r>
        <w:rPr>
          <w:rFonts w:hint="eastAsia" w:ascii="楷体" w:hAnsi="楷体" w:eastAsia="楷体" w:cs="楷体"/>
          <w:sz w:val="32"/>
          <w:szCs w:val="48"/>
        </w:rPr>
        <w:fldChar w:fldCharType="end"/>
      </w:r>
    </w:p>
    <w:p>
      <w:pPr>
        <w:tabs>
          <w:tab w:val="right" w:leader="dot" w:pos="8306"/>
        </w:tabs>
        <w:spacing w:line="600" w:lineRule="exact"/>
        <w:ind w:left="420" w:leftChars="200"/>
        <w:rPr>
          <w:rFonts w:ascii="楷体" w:hAnsi="楷体" w:eastAsia="楷体" w:cs="楷体"/>
          <w:sz w:val="32"/>
          <w:szCs w:val="48"/>
        </w:rPr>
      </w:pPr>
      <w:r>
        <w:fldChar w:fldCharType="begin"/>
      </w:r>
      <w:r>
        <w:instrText xml:space="preserve"> HYPERLINK \l "_Toc4241" </w:instrText>
      </w:r>
      <w:r>
        <w:fldChar w:fldCharType="separate"/>
      </w:r>
      <w:r>
        <w:rPr>
          <w:rFonts w:hint="eastAsia" w:ascii="楷体" w:hAnsi="楷体" w:eastAsia="楷体" w:cs="楷体"/>
          <w:sz w:val="32"/>
          <w:szCs w:val="48"/>
        </w:rPr>
        <w:t>四、消防救援装备转型升级项目</w:t>
      </w:r>
      <w:r>
        <w:rPr>
          <w:rFonts w:hint="eastAsia" w:ascii="楷体" w:hAnsi="楷体" w:eastAsia="楷体" w:cs="楷体"/>
          <w:sz w:val="32"/>
          <w:szCs w:val="48"/>
        </w:rPr>
        <w:tab/>
      </w:r>
      <w:r>
        <w:rPr>
          <w:rFonts w:hint="eastAsia" w:ascii="楷体" w:hAnsi="楷体" w:eastAsia="楷体" w:cs="楷体"/>
          <w:sz w:val="32"/>
          <w:szCs w:val="48"/>
        </w:rPr>
        <w:fldChar w:fldCharType="begin"/>
      </w:r>
      <w:r>
        <w:rPr>
          <w:rFonts w:hint="eastAsia" w:ascii="楷体" w:hAnsi="楷体" w:eastAsia="楷体" w:cs="楷体"/>
          <w:sz w:val="32"/>
          <w:szCs w:val="48"/>
        </w:rPr>
        <w:instrText xml:space="preserve"> PAGEREF _Toc4241 \h </w:instrText>
      </w:r>
      <w:r>
        <w:rPr>
          <w:rFonts w:hint="eastAsia" w:ascii="楷体" w:hAnsi="楷体" w:eastAsia="楷体" w:cs="楷体"/>
          <w:sz w:val="32"/>
          <w:szCs w:val="48"/>
        </w:rPr>
        <w:fldChar w:fldCharType="separate"/>
      </w:r>
      <w:r>
        <w:rPr>
          <w:rFonts w:ascii="楷体" w:hAnsi="楷体" w:eastAsia="楷体" w:cs="楷体"/>
          <w:sz w:val="32"/>
          <w:szCs w:val="48"/>
        </w:rPr>
        <w:t>32</w:t>
      </w:r>
      <w:r>
        <w:rPr>
          <w:rFonts w:hint="eastAsia" w:ascii="楷体" w:hAnsi="楷体" w:eastAsia="楷体" w:cs="楷体"/>
          <w:sz w:val="32"/>
          <w:szCs w:val="48"/>
        </w:rPr>
        <w:fldChar w:fldCharType="end"/>
      </w:r>
      <w:r>
        <w:rPr>
          <w:rFonts w:hint="eastAsia" w:ascii="楷体" w:hAnsi="楷体" w:eastAsia="楷体" w:cs="楷体"/>
          <w:sz w:val="32"/>
          <w:szCs w:val="48"/>
        </w:rPr>
        <w:fldChar w:fldCharType="end"/>
      </w:r>
    </w:p>
    <w:p>
      <w:pPr>
        <w:tabs>
          <w:tab w:val="right" w:leader="dot" w:pos="8306"/>
        </w:tabs>
        <w:spacing w:line="600" w:lineRule="exact"/>
        <w:ind w:left="420" w:leftChars="200"/>
        <w:rPr>
          <w:rFonts w:ascii="Calibri" w:hAnsi="Calibri" w:eastAsia="宋体" w:cs="Times New Roman"/>
          <w:szCs w:val="24"/>
        </w:rPr>
      </w:pPr>
      <w:r>
        <w:fldChar w:fldCharType="begin"/>
      </w:r>
      <w:r>
        <w:instrText xml:space="preserve"> HYPERLINK \l "_Toc31828" </w:instrText>
      </w:r>
      <w:r>
        <w:fldChar w:fldCharType="separate"/>
      </w:r>
      <w:r>
        <w:rPr>
          <w:rFonts w:hint="eastAsia" w:ascii="楷体" w:hAnsi="楷体" w:eastAsia="楷体" w:cs="楷体"/>
          <w:sz w:val="32"/>
          <w:szCs w:val="48"/>
        </w:rPr>
        <w:t>五、提升消防信息化项目</w:t>
      </w:r>
      <w:r>
        <w:rPr>
          <w:rFonts w:hint="eastAsia" w:ascii="楷体" w:hAnsi="楷体" w:eastAsia="楷体" w:cs="楷体"/>
          <w:sz w:val="32"/>
          <w:szCs w:val="48"/>
        </w:rPr>
        <w:tab/>
      </w:r>
      <w:r>
        <w:rPr>
          <w:rFonts w:hint="eastAsia" w:ascii="楷体" w:hAnsi="楷体" w:eastAsia="楷体" w:cs="楷体"/>
          <w:sz w:val="32"/>
          <w:szCs w:val="48"/>
        </w:rPr>
        <w:fldChar w:fldCharType="begin"/>
      </w:r>
      <w:r>
        <w:rPr>
          <w:rFonts w:hint="eastAsia" w:ascii="楷体" w:hAnsi="楷体" w:eastAsia="楷体" w:cs="楷体"/>
          <w:sz w:val="32"/>
          <w:szCs w:val="48"/>
        </w:rPr>
        <w:instrText xml:space="preserve"> PAGEREF _Toc31828 \h </w:instrText>
      </w:r>
      <w:r>
        <w:rPr>
          <w:rFonts w:hint="eastAsia" w:ascii="楷体" w:hAnsi="楷体" w:eastAsia="楷体" w:cs="楷体"/>
          <w:sz w:val="32"/>
          <w:szCs w:val="48"/>
        </w:rPr>
        <w:fldChar w:fldCharType="separate"/>
      </w:r>
      <w:r>
        <w:rPr>
          <w:rFonts w:ascii="楷体" w:hAnsi="楷体" w:eastAsia="楷体" w:cs="楷体"/>
          <w:sz w:val="32"/>
          <w:szCs w:val="48"/>
        </w:rPr>
        <w:t>33</w:t>
      </w:r>
      <w:r>
        <w:rPr>
          <w:rFonts w:hint="eastAsia" w:ascii="楷体" w:hAnsi="楷体" w:eastAsia="楷体" w:cs="楷体"/>
          <w:sz w:val="32"/>
          <w:szCs w:val="48"/>
        </w:rPr>
        <w:fldChar w:fldCharType="end"/>
      </w:r>
      <w:r>
        <w:rPr>
          <w:rFonts w:hint="eastAsia" w:ascii="楷体" w:hAnsi="楷体" w:eastAsia="楷体" w:cs="楷体"/>
          <w:sz w:val="32"/>
          <w:szCs w:val="48"/>
        </w:rPr>
        <w:fldChar w:fldCharType="end"/>
      </w:r>
    </w:p>
    <w:p>
      <w:pPr>
        <w:tabs>
          <w:tab w:val="right" w:leader="dot" w:pos="8306"/>
        </w:tabs>
        <w:spacing w:line="600" w:lineRule="exact"/>
        <w:rPr>
          <w:rFonts w:ascii="黑体" w:hAnsi="黑体" w:eastAsia="黑体" w:cs="黑体"/>
          <w:sz w:val="32"/>
          <w:szCs w:val="48"/>
        </w:rPr>
      </w:pPr>
      <w:r>
        <w:fldChar w:fldCharType="begin"/>
      </w:r>
      <w:r>
        <w:instrText xml:space="preserve"> HYPERLINK \l "_Toc10904" </w:instrText>
      </w:r>
      <w:r>
        <w:fldChar w:fldCharType="separate"/>
      </w:r>
      <w:r>
        <w:rPr>
          <w:rFonts w:hint="eastAsia" w:ascii="黑体" w:hAnsi="黑体" w:eastAsia="黑体" w:cs="黑体"/>
          <w:sz w:val="32"/>
          <w:szCs w:val="48"/>
        </w:rPr>
        <w:t>第五章 规划实施保障</w:t>
      </w:r>
      <w:r>
        <w:rPr>
          <w:rFonts w:hint="eastAsia" w:ascii="黑体" w:hAnsi="黑体" w:eastAsia="黑体" w:cs="黑体"/>
          <w:sz w:val="32"/>
          <w:szCs w:val="48"/>
        </w:rPr>
        <w:tab/>
      </w:r>
      <w:r>
        <w:rPr>
          <w:rFonts w:hint="eastAsia" w:ascii="黑体" w:hAnsi="黑体" w:eastAsia="黑体" w:cs="黑体"/>
          <w:sz w:val="32"/>
          <w:szCs w:val="48"/>
        </w:rPr>
        <w:fldChar w:fldCharType="begin"/>
      </w:r>
      <w:r>
        <w:rPr>
          <w:rFonts w:hint="eastAsia" w:ascii="黑体" w:hAnsi="黑体" w:eastAsia="黑体" w:cs="黑体"/>
          <w:sz w:val="32"/>
          <w:szCs w:val="48"/>
        </w:rPr>
        <w:instrText xml:space="preserve"> PAGEREF _Toc10904 \h </w:instrText>
      </w:r>
      <w:r>
        <w:rPr>
          <w:rFonts w:hint="eastAsia" w:ascii="黑体" w:hAnsi="黑体" w:eastAsia="黑体" w:cs="黑体"/>
          <w:sz w:val="32"/>
          <w:szCs w:val="48"/>
        </w:rPr>
        <w:fldChar w:fldCharType="separate"/>
      </w:r>
      <w:r>
        <w:rPr>
          <w:rFonts w:ascii="黑体" w:hAnsi="黑体" w:eastAsia="黑体" w:cs="黑体"/>
          <w:sz w:val="32"/>
          <w:szCs w:val="48"/>
        </w:rPr>
        <w:t>34</w:t>
      </w:r>
      <w:r>
        <w:rPr>
          <w:rFonts w:hint="eastAsia" w:ascii="黑体" w:hAnsi="黑体" w:eastAsia="黑体" w:cs="黑体"/>
          <w:sz w:val="32"/>
          <w:szCs w:val="48"/>
        </w:rPr>
        <w:fldChar w:fldCharType="end"/>
      </w:r>
      <w:r>
        <w:rPr>
          <w:rFonts w:hint="eastAsia" w:ascii="黑体" w:hAnsi="黑体" w:eastAsia="黑体" w:cs="黑体"/>
          <w:sz w:val="32"/>
          <w:szCs w:val="48"/>
        </w:rPr>
        <w:fldChar w:fldCharType="end"/>
      </w:r>
    </w:p>
    <w:p>
      <w:pPr>
        <w:tabs>
          <w:tab w:val="right" w:leader="dot" w:pos="8306"/>
        </w:tabs>
        <w:spacing w:line="600" w:lineRule="exact"/>
        <w:ind w:left="420" w:leftChars="200"/>
        <w:rPr>
          <w:rFonts w:ascii="楷体" w:hAnsi="楷体" w:eastAsia="楷体" w:cs="楷体"/>
          <w:sz w:val="32"/>
          <w:szCs w:val="48"/>
        </w:rPr>
      </w:pPr>
      <w:r>
        <w:fldChar w:fldCharType="begin"/>
      </w:r>
      <w:r>
        <w:instrText xml:space="preserve"> HYPERLINK \l "_Toc2775" </w:instrText>
      </w:r>
      <w:r>
        <w:fldChar w:fldCharType="separate"/>
      </w:r>
      <w:r>
        <w:rPr>
          <w:rFonts w:hint="eastAsia" w:ascii="楷体" w:hAnsi="楷体" w:eastAsia="楷体" w:cs="楷体"/>
          <w:sz w:val="32"/>
          <w:szCs w:val="48"/>
        </w:rPr>
        <w:t>一、加强组织领导</w:t>
      </w:r>
      <w:r>
        <w:rPr>
          <w:rFonts w:hint="eastAsia" w:ascii="楷体" w:hAnsi="楷体" w:eastAsia="楷体" w:cs="楷体"/>
          <w:sz w:val="32"/>
          <w:szCs w:val="48"/>
        </w:rPr>
        <w:tab/>
      </w:r>
      <w:r>
        <w:rPr>
          <w:rFonts w:hint="eastAsia" w:ascii="楷体" w:hAnsi="楷体" w:eastAsia="楷体" w:cs="楷体"/>
          <w:sz w:val="32"/>
          <w:szCs w:val="48"/>
        </w:rPr>
        <w:fldChar w:fldCharType="begin"/>
      </w:r>
      <w:r>
        <w:rPr>
          <w:rFonts w:hint="eastAsia" w:ascii="楷体" w:hAnsi="楷体" w:eastAsia="楷体" w:cs="楷体"/>
          <w:sz w:val="32"/>
          <w:szCs w:val="48"/>
        </w:rPr>
        <w:instrText xml:space="preserve"> PAGEREF _Toc2775 \h </w:instrText>
      </w:r>
      <w:r>
        <w:rPr>
          <w:rFonts w:hint="eastAsia" w:ascii="楷体" w:hAnsi="楷体" w:eastAsia="楷体" w:cs="楷体"/>
          <w:sz w:val="32"/>
          <w:szCs w:val="48"/>
        </w:rPr>
        <w:fldChar w:fldCharType="separate"/>
      </w:r>
      <w:r>
        <w:rPr>
          <w:rFonts w:ascii="楷体" w:hAnsi="楷体" w:eastAsia="楷体" w:cs="楷体"/>
          <w:sz w:val="32"/>
          <w:szCs w:val="48"/>
        </w:rPr>
        <w:t>34</w:t>
      </w:r>
      <w:r>
        <w:rPr>
          <w:rFonts w:hint="eastAsia" w:ascii="楷体" w:hAnsi="楷体" w:eastAsia="楷体" w:cs="楷体"/>
          <w:sz w:val="32"/>
          <w:szCs w:val="48"/>
        </w:rPr>
        <w:fldChar w:fldCharType="end"/>
      </w:r>
      <w:r>
        <w:rPr>
          <w:rFonts w:hint="eastAsia" w:ascii="楷体" w:hAnsi="楷体" w:eastAsia="楷体" w:cs="楷体"/>
          <w:sz w:val="32"/>
          <w:szCs w:val="48"/>
        </w:rPr>
        <w:fldChar w:fldCharType="end"/>
      </w:r>
    </w:p>
    <w:p>
      <w:pPr>
        <w:tabs>
          <w:tab w:val="right" w:leader="dot" w:pos="8306"/>
        </w:tabs>
        <w:spacing w:line="600" w:lineRule="exact"/>
        <w:ind w:left="420" w:leftChars="200"/>
        <w:rPr>
          <w:rFonts w:ascii="楷体" w:hAnsi="楷体" w:eastAsia="楷体" w:cs="楷体"/>
          <w:sz w:val="32"/>
          <w:szCs w:val="48"/>
        </w:rPr>
      </w:pPr>
      <w:r>
        <w:fldChar w:fldCharType="begin"/>
      </w:r>
      <w:r>
        <w:instrText xml:space="preserve"> HYPERLINK \l "_Toc10726" </w:instrText>
      </w:r>
      <w:r>
        <w:fldChar w:fldCharType="separate"/>
      </w:r>
      <w:r>
        <w:rPr>
          <w:rFonts w:hint="eastAsia" w:ascii="楷体" w:hAnsi="楷体" w:eastAsia="楷体" w:cs="楷体"/>
          <w:sz w:val="32"/>
          <w:szCs w:val="48"/>
        </w:rPr>
        <w:t>二、明确职责任务</w:t>
      </w:r>
      <w:r>
        <w:rPr>
          <w:rFonts w:hint="eastAsia" w:ascii="楷体" w:hAnsi="楷体" w:eastAsia="楷体" w:cs="楷体"/>
          <w:sz w:val="32"/>
          <w:szCs w:val="48"/>
        </w:rPr>
        <w:tab/>
      </w:r>
      <w:r>
        <w:rPr>
          <w:rFonts w:hint="eastAsia" w:ascii="楷体" w:hAnsi="楷体" w:eastAsia="楷体" w:cs="楷体"/>
          <w:sz w:val="32"/>
          <w:szCs w:val="48"/>
        </w:rPr>
        <w:fldChar w:fldCharType="begin"/>
      </w:r>
      <w:r>
        <w:rPr>
          <w:rFonts w:hint="eastAsia" w:ascii="楷体" w:hAnsi="楷体" w:eastAsia="楷体" w:cs="楷体"/>
          <w:sz w:val="32"/>
          <w:szCs w:val="48"/>
        </w:rPr>
        <w:instrText xml:space="preserve"> PAGEREF _Toc10726 \h </w:instrText>
      </w:r>
      <w:r>
        <w:rPr>
          <w:rFonts w:hint="eastAsia" w:ascii="楷体" w:hAnsi="楷体" w:eastAsia="楷体" w:cs="楷体"/>
          <w:sz w:val="32"/>
          <w:szCs w:val="48"/>
        </w:rPr>
        <w:fldChar w:fldCharType="separate"/>
      </w:r>
      <w:r>
        <w:rPr>
          <w:rFonts w:ascii="楷体" w:hAnsi="楷体" w:eastAsia="楷体" w:cs="楷体"/>
          <w:sz w:val="32"/>
          <w:szCs w:val="48"/>
        </w:rPr>
        <w:t>34</w:t>
      </w:r>
      <w:r>
        <w:rPr>
          <w:rFonts w:hint="eastAsia" w:ascii="楷体" w:hAnsi="楷体" w:eastAsia="楷体" w:cs="楷体"/>
          <w:sz w:val="32"/>
          <w:szCs w:val="48"/>
        </w:rPr>
        <w:fldChar w:fldCharType="end"/>
      </w:r>
      <w:r>
        <w:rPr>
          <w:rFonts w:hint="eastAsia" w:ascii="楷体" w:hAnsi="楷体" w:eastAsia="楷体" w:cs="楷体"/>
          <w:sz w:val="32"/>
          <w:szCs w:val="48"/>
        </w:rPr>
        <w:fldChar w:fldCharType="end"/>
      </w:r>
    </w:p>
    <w:p>
      <w:pPr>
        <w:tabs>
          <w:tab w:val="right" w:leader="dot" w:pos="8306"/>
        </w:tabs>
        <w:spacing w:line="600" w:lineRule="exact"/>
        <w:ind w:left="420" w:leftChars="200"/>
        <w:rPr>
          <w:rFonts w:ascii="楷体" w:hAnsi="楷体" w:eastAsia="楷体" w:cs="楷体"/>
          <w:sz w:val="32"/>
          <w:szCs w:val="48"/>
        </w:rPr>
      </w:pPr>
      <w:r>
        <w:fldChar w:fldCharType="begin"/>
      </w:r>
      <w:r>
        <w:instrText xml:space="preserve"> HYPERLINK \l "_Toc19073" </w:instrText>
      </w:r>
      <w:r>
        <w:fldChar w:fldCharType="separate"/>
      </w:r>
      <w:r>
        <w:rPr>
          <w:rFonts w:hint="eastAsia" w:ascii="楷体" w:hAnsi="楷体" w:eastAsia="楷体" w:cs="楷体"/>
          <w:sz w:val="32"/>
          <w:szCs w:val="48"/>
        </w:rPr>
        <w:t>三、强化政策保障</w:t>
      </w:r>
      <w:r>
        <w:rPr>
          <w:rFonts w:hint="eastAsia" w:ascii="楷体" w:hAnsi="楷体" w:eastAsia="楷体" w:cs="楷体"/>
          <w:sz w:val="32"/>
          <w:szCs w:val="48"/>
        </w:rPr>
        <w:tab/>
      </w:r>
      <w:r>
        <w:rPr>
          <w:rFonts w:hint="eastAsia" w:ascii="楷体" w:hAnsi="楷体" w:eastAsia="楷体" w:cs="楷体"/>
          <w:sz w:val="32"/>
          <w:szCs w:val="48"/>
        </w:rPr>
        <w:fldChar w:fldCharType="begin"/>
      </w:r>
      <w:r>
        <w:rPr>
          <w:rFonts w:hint="eastAsia" w:ascii="楷体" w:hAnsi="楷体" w:eastAsia="楷体" w:cs="楷体"/>
          <w:sz w:val="32"/>
          <w:szCs w:val="48"/>
        </w:rPr>
        <w:instrText xml:space="preserve"> PAGEREF _Toc19073 \h </w:instrText>
      </w:r>
      <w:r>
        <w:rPr>
          <w:rFonts w:hint="eastAsia" w:ascii="楷体" w:hAnsi="楷体" w:eastAsia="楷体" w:cs="楷体"/>
          <w:sz w:val="32"/>
          <w:szCs w:val="48"/>
        </w:rPr>
        <w:fldChar w:fldCharType="separate"/>
      </w:r>
      <w:r>
        <w:rPr>
          <w:rFonts w:ascii="楷体" w:hAnsi="楷体" w:eastAsia="楷体" w:cs="楷体"/>
          <w:sz w:val="32"/>
          <w:szCs w:val="48"/>
        </w:rPr>
        <w:t>35</w:t>
      </w:r>
      <w:r>
        <w:rPr>
          <w:rFonts w:hint="eastAsia" w:ascii="楷体" w:hAnsi="楷体" w:eastAsia="楷体" w:cs="楷体"/>
          <w:sz w:val="32"/>
          <w:szCs w:val="48"/>
        </w:rPr>
        <w:fldChar w:fldCharType="end"/>
      </w:r>
      <w:r>
        <w:rPr>
          <w:rFonts w:hint="eastAsia" w:ascii="楷体" w:hAnsi="楷体" w:eastAsia="楷体" w:cs="楷体"/>
          <w:sz w:val="32"/>
          <w:szCs w:val="48"/>
        </w:rPr>
        <w:fldChar w:fldCharType="end"/>
      </w:r>
    </w:p>
    <w:p>
      <w:pPr>
        <w:snapToGrid w:val="0"/>
        <w:spacing w:line="600" w:lineRule="exact"/>
        <w:jc w:val="center"/>
        <w:rPr>
          <w:rFonts w:ascii="宋体" w:hAnsi="宋体" w:eastAsia="宋体" w:cs="宋体"/>
          <w:szCs w:val="32"/>
        </w:rPr>
        <w:sectPr>
          <w:pgSz w:w="11906" w:h="16838"/>
          <w:pgMar w:top="1440" w:right="1800" w:bottom="1440" w:left="1800" w:header="851" w:footer="992" w:gutter="0"/>
          <w:pgNumType w:start="1"/>
          <w:cols w:space="720" w:num="1"/>
          <w:docGrid w:type="lines" w:linePitch="312" w:charSpace="0"/>
        </w:sectPr>
      </w:pPr>
      <w:r>
        <w:rPr>
          <w:rFonts w:hint="eastAsia" w:ascii="宋体" w:hAnsi="宋体" w:eastAsia="宋体" w:cs="宋体"/>
          <w:szCs w:val="32"/>
        </w:rPr>
        <w:fldChar w:fldCharType="end"/>
      </w:r>
    </w:p>
    <w:p>
      <w:pPr>
        <w:pageBreakBefore/>
        <w:snapToGrid w:val="0"/>
        <w:spacing w:line="600" w:lineRule="exact"/>
        <w:jc w:val="center"/>
        <w:rPr>
          <w:rFonts w:ascii="Calibri" w:hAnsi="Calibri" w:eastAsia="黑体" w:cs="Times New Roman"/>
          <w:b/>
          <w:kern w:val="44"/>
          <w:sz w:val="44"/>
          <w:szCs w:val="24"/>
        </w:rPr>
      </w:pPr>
      <w:bookmarkStart w:id="3" w:name="_Toc25639"/>
      <w:r>
        <w:rPr>
          <w:rFonts w:hint="eastAsia" w:ascii="Calibri" w:hAnsi="Calibri" w:eastAsia="黑体" w:cs="Times New Roman"/>
          <w:b/>
          <w:kern w:val="44"/>
          <w:sz w:val="44"/>
          <w:szCs w:val="24"/>
        </w:rPr>
        <w:t>前</w:t>
      </w:r>
      <w:r>
        <w:rPr>
          <w:rFonts w:ascii="Calibri" w:hAnsi="Calibri" w:eastAsia="黑体" w:cs="Times New Roman"/>
          <w:b/>
          <w:kern w:val="44"/>
          <w:sz w:val="44"/>
          <w:szCs w:val="24"/>
        </w:rPr>
        <w:t xml:space="preserve"> </w:t>
      </w:r>
      <w:r>
        <w:rPr>
          <w:rFonts w:hint="eastAsia" w:ascii="Calibri" w:hAnsi="Calibri" w:eastAsia="黑体" w:cs="Times New Roman"/>
          <w:b/>
          <w:kern w:val="44"/>
          <w:sz w:val="44"/>
          <w:szCs w:val="24"/>
        </w:rPr>
        <w:t>言</w:t>
      </w:r>
      <w:bookmarkEnd w:id="0"/>
      <w:bookmarkEnd w:id="1"/>
      <w:bookmarkEnd w:id="2"/>
    </w:p>
    <w:bookmarkEnd w:id="3"/>
    <w:p>
      <w:pPr>
        <w:snapToGrid w:val="0"/>
        <w:spacing w:line="600" w:lineRule="exact"/>
        <w:ind w:firstLine="640" w:firstLineChars="200"/>
        <w:rPr>
          <w:rFonts w:ascii="仿宋_GB2312" w:hAnsi="Times New Roman" w:eastAsia="仿宋_GB2312" w:cs="Times New Roman"/>
          <w:sz w:val="32"/>
          <w:szCs w:val="32"/>
        </w:rPr>
      </w:pPr>
    </w:p>
    <w:p>
      <w:pPr>
        <w:snapToGrid w:val="0"/>
        <w:spacing w:line="600" w:lineRule="exact"/>
        <w:ind w:firstLine="640" w:firstLineChars="200"/>
        <w:rPr>
          <w:rFonts w:ascii="仿宋_GB2312" w:hAnsi="Calibri" w:eastAsia="仿宋_GB2312" w:cs="Times New Roman"/>
          <w:sz w:val="32"/>
          <w:szCs w:val="32"/>
        </w:rPr>
      </w:pPr>
      <w:r>
        <w:rPr>
          <w:rFonts w:hint="eastAsia" w:ascii="仿宋_GB2312" w:hAnsi="Times New Roman" w:eastAsia="仿宋_GB2312" w:cs="Times New Roman"/>
          <w:sz w:val="32"/>
          <w:szCs w:val="32"/>
        </w:rPr>
        <w:t>“十四五”时期是我国全面建成小康社会、实现第一个百年奋斗目标之后，乘势而上开启全面建设社会主义现代化国家新征程、向第二个百年奋斗目标进军的第一个五年。科学谋划好丰台区“十四五”时期消防救援事业的发展建设</w:t>
      </w:r>
      <w:r>
        <w:rPr>
          <w:rFonts w:hint="eastAsia" w:ascii="仿宋_GB2312" w:hAnsi="宋体" w:eastAsia="仿宋_GB2312" w:cs="Times New Roman"/>
          <w:bCs/>
          <w:sz w:val="32"/>
          <w:szCs w:val="32"/>
        </w:rPr>
        <w:t>，对深入推动消防救援转型升级，全力防范化解</w:t>
      </w:r>
      <w:r>
        <w:rPr>
          <w:rFonts w:hint="eastAsia" w:ascii="仿宋_GB2312" w:hAnsi="微软雅黑" w:eastAsia="仿宋_GB2312" w:cs="Times New Roman"/>
          <w:sz w:val="32"/>
          <w:szCs w:val="32"/>
        </w:rPr>
        <w:t>重大消防安全风险，有效应对处置各类灾害事故，</w:t>
      </w:r>
      <w:r>
        <w:rPr>
          <w:rFonts w:hint="eastAsia" w:ascii="仿宋_GB2312" w:hAnsi="宋体" w:eastAsia="仿宋_GB2312" w:cs="Times New Roman"/>
          <w:bCs/>
          <w:sz w:val="32"/>
          <w:szCs w:val="32"/>
        </w:rPr>
        <w:t>加快推进消防安全治理体系和治理能力现代化，全力确保首都火灾形势稳定，最大程度减少</w:t>
      </w:r>
      <w:r>
        <w:rPr>
          <w:rFonts w:hint="eastAsia" w:ascii="仿宋_GB2312" w:hAnsi="΢���ź�" w:eastAsia="仿宋_GB2312" w:cs="Times New Roman"/>
          <w:sz w:val="32"/>
          <w:szCs w:val="32"/>
        </w:rPr>
        <w:t>人民群众生命财产损失，具有重大的现实意义</w:t>
      </w:r>
      <w:r>
        <w:rPr>
          <w:rFonts w:hint="eastAsia" w:ascii="仿宋_GB2312" w:hAnsi="Calibri" w:eastAsia="仿宋_GB2312" w:cs="Times New Roman"/>
          <w:sz w:val="32"/>
          <w:szCs w:val="32"/>
        </w:rPr>
        <w:t>。</w:t>
      </w:r>
    </w:p>
    <w:p>
      <w:pPr>
        <w:widowControl/>
        <w:snapToGrid w:val="0"/>
        <w:spacing w:line="600" w:lineRule="exact"/>
        <w:ind w:firstLine="566" w:firstLineChars="177"/>
        <w:rPr>
          <w:rFonts w:ascii="仿宋_GB2312" w:hAnsi="Times New Roman" w:eastAsia="仿宋_GB2312" w:cs="Times New Roman"/>
          <w:sz w:val="32"/>
          <w:szCs w:val="32"/>
        </w:rPr>
      </w:pPr>
      <w:r>
        <w:rPr>
          <w:rFonts w:hint="eastAsia" w:ascii="仿宋_GB2312" w:hAnsi="Times New Roman" w:eastAsia="仿宋_GB2312" w:cs="Times New Roman"/>
          <w:sz w:val="32"/>
          <w:szCs w:val="32"/>
        </w:rPr>
        <w:t>本规划依据《中华人民共和国消防法》、《关于深化消防执法改革的意见》、《北京市丰台区国民经济和社会发展第十四个五年规划和二</w:t>
      </w:r>
      <w:r>
        <w:rPr>
          <w:rFonts w:hint="eastAsia" w:ascii="宋体" w:hAnsi="宋体" w:eastAsia="宋体" w:cs="宋体"/>
          <w:sz w:val="32"/>
          <w:szCs w:val="32"/>
        </w:rPr>
        <w:t>〇</w:t>
      </w:r>
      <w:r>
        <w:rPr>
          <w:rFonts w:hint="eastAsia" w:ascii="仿宋_GB2312" w:hAnsi="仿宋_GB2312" w:eastAsia="仿宋_GB2312" w:cs="仿宋_GB2312"/>
          <w:sz w:val="32"/>
          <w:szCs w:val="32"/>
        </w:rPr>
        <w:t>三五年远景目标纲要</w:t>
      </w:r>
      <w:r>
        <w:rPr>
          <w:rFonts w:hint="eastAsia" w:ascii="仿宋_GB2312" w:hAnsi="Times New Roman" w:eastAsia="仿宋_GB2312" w:cs="Times New Roman"/>
          <w:sz w:val="32"/>
          <w:szCs w:val="32"/>
        </w:rPr>
        <w:t>》和《北京城市消防规划（</w:t>
      </w:r>
      <w:r>
        <w:rPr>
          <w:rFonts w:ascii="仿宋_GB2312" w:hAnsi="Times New Roman" w:eastAsia="仿宋_GB2312" w:cs="Times New Roman"/>
          <w:sz w:val="32"/>
          <w:szCs w:val="32"/>
        </w:rPr>
        <w:t>2016</w:t>
      </w:r>
      <w:r>
        <w:rPr>
          <w:rFonts w:hint="eastAsia" w:ascii="仿宋_GB2312" w:hAnsi="Times New Roman" w:eastAsia="仿宋_GB2312" w:cs="Times New Roman"/>
          <w:sz w:val="32"/>
          <w:szCs w:val="32"/>
        </w:rPr>
        <w:t>年</w:t>
      </w:r>
      <w:r>
        <w:rPr>
          <w:rFonts w:ascii="仿宋_GB2312" w:hAnsi="Times New Roman" w:eastAsia="仿宋_GB2312" w:cs="Times New Roman"/>
          <w:sz w:val="32"/>
          <w:szCs w:val="32"/>
        </w:rPr>
        <w:t>-2035</w:t>
      </w:r>
      <w:r>
        <w:rPr>
          <w:rFonts w:hint="eastAsia" w:ascii="仿宋_GB2312" w:hAnsi="Times New Roman" w:eastAsia="仿宋_GB2312" w:cs="Times New Roman"/>
          <w:sz w:val="32"/>
          <w:szCs w:val="32"/>
        </w:rPr>
        <w:t>年）》和《北京市“十四五”时期消防事业发展建设规划》编制，是全面提升丰台区消防治理能力现代化和综合应急救援能力的五年发展规划，是丰台区消防救援事业向更高水平迈进的重要规划，是“十四五”时期全区消防救援事业发展建设的行动纲领。</w:t>
      </w:r>
    </w:p>
    <w:p>
      <w:pPr>
        <w:snapToGrid w:val="0"/>
        <w:spacing w:line="600" w:lineRule="exact"/>
        <w:rPr>
          <w:rFonts w:ascii="黑体" w:hAnsi="黑体" w:eastAsia="黑体" w:cs="黑体"/>
          <w:sz w:val="44"/>
          <w:szCs w:val="44"/>
        </w:rPr>
      </w:pPr>
      <w:r>
        <w:rPr>
          <w:rFonts w:hint="eastAsia" w:ascii="黑体" w:hAnsi="黑体" w:eastAsia="黑体" w:cs="黑体"/>
          <w:sz w:val="44"/>
          <w:szCs w:val="44"/>
        </w:rPr>
        <w:t xml:space="preserve"> </w:t>
      </w:r>
      <w:r>
        <w:rPr>
          <w:rFonts w:ascii="黑体" w:hAnsi="黑体" w:eastAsia="黑体" w:cs="黑体"/>
          <w:sz w:val="44"/>
          <w:szCs w:val="44"/>
        </w:rPr>
        <w:t xml:space="preserve">  </w:t>
      </w:r>
      <w:r>
        <w:rPr>
          <w:rFonts w:hint="eastAsia" w:ascii="仿宋_GB2312" w:hAnsi="Times New Roman" w:eastAsia="仿宋_GB2312" w:cs="Times New Roman"/>
          <w:sz w:val="32"/>
          <w:szCs w:val="32"/>
        </w:rPr>
        <w:t>本规划规划期为2021年至2025年。</w:t>
      </w:r>
    </w:p>
    <w:p>
      <w:pPr>
        <w:snapToGrid w:val="0"/>
        <w:spacing w:line="600" w:lineRule="exact"/>
        <w:rPr>
          <w:rFonts w:ascii="黑体" w:hAnsi="黑体" w:eastAsia="黑体" w:cs="黑体"/>
          <w:sz w:val="44"/>
          <w:szCs w:val="44"/>
        </w:rPr>
      </w:pPr>
    </w:p>
    <w:p>
      <w:pPr>
        <w:keepNext/>
        <w:keepLines/>
        <w:pageBreakBefore/>
        <w:numPr>
          <w:ilvl w:val="0"/>
          <w:numId w:val="1"/>
        </w:numPr>
        <w:snapToGrid w:val="0"/>
        <w:spacing w:line="600" w:lineRule="exact"/>
        <w:jc w:val="center"/>
        <w:outlineLvl w:val="0"/>
        <w:rPr>
          <w:rFonts w:ascii="Calibri" w:hAnsi="Calibri" w:eastAsia="黑体" w:cs="Times New Roman"/>
          <w:b/>
          <w:kern w:val="44"/>
          <w:sz w:val="44"/>
          <w:szCs w:val="24"/>
        </w:rPr>
      </w:pPr>
      <w:bookmarkStart w:id="4" w:name="_Toc23390"/>
      <w:bookmarkStart w:id="5" w:name="_Toc30496"/>
      <w:r>
        <w:rPr>
          <w:rFonts w:hint="eastAsia" w:ascii="Calibri" w:hAnsi="Calibri" w:eastAsia="黑体" w:cs="Times New Roman"/>
          <w:b/>
          <w:kern w:val="44"/>
          <w:sz w:val="44"/>
          <w:szCs w:val="24"/>
        </w:rPr>
        <w:t>规划背景</w:t>
      </w:r>
      <w:bookmarkEnd w:id="4"/>
      <w:bookmarkEnd w:id="5"/>
    </w:p>
    <w:p>
      <w:pPr>
        <w:keepNext/>
        <w:keepLines/>
        <w:snapToGrid w:val="0"/>
        <w:spacing w:line="600" w:lineRule="exact"/>
        <w:ind w:firstLine="643" w:firstLineChars="200"/>
        <w:jc w:val="left"/>
        <w:outlineLvl w:val="1"/>
        <w:rPr>
          <w:rFonts w:ascii="Arial" w:hAnsi="Arial" w:eastAsia="黑体" w:cs="Times New Roman"/>
          <w:b/>
          <w:sz w:val="32"/>
          <w:szCs w:val="24"/>
        </w:rPr>
      </w:pPr>
      <w:bookmarkStart w:id="6" w:name="_Toc30618"/>
      <w:bookmarkStart w:id="7" w:name="_Toc27882"/>
      <w:r>
        <w:rPr>
          <w:rFonts w:hint="eastAsia" w:ascii="Arial" w:hAnsi="Arial" w:eastAsia="黑体" w:cs="Times New Roman"/>
          <w:b/>
          <w:sz w:val="32"/>
          <w:szCs w:val="24"/>
        </w:rPr>
        <w:t>一、“十三五”时期</w:t>
      </w:r>
      <w:bookmarkEnd w:id="6"/>
      <w:r>
        <w:rPr>
          <w:rFonts w:hint="eastAsia" w:ascii="Arial" w:hAnsi="Arial" w:eastAsia="黑体" w:cs="Times New Roman"/>
          <w:b/>
          <w:sz w:val="32"/>
          <w:szCs w:val="24"/>
        </w:rPr>
        <w:t>取得的主要成绩</w:t>
      </w:r>
      <w:bookmarkEnd w:id="7"/>
    </w:p>
    <w:p>
      <w:pPr>
        <w:snapToGrid w:val="0"/>
        <w:spacing w:line="600" w:lineRule="exact"/>
        <w:ind w:firstLine="480" w:firstLineChars="150"/>
        <w:rPr>
          <w:rFonts w:ascii="仿宋_GB2312" w:hAnsi="Calibri" w:eastAsia="仿宋_GB2312" w:cs="Times New Roman"/>
          <w:color w:val="000000"/>
          <w:sz w:val="32"/>
          <w:szCs w:val="32"/>
        </w:rPr>
      </w:pPr>
      <w:r>
        <w:rPr>
          <w:rFonts w:hint="eastAsia" w:ascii="仿宋_GB2312" w:hAnsi="Verdana" w:eastAsia="仿宋_GB2312" w:cs="Times New Roman"/>
          <w:color w:val="000000"/>
          <w:kern w:val="0"/>
          <w:sz w:val="32"/>
          <w:szCs w:val="32"/>
        </w:rPr>
        <w:t>“十三五”</w:t>
      </w:r>
      <w:r>
        <w:rPr>
          <w:rFonts w:hint="eastAsia" w:ascii="仿宋_GB2312" w:hAnsi="Calibri" w:eastAsia="仿宋_GB2312" w:cs="Times New Roman"/>
          <w:color w:val="000000"/>
          <w:sz w:val="32"/>
          <w:szCs w:val="32"/>
        </w:rPr>
        <w:t>期间，丰台区消防工作以习近平新时代中国特色社会主义思想为指导，以“五位一体”总体布局和“四个全面”战略布局为牵引，始终把握丰台区战略发展定位，积极构建“政府统一领导、部门依法监管、单位全面负责、公民积极参与”的消防工作格局，全力破解分消防工作发展难题，切实推进落实消防安全责任，不断推动社会管理创新，持续提升消防宣传效果，社会火灾防控水平与灭火应急救援能力显著提升，丰台区消防救援事业发展建设取得长足发展。</w:t>
      </w:r>
    </w:p>
    <w:p>
      <w:pPr>
        <w:keepNext/>
        <w:keepLines/>
        <w:numPr>
          <w:ilvl w:val="0"/>
          <w:numId w:val="2"/>
        </w:numPr>
        <w:spacing w:line="600" w:lineRule="exact"/>
        <w:ind w:left="420" w:leftChars="200" w:firstLine="643" w:firstLineChars="200"/>
        <w:jc w:val="left"/>
        <w:outlineLvl w:val="2"/>
        <w:rPr>
          <w:rFonts w:ascii="Calibri" w:hAnsi="Calibri" w:eastAsia="楷体" w:cs="Times New Roman"/>
          <w:b/>
          <w:sz w:val="32"/>
          <w:szCs w:val="24"/>
        </w:rPr>
      </w:pPr>
      <w:r>
        <w:rPr>
          <w:rFonts w:hint="eastAsia" w:ascii="Calibri" w:hAnsi="Calibri" w:eastAsia="楷体" w:cs="Times New Roman"/>
          <w:b/>
          <w:sz w:val="32"/>
          <w:szCs w:val="24"/>
        </w:rPr>
        <w:t>火灾形势进一步稳定</w:t>
      </w:r>
    </w:p>
    <w:p>
      <w:pPr>
        <w:adjustRightInd w:val="0"/>
        <w:snapToGrid w:val="0"/>
        <w:spacing w:line="600" w:lineRule="exact"/>
        <w:ind w:firstLine="627" w:firstLineChars="196"/>
        <w:rPr>
          <w:rFonts w:ascii="仿宋_GB2312" w:hAnsi="Calibri" w:eastAsia="仿宋_GB2312" w:cs="Times New Roman"/>
          <w:sz w:val="32"/>
          <w:szCs w:val="32"/>
        </w:rPr>
      </w:pPr>
      <w:r>
        <w:rPr>
          <w:rFonts w:hint="eastAsia" w:ascii="仿宋_GB2312" w:hAnsi="Calibri" w:eastAsia="仿宋_GB2312" w:cs="Times New Roman"/>
          <w:sz w:val="32"/>
          <w:szCs w:val="32"/>
        </w:rPr>
        <w:t>“十三五”期间</w:t>
      </w:r>
      <w:r>
        <w:rPr>
          <w:rFonts w:hint="eastAsia" w:ascii="仿宋_GB2312" w:hAnsi="Calibri" w:eastAsia="仿宋_GB2312" w:cs="Times New Roman"/>
          <w:color w:val="000000"/>
          <w:sz w:val="32"/>
          <w:szCs w:val="32"/>
        </w:rPr>
        <w:t>，</w:t>
      </w:r>
      <w:r>
        <w:rPr>
          <w:rFonts w:hint="eastAsia" w:ascii="仿宋_GB2312" w:hAnsi="Calibri" w:eastAsia="仿宋_GB2312" w:cs="Times New Roman"/>
          <w:sz w:val="32"/>
          <w:szCs w:val="32"/>
        </w:rPr>
        <w:t>全区</w:t>
      </w:r>
      <w:r>
        <w:rPr>
          <w:rFonts w:hint="eastAsia" w:ascii="仿宋_GB2312" w:hAnsi="Calibri" w:eastAsia="仿宋_GB2312" w:cs="Times New Roman"/>
          <w:color w:val="000000"/>
          <w:sz w:val="32"/>
          <w:szCs w:val="32"/>
        </w:rPr>
        <w:t>未发生较大社会影响的火灾事故、特别重大火灾事故，</w:t>
      </w:r>
      <w:r>
        <w:rPr>
          <w:rFonts w:hint="eastAsia" w:ascii="仿宋_GB2312" w:hAnsi="Calibri" w:eastAsia="仿宋_GB2312" w:cs="Times New Roman"/>
          <w:sz w:val="32"/>
          <w:szCs w:val="32"/>
        </w:rPr>
        <w:t>火</w:t>
      </w:r>
      <w:r>
        <w:rPr>
          <w:rFonts w:hint="eastAsia" w:ascii="仿宋_GB2312" w:hAnsi="Calibri" w:eastAsia="仿宋_GB2312" w:cs="Times New Roman"/>
          <w:color w:val="000000"/>
          <w:sz w:val="32"/>
          <w:szCs w:val="32"/>
        </w:rPr>
        <w:t>灾起数、死亡人数、受伤人数、直接财产损失四项指标较“十二五”时期均有下降，火灾形势总体稳定。</w:t>
      </w:r>
      <w:r>
        <w:rPr>
          <w:rFonts w:hint="eastAsia" w:ascii="仿宋_GB2312" w:hAnsi="仿宋" w:eastAsia="仿宋_GB2312" w:cs="Times New Roman"/>
          <w:color w:val="000000"/>
          <w:sz w:val="32"/>
          <w:szCs w:val="32"/>
        </w:rPr>
        <w:t>先后完成党</w:t>
      </w:r>
      <w:r>
        <w:rPr>
          <w:rFonts w:hint="eastAsia" w:ascii="仿宋_GB2312" w:hAnsi="Calibri" w:eastAsia="仿宋_GB2312" w:cs="Times New Roman"/>
          <w:sz w:val="32"/>
          <w:szCs w:val="32"/>
        </w:rPr>
        <w:t>的十九大、APEC峰会、抗战胜利70周年纪念大会、“一带一路”国际合作高峰论坛、新中国成立70周年庆祝活动等一系列</w:t>
      </w:r>
      <w:r>
        <w:rPr>
          <w:rFonts w:hint="eastAsia" w:ascii="仿宋_GB2312" w:hAnsi="仿宋" w:eastAsia="仿宋_GB2312" w:cs="Times New Roman"/>
          <w:color w:val="000000"/>
          <w:sz w:val="32"/>
          <w:szCs w:val="32"/>
        </w:rPr>
        <w:t>重大活动消防安保任务，</w:t>
      </w:r>
      <w:r>
        <w:rPr>
          <w:rFonts w:hint="eastAsia" w:ascii="仿宋_GB2312" w:hAnsi="Calibri" w:eastAsia="仿宋_GB2312" w:cs="Times New Roman"/>
          <w:color w:val="000000"/>
          <w:sz w:val="32"/>
          <w:szCs w:val="32"/>
        </w:rPr>
        <w:t>全区社</w:t>
      </w:r>
      <w:r>
        <w:rPr>
          <w:rFonts w:hint="eastAsia" w:ascii="仿宋_GB2312" w:hAnsi="Calibri" w:eastAsia="仿宋_GB2312" w:cs="Times New Roman"/>
          <w:sz w:val="32"/>
          <w:szCs w:val="32"/>
        </w:rPr>
        <w:t>会和谐稳定、经济建设迅速、人民群众生命财产安全得到了保障。</w:t>
      </w:r>
    </w:p>
    <w:p>
      <w:pPr>
        <w:snapToGrid w:val="0"/>
        <w:spacing w:line="600" w:lineRule="exact"/>
        <w:jc w:val="center"/>
        <w:rPr>
          <w:rFonts w:ascii="宋体" w:hAnsi="宋体" w:eastAsia="宋体" w:cs="宋体"/>
          <w:bCs/>
          <w:color w:val="000000"/>
          <w:kern w:val="0"/>
          <w:sz w:val="28"/>
          <w:szCs w:val="28"/>
        </w:rPr>
      </w:pPr>
      <w:r>
        <w:rPr>
          <w:rFonts w:hint="eastAsia" w:ascii="宋体" w:hAnsi="宋体" w:eastAsia="宋体" w:cs="宋体"/>
          <w:bCs/>
          <w:color w:val="000000"/>
          <w:kern w:val="0"/>
          <w:sz w:val="28"/>
          <w:szCs w:val="28"/>
        </w:rPr>
        <w:t>表1： “十三五”</w:t>
      </w:r>
      <w:r>
        <w:rPr>
          <w:rFonts w:hint="eastAsia" w:ascii="宋体" w:hAnsi="宋体" w:eastAsia="宋体" w:cs="宋体"/>
          <w:color w:val="000000"/>
          <w:sz w:val="28"/>
          <w:szCs w:val="28"/>
        </w:rPr>
        <w:t>与”十二五”期间</w:t>
      </w:r>
      <w:r>
        <w:rPr>
          <w:rFonts w:hint="eastAsia" w:ascii="宋体" w:hAnsi="宋体" w:eastAsia="宋体" w:cs="宋体"/>
          <w:bCs/>
          <w:color w:val="000000"/>
          <w:kern w:val="0"/>
          <w:sz w:val="28"/>
          <w:szCs w:val="28"/>
        </w:rPr>
        <w:t>全区火灾数据</w:t>
      </w:r>
    </w:p>
    <w:tbl>
      <w:tblPr>
        <w:tblStyle w:val="24"/>
        <w:tblW w:w="0" w:type="auto"/>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35"/>
        <w:gridCol w:w="1150"/>
        <w:gridCol w:w="1459"/>
        <w:gridCol w:w="1276"/>
        <w:gridCol w:w="1559"/>
        <w:gridCol w:w="170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88" w:hRule="atLeast"/>
        </w:trPr>
        <w:tc>
          <w:tcPr>
            <w:tcW w:w="2085" w:type="dxa"/>
            <w:gridSpan w:val="2"/>
            <w:vAlign w:val="center"/>
          </w:tcPr>
          <w:p>
            <w:pPr>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年   份</w:t>
            </w:r>
          </w:p>
        </w:tc>
        <w:tc>
          <w:tcPr>
            <w:tcW w:w="1459" w:type="dxa"/>
            <w:vAlign w:val="center"/>
          </w:tcPr>
          <w:p>
            <w:pPr>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火灾起数</w:t>
            </w:r>
          </w:p>
          <w:p>
            <w:pPr>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（起）</w:t>
            </w:r>
          </w:p>
        </w:tc>
        <w:tc>
          <w:tcPr>
            <w:tcW w:w="1276" w:type="dxa"/>
            <w:vAlign w:val="center"/>
          </w:tcPr>
          <w:p>
            <w:pPr>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死亡人数</w:t>
            </w:r>
          </w:p>
          <w:p>
            <w:pPr>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（人）</w:t>
            </w:r>
          </w:p>
        </w:tc>
        <w:tc>
          <w:tcPr>
            <w:tcW w:w="1559" w:type="dxa"/>
            <w:vAlign w:val="center"/>
          </w:tcPr>
          <w:p>
            <w:pPr>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受伤人数</w:t>
            </w:r>
          </w:p>
          <w:p>
            <w:pPr>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（人）</w:t>
            </w:r>
          </w:p>
        </w:tc>
        <w:tc>
          <w:tcPr>
            <w:tcW w:w="1701" w:type="dxa"/>
            <w:vAlign w:val="center"/>
          </w:tcPr>
          <w:p>
            <w:pPr>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直接财产损失（万元）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3" w:hRule="atLeast"/>
        </w:trPr>
        <w:tc>
          <w:tcPr>
            <w:tcW w:w="935" w:type="dxa"/>
            <w:vMerge w:val="restart"/>
            <w:vAlign w:val="center"/>
          </w:tcPr>
          <w:p>
            <w:pPr>
              <w:widowControl/>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“十三五”时期</w:t>
            </w:r>
          </w:p>
        </w:tc>
        <w:tc>
          <w:tcPr>
            <w:tcW w:w="1150" w:type="dxa"/>
            <w:vAlign w:val="center"/>
          </w:tcPr>
          <w:p>
            <w:pPr>
              <w:widowControl/>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2016年</w:t>
            </w:r>
          </w:p>
        </w:tc>
        <w:tc>
          <w:tcPr>
            <w:tcW w:w="1459" w:type="dxa"/>
            <w:vAlign w:val="center"/>
          </w:tcPr>
          <w:p>
            <w:pPr>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392</w:t>
            </w:r>
          </w:p>
        </w:tc>
        <w:tc>
          <w:tcPr>
            <w:tcW w:w="1276" w:type="dxa"/>
            <w:vAlign w:val="center"/>
          </w:tcPr>
          <w:p>
            <w:pPr>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559" w:type="dxa"/>
            <w:vAlign w:val="center"/>
          </w:tcPr>
          <w:p>
            <w:pPr>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0</w:t>
            </w:r>
          </w:p>
        </w:tc>
        <w:tc>
          <w:tcPr>
            <w:tcW w:w="1701" w:type="dxa"/>
            <w:vAlign w:val="center"/>
          </w:tcPr>
          <w:p>
            <w:pPr>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738.43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935" w:type="dxa"/>
            <w:vMerge w:val="continue"/>
            <w:vAlign w:val="center"/>
          </w:tcPr>
          <w:p>
            <w:pPr>
              <w:widowControl/>
              <w:snapToGrid w:val="0"/>
              <w:spacing w:line="600" w:lineRule="exact"/>
              <w:ind w:firstLine="480" w:firstLineChars="200"/>
              <w:jc w:val="center"/>
              <w:rPr>
                <w:rFonts w:ascii="宋体" w:hAnsi="宋体" w:eastAsia="宋体" w:cs="宋体"/>
                <w:kern w:val="0"/>
                <w:sz w:val="24"/>
                <w:szCs w:val="24"/>
              </w:rPr>
            </w:pPr>
          </w:p>
        </w:tc>
        <w:tc>
          <w:tcPr>
            <w:tcW w:w="1150" w:type="dxa"/>
            <w:vAlign w:val="center"/>
          </w:tcPr>
          <w:p>
            <w:pPr>
              <w:widowControl/>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2017年</w:t>
            </w:r>
          </w:p>
        </w:tc>
        <w:tc>
          <w:tcPr>
            <w:tcW w:w="1459" w:type="dxa"/>
            <w:vAlign w:val="center"/>
          </w:tcPr>
          <w:p>
            <w:pPr>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257</w:t>
            </w:r>
          </w:p>
        </w:tc>
        <w:tc>
          <w:tcPr>
            <w:tcW w:w="1276" w:type="dxa"/>
            <w:vAlign w:val="center"/>
          </w:tcPr>
          <w:p>
            <w:pPr>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59" w:type="dxa"/>
            <w:vAlign w:val="center"/>
          </w:tcPr>
          <w:p>
            <w:pPr>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701" w:type="dxa"/>
            <w:vAlign w:val="center"/>
          </w:tcPr>
          <w:p>
            <w:pPr>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293.88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935" w:type="dxa"/>
            <w:vMerge w:val="continue"/>
            <w:vAlign w:val="center"/>
          </w:tcPr>
          <w:p>
            <w:pPr>
              <w:widowControl/>
              <w:snapToGrid w:val="0"/>
              <w:spacing w:line="600" w:lineRule="exact"/>
              <w:ind w:firstLine="480" w:firstLineChars="200"/>
              <w:jc w:val="center"/>
              <w:rPr>
                <w:rFonts w:ascii="宋体" w:hAnsi="宋体" w:eastAsia="宋体" w:cs="宋体"/>
                <w:kern w:val="0"/>
                <w:sz w:val="24"/>
                <w:szCs w:val="24"/>
              </w:rPr>
            </w:pPr>
          </w:p>
        </w:tc>
        <w:tc>
          <w:tcPr>
            <w:tcW w:w="1150" w:type="dxa"/>
            <w:vAlign w:val="center"/>
          </w:tcPr>
          <w:p>
            <w:pPr>
              <w:widowControl/>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2018年</w:t>
            </w:r>
          </w:p>
        </w:tc>
        <w:tc>
          <w:tcPr>
            <w:tcW w:w="1459" w:type="dxa"/>
            <w:vAlign w:val="center"/>
          </w:tcPr>
          <w:p>
            <w:pPr>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271</w:t>
            </w:r>
          </w:p>
        </w:tc>
        <w:tc>
          <w:tcPr>
            <w:tcW w:w="1276" w:type="dxa"/>
            <w:vAlign w:val="center"/>
          </w:tcPr>
          <w:p>
            <w:pPr>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559" w:type="dxa"/>
            <w:vAlign w:val="center"/>
          </w:tcPr>
          <w:p>
            <w:pPr>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0</w:t>
            </w:r>
          </w:p>
        </w:tc>
        <w:tc>
          <w:tcPr>
            <w:tcW w:w="1701" w:type="dxa"/>
            <w:vAlign w:val="center"/>
          </w:tcPr>
          <w:p>
            <w:pPr>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167.82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935" w:type="dxa"/>
            <w:vMerge w:val="continue"/>
            <w:vAlign w:val="center"/>
          </w:tcPr>
          <w:p>
            <w:pPr>
              <w:widowControl/>
              <w:snapToGrid w:val="0"/>
              <w:spacing w:line="600" w:lineRule="exact"/>
              <w:ind w:firstLine="480" w:firstLineChars="200"/>
              <w:jc w:val="center"/>
              <w:rPr>
                <w:rFonts w:ascii="宋体" w:hAnsi="宋体" w:eastAsia="宋体" w:cs="宋体"/>
                <w:kern w:val="0"/>
                <w:sz w:val="24"/>
                <w:szCs w:val="24"/>
              </w:rPr>
            </w:pPr>
          </w:p>
        </w:tc>
        <w:tc>
          <w:tcPr>
            <w:tcW w:w="1150" w:type="dxa"/>
            <w:vAlign w:val="center"/>
          </w:tcPr>
          <w:p>
            <w:pPr>
              <w:widowControl/>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2019年</w:t>
            </w:r>
          </w:p>
        </w:tc>
        <w:tc>
          <w:tcPr>
            <w:tcW w:w="1459" w:type="dxa"/>
            <w:vAlign w:val="center"/>
          </w:tcPr>
          <w:p>
            <w:pPr>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272</w:t>
            </w:r>
          </w:p>
        </w:tc>
        <w:tc>
          <w:tcPr>
            <w:tcW w:w="1276" w:type="dxa"/>
            <w:vAlign w:val="center"/>
          </w:tcPr>
          <w:p>
            <w:pPr>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559" w:type="dxa"/>
            <w:vAlign w:val="center"/>
          </w:tcPr>
          <w:p>
            <w:pPr>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701" w:type="dxa"/>
            <w:vAlign w:val="center"/>
          </w:tcPr>
          <w:p>
            <w:pPr>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250.79</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935" w:type="dxa"/>
            <w:vMerge w:val="continue"/>
            <w:vAlign w:val="center"/>
          </w:tcPr>
          <w:p>
            <w:pPr>
              <w:widowControl/>
              <w:snapToGrid w:val="0"/>
              <w:spacing w:line="600" w:lineRule="exact"/>
              <w:ind w:firstLine="480" w:firstLineChars="200"/>
              <w:jc w:val="center"/>
              <w:rPr>
                <w:rFonts w:ascii="宋体" w:hAnsi="宋体" w:eastAsia="宋体" w:cs="宋体"/>
                <w:kern w:val="0"/>
                <w:sz w:val="24"/>
                <w:szCs w:val="24"/>
              </w:rPr>
            </w:pPr>
          </w:p>
        </w:tc>
        <w:tc>
          <w:tcPr>
            <w:tcW w:w="1150" w:type="dxa"/>
            <w:vAlign w:val="center"/>
          </w:tcPr>
          <w:p>
            <w:pPr>
              <w:widowControl/>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2020年</w:t>
            </w:r>
          </w:p>
        </w:tc>
        <w:tc>
          <w:tcPr>
            <w:tcW w:w="1459" w:type="dxa"/>
            <w:vAlign w:val="center"/>
          </w:tcPr>
          <w:p>
            <w:pPr>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240</w:t>
            </w:r>
          </w:p>
        </w:tc>
        <w:tc>
          <w:tcPr>
            <w:tcW w:w="1276" w:type="dxa"/>
            <w:vAlign w:val="center"/>
          </w:tcPr>
          <w:p>
            <w:pPr>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559" w:type="dxa"/>
            <w:vAlign w:val="center"/>
          </w:tcPr>
          <w:p>
            <w:pPr>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0</w:t>
            </w:r>
          </w:p>
        </w:tc>
        <w:tc>
          <w:tcPr>
            <w:tcW w:w="1701" w:type="dxa"/>
            <w:vAlign w:val="center"/>
          </w:tcPr>
          <w:p>
            <w:pPr>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229.39</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935" w:type="dxa"/>
            <w:vMerge w:val="continue"/>
            <w:vAlign w:val="center"/>
          </w:tcPr>
          <w:p>
            <w:pPr>
              <w:widowControl/>
              <w:snapToGrid w:val="0"/>
              <w:spacing w:line="600" w:lineRule="exact"/>
              <w:ind w:firstLine="480" w:firstLineChars="200"/>
              <w:jc w:val="center"/>
              <w:rPr>
                <w:rFonts w:ascii="宋体" w:hAnsi="宋体" w:eastAsia="宋体" w:cs="宋体"/>
                <w:kern w:val="0"/>
                <w:sz w:val="24"/>
                <w:szCs w:val="24"/>
              </w:rPr>
            </w:pPr>
          </w:p>
        </w:tc>
        <w:tc>
          <w:tcPr>
            <w:tcW w:w="1150" w:type="dxa"/>
            <w:vAlign w:val="center"/>
          </w:tcPr>
          <w:p>
            <w:pPr>
              <w:widowControl/>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合  计</w:t>
            </w:r>
          </w:p>
        </w:tc>
        <w:tc>
          <w:tcPr>
            <w:tcW w:w="1459" w:type="dxa"/>
            <w:vAlign w:val="center"/>
          </w:tcPr>
          <w:p>
            <w:pPr>
              <w:snapToGrid w:val="0"/>
              <w:spacing w:line="600" w:lineRule="exact"/>
              <w:jc w:val="center"/>
              <w:rPr>
                <w:rFonts w:ascii="宋体" w:hAnsi="宋体" w:eastAsia="宋体" w:cs="宋体"/>
                <w:color w:val="FF0000"/>
                <w:kern w:val="0"/>
                <w:sz w:val="24"/>
                <w:szCs w:val="24"/>
              </w:rPr>
            </w:pPr>
            <w:r>
              <w:rPr>
                <w:rFonts w:hint="eastAsia" w:ascii="宋体" w:hAnsi="宋体" w:eastAsia="宋体" w:cs="宋体"/>
                <w:kern w:val="0"/>
                <w:sz w:val="24"/>
                <w:szCs w:val="24"/>
              </w:rPr>
              <w:t>1432</w:t>
            </w:r>
          </w:p>
        </w:tc>
        <w:tc>
          <w:tcPr>
            <w:tcW w:w="1276" w:type="dxa"/>
            <w:vAlign w:val="center"/>
          </w:tcPr>
          <w:p>
            <w:pPr>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13</w:t>
            </w:r>
          </w:p>
        </w:tc>
        <w:tc>
          <w:tcPr>
            <w:tcW w:w="1559" w:type="dxa"/>
            <w:vAlign w:val="center"/>
          </w:tcPr>
          <w:p>
            <w:pPr>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701" w:type="dxa"/>
            <w:vAlign w:val="center"/>
          </w:tcPr>
          <w:p>
            <w:pPr>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1680.31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085" w:type="dxa"/>
            <w:gridSpan w:val="2"/>
            <w:vAlign w:val="center"/>
          </w:tcPr>
          <w:p>
            <w:pPr>
              <w:widowControl/>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“十二五”时期（2011-2015年）</w:t>
            </w:r>
          </w:p>
        </w:tc>
        <w:tc>
          <w:tcPr>
            <w:tcW w:w="1459" w:type="dxa"/>
            <w:vAlign w:val="center"/>
          </w:tcPr>
          <w:p>
            <w:pPr>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1647</w:t>
            </w:r>
          </w:p>
        </w:tc>
        <w:tc>
          <w:tcPr>
            <w:tcW w:w="1276" w:type="dxa"/>
            <w:vAlign w:val="center"/>
          </w:tcPr>
          <w:p>
            <w:pPr>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16</w:t>
            </w:r>
          </w:p>
        </w:tc>
        <w:tc>
          <w:tcPr>
            <w:tcW w:w="1559" w:type="dxa"/>
            <w:vAlign w:val="center"/>
          </w:tcPr>
          <w:p>
            <w:pPr>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701" w:type="dxa"/>
            <w:vAlign w:val="center"/>
          </w:tcPr>
          <w:p>
            <w:pPr>
              <w:snapToGrid w:val="0"/>
              <w:spacing w:line="600" w:lineRule="exact"/>
              <w:jc w:val="center"/>
              <w:rPr>
                <w:rFonts w:ascii="宋体" w:hAnsi="宋体" w:eastAsia="宋体" w:cs="宋体"/>
                <w:kern w:val="0"/>
                <w:sz w:val="24"/>
                <w:szCs w:val="24"/>
              </w:rPr>
            </w:pPr>
            <w:r>
              <w:rPr>
                <w:rFonts w:hint="eastAsia" w:ascii="宋体" w:hAnsi="宋体" w:eastAsia="宋体" w:cs="宋体"/>
                <w:kern w:val="0"/>
                <w:sz w:val="24"/>
                <w:szCs w:val="24"/>
              </w:rPr>
              <w:t>1811.4</w:t>
            </w:r>
          </w:p>
        </w:tc>
      </w:tr>
    </w:tbl>
    <w:p>
      <w:pPr>
        <w:adjustRightInd w:val="0"/>
        <w:snapToGrid w:val="0"/>
        <w:spacing w:line="600" w:lineRule="exact"/>
        <w:rPr>
          <w:rFonts w:ascii="宋体" w:hAnsi="宋体" w:eastAsia="宋体" w:cs="宋体"/>
          <w:b/>
          <w:bCs/>
          <w:szCs w:val="32"/>
        </w:rPr>
      </w:pPr>
      <w:r>
        <w:rPr>
          <w:rFonts w:ascii="宋体" w:hAnsi="宋体" w:eastAsia="宋体" w:cs="宋体"/>
          <w:bCs/>
          <w:color w:val="000000"/>
          <w:kern w:val="0"/>
          <w:sz w:val="28"/>
          <w:szCs w:val="28"/>
        </w:rPr>
        <w:pict>
          <v:shape id="Object 2" o:spid="_x0000_s1026" o:spt="75" type="#_x0000_t75" style="position:absolute;left:0pt;margin-left:-28.7pt;margin-top:33.45pt;height:219.75pt;width:444.1pt;mso-wrap-distance-bottom:0pt;mso-wrap-distance-top:0pt;z-index:251659264;mso-width-relative:page;mso-height-relative:page;" o:ole="t" filled="f" o:preferrelative="t" stroked="f" coordsize="21600,21600">
            <v:path/>
            <v:fill on="f" focussize="0,0"/>
            <v:stroke on="f" joinstyle="miter"/>
            <v:imagedata r:id="rId8" o:title=""/>
            <o:lock v:ext="edit" aspectratio="t"/>
            <w10:wrap type="topAndBottom"/>
          </v:shape>
          <o:OLEObject Type="Embed" ProgID="Excel.Sheet.8" ShapeID="Object 2" DrawAspect="Content" ObjectID="_1468075725" r:id="rId7">
            <o:LockedField>false</o:LockedField>
          </o:OLEObject>
        </w:pict>
      </w:r>
    </w:p>
    <w:p>
      <w:pPr>
        <w:snapToGrid w:val="0"/>
        <w:spacing w:line="600" w:lineRule="exact"/>
        <w:jc w:val="center"/>
        <w:rPr>
          <w:rFonts w:ascii="宋体" w:hAnsi="宋体" w:eastAsia="宋体" w:cs="宋体"/>
          <w:bCs/>
          <w:color w:val="000000"/>
          <w:kern w:val="0"/>
          <w:sz w:val="28"/>
          <w:szCs w:val="28"/>
        </w:rPr>
      </w:pPr>
      <w:r>
        <w:rPr>
          <w:rFonts w:hint="eastAsia" w:ascii="宋体" w:hAnsi="宋体" w:eastAsia="宋体" w:cs="宋体"/>
          <w:bCs/>
          <w:color w:val="000000"/>
          <w:kern w:val="0"/>
          <w:sz w:val="28"/>
          <w:szCs w:val="28"/>
        </w:rPr>
        <w:t>图1：“十三五”与”十二五”期间全区火灾数据对比</w:t>
      </w:r>
    </w:p>
    <w:p>
      <w:pPr>
        <w:snapToGrid w:val="0"/>
        <w:spacing w:line="600" w:lineRule="exact"/>
        <w:jc w:val="center"/>
        <w:rPr>
          <w:rFonts w:ascii="宋体" w:hAnsi="宋体" w:eastAsia="宋体" w:cs="宋体"/>
          <w:bCs/>
          <w:color w:val="000000"/>
          <w:kern w:val="0"/>
          <w:sz w:val="28"/>
          <w:szCs w:val="28"/>
        </w:rPr>
      </w:pPr>
    </w:p>
    <w:p>
      <w:pPr>
        <w:keepNext/>
        <w:keepLines/>
        <w:numPr>
          <w:ilvl w:val="0"/>
          <w:numId w:val="2"/>
        </w:numPr>
        <w:spacing w:line="600" w:lineRule="exact"/>
        <w:ind w:left="420" w:leftChars="200" w:firstLine="643" w:firstLineChars="200"/>
        <w:jc w:val="left"/>
        <w:outlineLvl w:val="2"/>
        <w:rPr>
          <w:rFonts w:ascii="Calibri" w:hAnsi="Calibri" w:eastAsia="楷体" w:cs="Times New Roman"/>
          <w:b/>
          <w:sz w:val="32"/>
          <w:szCs w:val="24"/>
        </w:rPr>
      </w:pPr>
      <w:r>
        <w:rPr>
          <w:rFonts w:hint="eastAsia" w:ascii="Calibri" w:hAnsi="Calibri" w:eastAsia="楷体" w:cs="Times New Roman"/>
          <w:b/>
          <w:sz w:val="32"/>
          <w:szCs w:val="24"/>
        </w:rPr>
        <w:t>消防安全责任进一步落实</w:t>
      </w:r>
    </w:p>
    <w:p>
      <w:pPr>
        <w:snapToGrid w:val="0"/>
        <w:spacing w:line="600" w:lineRule="exact"/>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坚持党政同责、一岗双责、齐抓共管、失职追责，全区消防安全责任体系得到进一步完善。以区防火委为平台，强化各级政府、部门和社会单位消防工作职责，加强资源整合和共享，固化成员单位协同工作机制，形成闭环长效机制。</w:t>
      </w:r>
    </w:p>
    <w:p>
      <w:pPr>
        <w:keepNext/>
        <w:keepLines/>
        <w:numPr>
          <w:ilvl w:val="0"/>
          <w:numId w:val="2"/>
        </w:numPr>
        <w:spacing w:line="600" w:lineRule="exact"/>
        <w:ind w:left="420" w:leftChars="200" w:firstLine="643" w:firstLineChars="200"/>
        <w:jc w:val="left"/>
        <w:outlineLvl w:val="2"/>
        <w:rPr>
          <w:rFonts w:ascii="Calibri" w:hAnsi="Calibri" w:eastAsia="楷体" w:cs="Times New Roman"/>
          <w:b/>
          <w:sz w:val="32"/>
          <w:szCs w:val="24"/>
        </w:rPr>
      </w:pPr>
      <w:r>
        <w:rPr>
          <w:rFonts w:hint="eastAsia" w:ascii="Calibri" w:hAnsi="Calibri" w:eastAsia="楷体" w:cs="Times New Roman"/>
          <w:b/>
          <w:sz w:val="32"/>
          <w:szCs w:val="24"/>
        </w:rPr>
        <w:t>公共消防基础设施进一步完备</w:t>
      </w:r>
    </w:p>
    <w:p>
      <w:pPr>
        <w:autoSpaceDE w:val="0"/>
        <w:autoSpaceDN w:val="0"/>
        <w:adjustRightInd w:val="0"/>
        <w:snapToGrid w:val="0"/>
        <w:spacing w:line="600" w:lineRule="exact"/>
        <w:ind w:firstLine="640" w:firstLineChars="200"/>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“十三五”期间，丰台区消防队站建设取得快速发展，完成角门消防站、王佐消防站、丽泽消防站、消防指挥中心及马家堡合建项目建设并投入使用，大瓦窑消防站即将投入使用。成立了2</w:t>
      </w:r>
      <w:r>
        <w:rPr>
          <w:rFonts w:ascii="仿宋_GB2312" w:hAnsi="仿宋" w:eastAsia="仿宋_GB2312" w:cs="Times New Roman"/>
          <w:color w:val="000000"/>
          <w:sz w:val="32"/>
          <w:szCs w:val="32"/>
        </w:rPr>
        <w:t>2</w:t>
      </w:r>
      <w:r>
        <w:rPr>
          <w:rFonts w:hint="eastAsia" w:ascii="仿宋_GB2312" w:hAnsi="仿宋" w:eastAsia="仿宋_GB2312" w:cs="Times New Roman"/>
          <w:color w:val="000000"/>
          <w:sz w:val="32"/>
          <w:szCs w:val="32"/>
        </w:rPr>
        <w:t>座小型消防站，有效地填补了空白点，提升队站布局的科学性。“十三五期间”新建2055座消火栓、8座消防水鹤、建成率100%。全区现有消火栓9549座，其中完好9307座，因损坏、埋压、圈占、无水等情况造成无法使用的242座，完好率97.4%。在宛平湖</w:t>
      </w:r>
      <w:r>
        <w:rPr>
          <w:rFonts w:ascii="仿宋_GB2312" w:hAnsi="仿宋" w:eastAsia="仿宋_GB2312" w:cs="Times New Roman"/>
          <w:color w:val="000000"/>
          <w:sz w:val="32"/>
          <w:szCs w:val="32"/>
        </w:rPr>
        <w:t>等缺乏水源的农村地区</w:t>
      </w:r>
      <w:r>
        <w:rPr>
          <w:rFonts w:hint="eastAsia" w:ascii="仿宋_GB2312" w:hAnsi="仿宋" w:eastAsia="仿宋_GB2312" w:cs="Times New Roman"/>
          <w:color w:val="000000"/>
          <w:sz w:val="32"/>
          <w:szCs w:val="32"/>
        </w:rPr>
        <w:t>新建2个</w:t>
      </w:r>
      <w:r>
        <w:rPr>
          <w:rFonts w:ascii="仿宋_GB2312" w:hAnsi="仿宋" w:eastAsia="仿宋_GB2312" w:cs="Times New Roman"/>
          <w:color w:val="000000"/>
          <w:sz w:val="32"/>
          <w:szCs w:val="32"/>
        </w:rPr>
        <w:t>取水</w:t>
      </w:r>
      <w:r>
        <w:rPr>
          <w:rFonts w:hint="eastAsia" w:ascii="仿宋_GB2312" w:hAnsi="仿宋" w:eastAsia="仿宋_GB2312" w:cs="Times New Roman"/>
          <w:color w:val="000000"/>
          <w:sz w:val="32"/>
          <w:szCs w:val="32"/>
        </w:rPr>
        <w:t>码头</w:t>
      </w:r>
      <w:r>
        <w:rPr>
          <w:rFonts w:ascii="仿宋_GB2312" w:hAnsi="仿宋" w:eastAsia="仿宋_GB2312" w:cs="Times New Roman"/>
          <w:color w:val="000000"/>
          <w:sz w:val="32"/>
          <w:szCs w:val="32"/>
        </w:rPr>
        <w:t>。</w:t>
      </w:r>
    </w:p>
    <w:p>
      <w:pPr>
        <w:autoSpaceDE w:val="0"/>
        <w:autoSpaceDN w:val="0"/>
        <w:adjustRightInd w:val="0"/>
        <w:snapToGrid w:val="0"/>
        <w:spacing w:line="600" w:lineRule="exact"/>
        <w:jc w:val="left"/>
        <w:rPr>
          <w:rFonts w:ascii="仿宋_GB2312" w:hAnsi="仿宋" w:eastAsia="仿宋_GB2312" w:cs="Times New Roman"/>
          <w:color w:val="000000"/>
          <w:sz w:val="32"/>
          <w:szCs w:val="32"/>
        </w:rPr>
      </w:pPr>
      <w:r>
        <w:rPr>
          <w:rFonts w:ascii="楷体_GB2312" w:hAnsi="楷体_GB2312" w:eastAsia="宋体" w:cs="楷体_GB2312"/>
          <w:color w:val="000000"/>
          <w:kern w:val="0"/>
          <w:sz w:val="24"/>
          <w:szCs w:val="24"/>
        </w:rPr>
        <w:drawing>
          <wp:anchor distT="0" distB="0" distL="114300" distR="114300" simplePos="0" relativeHeight="251660288" behindDoc="0" locked="0" layoutInCell="1" allowOverlap="1">
            <wp:simplePos x="0" y="0"/>
            <wp:positionH relativeFrom="column">
              <wp:posOffset>-87630</wp:posOffset>
            </wp:positionH>
            <wp:positionV relativeFrom="paragraph">
              <wp:posOffset>154305</wp:posOffset>
            </wp:positionV>
            <wp:extent cx="5279390" cy="2878455"/>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79390" cy="2878455"/>
                    </a:xfrm>
                    <a:prstGeom prst="rect">
                      <a:avLst/>
                    </a:prstGeom>
                    <a:noFill/>
                    <a:ln>
                      <a:noFill/>
                    </a:ln>
                  </pic:spPr>
                </pic:pic>
              </a:graphicData>
            </a:graphic>
          </wp:anchor>
        </w:drawing>
      </w:r>
    </w:p>
    <w:p>
      <w:pPr>
        <w:snapToGrid w:val="0"/>
        <w:spacing w:line="600" w:lineRule="exact"/>
        <w:jc w:val="center"/>
        <w:rPr>
          <w:rFonts w:ascii="宋体" w:hAnsi="宋体" w:eastAsia="宋体" w:cs="宋体"/>
          <w:bCs/>
          <w:color w:val="000000"/>
          <w:kern w:val="0"/>
          <w:sz w:val="28"/>
          <w:szCs w:val="28"/>
        </w:rPr>
        <w:sectPr>
          <w:footerReference r:id="rId3" w:type="default"/>
          <w:pgSz w:w="11906" w:h="16838"/>
          <w:pgMar w:top="1440" w:right="1800" w:bottom="1440" w:left="1800" w:header="851" w:footer="992" w:gutter="0"/>
          <w:pgNumType w:start="1"/>
          <w:cols w:space="720" w:num="1"/>
          <w:docGrid w:type="lines" w:linePitch="312" w:charSpace="0"/>
        </w:sectPr>
      </w:pPr>
      <w:r>
        <w:rPr>
          <w:rFonts w:hint="eastAsia" w:ascii="宋体" w:hAnsi="宋体" w:eastAsia="宋体" w:cs="宋体"/>
          <w:bCs/>
          <w:color w:val="000000"/>
          <w:kern w:val="0"/>
          <w:sz w:val="28"/>
          <w:szCs w:val="28"/>
        </w:rPr>
        <w:t>图</w:t>
      </w:r>
      <w:r>
        <w:rPr>
          <w:rFonts w:ascii="宋体" w:hAnsi="宋体" w:eastAsia="宋体" w:cs="宋体"/>
          <w:bCs/>
          <w:color w:val="000000"/>
          <w:kern w:val="0"/>
          <w:sz w:val="28"/>
          <w:szCs w:val="28"/>
        </w:rPr>
        <w:t>2</w:t>
      </w:r>
      <w:r>
        <w:rPr>
          <w:rFonts w:hint="eastAsia" w:ascii="宋体" w:hAnsi="宋体" w:eastAsia="宋体" w:cs="宋体"/>
          <w:bCs/>
          <w:color w:val="000000"/>
          <w:kern w:val="0"/>
          <w:sz w:val="28"/>
          <w:szCs w:val="28"/>
        </w:rPr>
        <w:t>：“十三五”时期丰台区消防站示意图</w:t>
      </w:r>
    </w:p>
    <w:p>
      <w:pPr>
        <w:keepNext/>
        <w:keepLines/>
        <w:numPr>
          <w:ilvl w:val="0"/>
          <w:numId w:val="2"/>
        </w:numPr>
        <w:spacing w:line="600" w:lineRule="exact"/>
        <w:ind w:left="420" w:leftChars="200" w:firstLine="643" w:firstLineChars="200"/>
        <w:jc w:val="left"/>
        <w:outlineLvl w:val="2"/>
        <w:rPr>
          <w:rFonts w:ascii="Calibri" w:hAnsi="Calibri" w:eastAsia="楷体" w:cs="Times New Roman"/>
          <w:b/>
          <w:sz w:val="32"/>
          <w:szCs w:val="24"/>
        </w:rPr>
      </w:pPr>
      <w:r>
        <w:rPr>
          <w:rFonts w:hint="eastAsia" w:ascii="Calibri" w:hAnsi="Calibri" w:eastAsia="楷体" w:cs="Times New Roman"/>
          <w:b/>
          <w:sz w:val="32"/>
          <w:szCs w:val="24"/>
        </w:rPr>
        <w:t>消防安全环境进一步改善</w:t>
      </w:r>
    </w:p>
    <w:p>
      <w:pPr>
        <w:snapToGrid w:val="0"/>
        <w:spacing w:line="600" w:lineRule="exact"/>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梳理餐饮场所、沿街门店、出租房屋、物流仓储、彩钢板、施工工地、商场市场、易燃易爆等8类需要重点防控的场所类型及3个火灾防控难点；摸排12个缺水区域和9个城镇结合部重点区域，指导各镇街全面开展消防安全评估。</w:t>
      </w:r>
      <w:r>
        <w:rPr>
          <w:rFonts w:hint="eastAsia" w:ascii="仿宋_GB2312" w:hAnsi="仿宋_GB2312" w:eastAsia="仿宋_GB2312" w:cs="仿宋_GB2312"/>
          <w:sz w:val="32"/>
          <w:szCs w:val="32"/>
        </w:rPr>
        <w:t>依托“街道吹哨、部门报到”机制启动网格管控，完善全区22个大网格、415个中网格以及3460个小网格，</w:t>
      </w:r>
      <w:r>
        <w:rPr>
          <w:rFonts w:hint="eastAsia" w:ascii="仿宋_GB2312" w:hAnsi="仿宋" w:eastAsia="仿宋_GB2312" w:cs="Times New Roman"/>
          <w:sz w:val="32"/>
          <w:szCs w:val="32"/>
        </w:rPr>
        <w:t>发动群防群治力量开展巡查检查和隐患整治。</w:t>
      </w:r>
      <w:r>
        <w:rPr>
          <w:rFonts w:hint="eastAsia" w:ascii="仿宋_GB2312" w:hAnsi="仿宋_GB2312" w:eastAsia="仿宋_GB2312" w:cs="仿宋_GB2312"/>
          <w:sz w:val="32"/>
          <w:szCs w:val="32"/>
        </w:rPr>
        <w:t>全区</w:t>
      </w:r>
      <w:r>
        <w:rPr>
          <w:rFonts w:ascii="仿宋_GB2312" w:hAnsi="仿宋_GB2312" w:eastAsia="仿宋_GB2312" w:cs="仿宋_GB2312"/>
          <w:sz w:val="32"/>
          <w:szCs w:val="32"/>
        </w:rPr>
        <w:t>12个行业系统、22个街镇、33个派出所协同开展8个领域专项检查</w:t>
      </w:r>
      <w:r>
        <w:rPr>
          <w:rFonts w:hint="eastAsia" w:ascii="仿宋_GB2312" w:hAnsi="仿宋_GB2312" w:eastAsia="仿宋_GB2312" w:cs="仿宋_GB2312"/>
          <w:sz w:val="32"/>
          <w:szCs w:val="32"/>
        </w:rPr>
        <w:t>;</w:t>
      </w:r>
      <w:r>
        <w:rPr>
          <w:rFonts w:hint="eastAsia" w:ascii="仿宋_GB2312" w:hAnsi="Calibri" w:eastAsia="仿宋_GB2312" w:cs="Times New Roman"/>
          <w:sz w:val="32"/>
          <w:szCs w:val="32"/>
        </w:rPr>
        <w:t>开展住宅小区消防安全星级评价管理试点工作，明确8大类30项评价细则，对居民小区实施1至3级星级管理，以“丰台经验”、“丰台方法”探索打造全区住宅小区消防治理新模式。在政府为民办实事工作中，安装独立报警装置27.825万个，</w:t>
      </w:r>
      <w:r>
        <w:rPr>
          <w:rFonts w:hint="eastAsia" w:ascii="仿宋_GB2312" w:hAnsi="Calibri" w:eastAsia="仿宋_GB2312" w:cs="Times New Roman"/>
          <w:color w:val="000000"/>
          <w:sz w:val="32"/>
          <w:szCs w:val="32"/>
        </w:rPr>
        <w:t>启用独立感烟系统检测平台实现数据同步监控；</w:t>
      </w:r>
      <w:r>
        <w:rPr>
          <w:rFonts w:hint="eastAsia" w:ascii="仿宋_GB2312" w:hAnsi="Calibri" w:eastAsia="仿宋_GB2312" w:cs="Times New Roman"/>
          <w:sz w:val="32"/>
          <w:szCs w:val="32"/>
        </w:rPr>
        <w:t>积极发动镇街和社区（村）多方筹措资金，在村民宅基地出租房屋安装简易喷淋装置；在全区612家重点单位安装了物联网远程监控系统，</w:t>
      </w:r>
      <w:r>
        <w:rPr>
          <w:rFonts w:hint="eastAsia" w:ascii="仿宋_GB2312" w:hAnsi="Calibri" w:eastAsia="仿宋_GB2312" w:cs="Times New Roman"/>
          <w:color w:val="000000"/>
          <w:sz w:val="32"/>
          <w:szCs w:val="32"/>
        </w:rPr>
        <w:t>全区</w:t>
      </w:r>
      <w:r>
        <w:rPr>
          <w:rFonts w:hint="eastAsia" w:ascii="仿宋_GB2312" w:hAnsi="仿宋" w:eastAsia="仿宋_GB2312" w:cs="Times New Roman"/>
          <w:sz w:val="32"/>
          <w:szCs w:val="32"/>
        </w:rPr>
        <w:t>消防安全环境明显改善。</w:t>
      </w:r>
    </w:p>
    <w:p>
      <w:pPr>
        <w:keepNext/>
        <w:keepLines/>
        <w:numPr>
          <w:ilvl w:val="0"/>
          <w:numId w:val="2"/>
        </w:numPr>
        <w:spacing w:line="600" w:lineRule="exact"/>
        <w:ind w:left="420" w:leftChars="200" w:firstLine="643" w:firstLineChars="200"/>
        <w:jc w:val="left"/>
        <w:outlineLvl w:val="2"/>
        <w:rPr>
          <w:rFonts w:ascii="Calibri" w:hAnsi="Calibri" w:eastAsia="楷体" w:cs="Times New Roman"/>
          <w:b/>
          <w:sz w:val="32"/>
          <w:szCs w:val="24"/>
        </w:rPr>
      </w:pPr>
      <w:r>
        <w:rPr>
          <w:rFonts w:hint="eastAsia" w:ascii="Calibri" w:hAnsi="Calibri" w:eastAsia="楷体" w:cs="Times New Roman"/>
          <w:b/>
          <w:sz w:val="32"/>
          <w:szCs w:val="24"/>
        </w:rPr>
        <w:t>火灾风险隐患进一步消减</w:t>
      </w:r>
    </w:p>
    <w:p>
      <w:pPr>
        <w:snapToGrid w:val="0"/>
        <w:spacing w:line="600" w:lineRule="exact"/>
        <w:ind w:firstLine="640" w:firstLineChars="200"/>
        <w:rPr>
          <w:rFonts w:ascii="仿宋_GB2312" w:hAnsi="华文仿宋" w:eastAsia="仿宋_GB2312" w:cs="华文仿宋"/>
          <w:sz w:val="32"/>
          <w:szCs w:val="32"/>
        </w:rPr>
      </w:pPr>
      <w:r>
        <w:rPr>
          <w:rFonts w:hint="eastAsia" w:ascii="仿宋_GB2312" w:hAnsi="Calibri" w:eastAsia="仿宋_GB2312" w:cs="Times New Roman"/>
          <w:sz w:val="32"/>
          <w:szCs w:val="32"/>
        </w:rPr>
        <w:t>以“防风险保平安迎大庆”消防安全执法检查专项行动为牵引，将“三自活动”、村民宅基地自建出租房屋、消防控制室和微型消防站、出租房屋及校园周边经营场所电气火灾等专项治理行动和重大安保同步推进、同频共振，全面净化消防安全环境;持续深化“放管服”改革，主动对接区住建部门做好过渡期消防审核、验收工作；分批整治重大火灾隐患21处、突出火灾隐患22处、区域性火灾隐患7处，</w:t>
      </w:r>
      <w:r>
        <w:rPr>
          <w:rFonts w:hint="eastAsia" w:ascii="Calibri" w:hAnsi="Calibri" w:eastAsia="仿宋_GB2312" w:cs="仿宋_GB2312"/>
          <w:kern w:val="0"/>
          <w:sz w:val="32"/>
          <w:szCs w:val="32"/>
        </w:rPr>
        <w:t>对火灾隐患实施综合治理、源头管控，切实保障人民群众生命财产安全</w:t>
      </w:r>
      <w:r>
        <w:rPr>
          <w:rFonts w:hint="eastAsia" w:ascii="仿宋_GB2312" w:hAnsi="Calibri" w:eastAsia="仿宋_GB2312" w:cs="Times New Roman"/>
          <w:sz w:val="32"/>
          <w:szCs w:val="32"/>
        </w:rPr>
        <w:t>。累计检查单位10677家次，发现整改隐患141679处，下发责令改正通知书44343份，查封2609家次，三停653家次，罚款3971.66万元，拘留330人次。</w:t>
      </w:r>
    </w:p>
    <w:p>
      <w:pPr>
        <w:keepNext/>
        <w:keepLines/>
        <w:numPr>
          <w:ilvl w:val="0"/>
          <w:numId w:val="2"/>
        </w:numPr>
        <w:spacing w:line="600" w:lineRule="exact"/>
        <w:ind w:left="420" w:leftChars="200" w:firstLine="643" w:firstLineChars="200"/>
        <w:jc w:val="left"/>
        <w:outlineLvl w:val="2"/>
        <w:rPr>
          <w:rFonts w:ascii="Calibri" w:hAnsi="Calibri" w:eastAsia="楷体" w:cs="Times New Roman"/>
          <w:b/>
          <w:sz w:val="32"/>
          <w:szCs w:val="24"/>
        </w:rPr>
      </w:pPr>
      <w:r>
        <w:rPr>
          <w:rFonts w:hint="eastAsia" w:ascii="Calibri" w:hAnsi="Calibri" w:eastAsia="楷体" w:cs="Times New Roman"/>
          <w:b/>
          <w:sz w:val="32"/>
          <w:szCs w:val="24"/>
        </w:rPr>
        <w:t>消防执法改革不断深入</w:t>
      </w:r>
    </w:p>
    <w:p>
      <w:pPr>
        <w:snapToGrid w:val="0"/>
        <w:spacing w:line="600" w:lineRule="exact"/>
        <w:ind w:firstLine="640" w:firstLineChars="200"/>
        <w:rPr>
          <w:rFonts w:ascii="仿宋_GB2312" w:hAnsi="仿宋" w:eastAsia="仿宋_GB2312" w:cs="Times New Roman"/>
          <w:color w:val="000000"/>
          <w:sz w:val="32"/>
          <w:szCs w:val="32"/>
        </w:rPr>
      </w:pPr>
      <w:r>
        <w:rPr>
          <w:rFonts w:hint="eastAsia" w:ascii="仿宋_GB2312" w:hAnsi="Calibri" w:eastAsia="仿宋_GB2312" w:cs="Times New Roman"/>
          <w:sz w:val="32"/>
          <w:szCs w:val="32"/>
        </w:rPr>
        <w:t>深入落实国务院《关于在市场监管领域全面推行部门联合“双随机、一公开”监管的意见》的部署要求，不断提升人民群众的满意度。</w:t>
      </w:r>
      <w:r>
        <w:rPr>
          <w:rFonts w:hint="eastAsia" w:ascii="仿宋_GB2312" w:hAnsi="仿宋_GB2312" w:eastAsia="仿宋_GB2312" w:cs="仿宋_GB2312"/>
          <w:sz w:val="32"/>
          <w:szCs w:val="32"/>
        </w:rPr>
        <w:t>建立火灾事故延伸调查机制，对工程建设、中介服务、消防产品质量、使用管理等情况开展延伸调查和责任倒查。完善联合惩戒机制，依法对消防安全主体责任不落实的单位给予停业整顿、降低资质等级、吊销资质证书和营业执照处理，对负有责任的法定代表人、主要责任人、直接责任人或实际控制人实施暂停执业、吊销资格证书、一定时间内直至终身行业禁入等处罚，对严重违法失信的依法纳入信用“黑名单”管理，对涉嫌失火、消防责任事故等犯罪的追</w:t>
      </w:r>
      <w:r>
        <w:rPr>
          <w:rFonts w:hint="eastAsia" w:ascii="仿宋_GB2312" w:hAnsi="仿宋_GB2312" w:eastAsia="仿宋_GB2312" w:cs="仿宋_GB2312"/>
          <w:sz w:val="32"/>
          <w:szCs w:val="32"/>
          <w:lang w:val="en-US" w:eastAsia="zh-CN"/>
        </w:rPr>
        <w:t>究</w:t>
      </w:r>
      <w:r>
        <w:rPr>
          <w:rFonts w:hint="eastAsia" w:ascii="仿宋_GB2312" w:hAnsi="仿宋_GB2312" w:eastAsia="仿宋_GB2312" w:cs="仿宋_GB2312"/>
          <w:sz w:val="32"/>
          <w:szCs w:val="32"/>
        </w:rPr>
        <w:t>刑事责任。深入推进较大及以上火灾事故“一案三查”，查实有关行业、部门及基层组织等安全监管职责落实情况，严肃追究责任，提出改进意见和措施。建立较大及以上火灾事故调查处理信息通报和整改措施落实情况评估制度，向社会公开调查处理和评估情况，强化警示教育。</w:t>
      </w:r>
    </w:p>
    <w:p>
      <w:pPr>
        <w:keepNext/>
        <w:keepLines/>
        <w:numPr>
          <w:ilvl w:val="0"/>
          <w:numId w:val="2"/>
        </w:numPr>
        <w:spacing w:line="600" w:lineRule="exact"/>
        <w:ind w:left="92" w:leftChars="44" w:firstLine="643" w:firstLineChars="200"/>
        <w:jc w:val="left"/>
        <w:outlineLvl w:val="2"/>
        <w:rPr>
          <w:rFonts w:ascii="Calibri" w:hAnsi="Calibri" w:eastAsia="楷体" w:cs="Times New Roman"/>
          <w:b/>
          <w:sz w:val="32"/>
          <w:szCs w:val="24"/>
        </w:rPr>
      </w:pPr>
      <w:r>
        <w:rPr>
          <w:rFonts w:hint="eastAsia" w:ascii="Calibri" w:hAnsi="Calibri" w:eastAsia="楷体" w:cs="Times New Roman"/>
          <w:b/>
          <w:sz w:val="32"/>
          <w:szCs w:val="24"/>
        </w:rPr>
        <w:t>消防安全宣传进一步强化</w:t>
      </w:r>
    </w:p>
    <w:p>
      <w:pPr>
        <w:snapToGrid w:val="0"/>
        <w:spacing w:line="600" w:lineRule="exact"/>
        <w:ind w:firstLine="640" w:firstLineChars="200"/>
        <w:rPr>
          <w:rFonts w:ascii="仿宋_GB2312" w:hAnsi="Calibri" w:eastAsia="仿宋_GB2312" w:cs="Times New Roman"/>
          <w:spacing w:val="-6"/>
          <w:sz w:val="32"/>
          <w:szCs w:val="32"/>
        </w:rPr>
      </w:pPr>
      <w:r>
        <w:rPr>
          <w:rFonts w:hint="eastAsia" w:ascii="仿宋_GB2312" w:hAnsi="Calibri" w:eastAsia="仿宋_GB2312" w:cs="Times New Roman"/>
          <w:sz w:val="32"/>
          <w:szCs w:val="32"/>
        </w:rPr>
        <w:t>树立“大宣传”理念，不断拓宽消防安全宣传、教育和培训的新渠道，打造了丰台消防宣传车、“丰台消防”抖音号、巾帼志愿服务队、丰台全民消防宣传大培训等宣传品牌，全民消防宣传大培训</w:t>
      </w:r>
      <w:r>
        <w:rPr>
          <w:rFonts w:hint="eastAsia" w:ascii="仿宋_GB2312" w:hAnsi="Calibri" w:eastAsia="仿宋_GB2312" w:cs="Times New Roman"/>
          <w:spacing w:val="-6"/>
          <w:sz w:val="32"/>
          <w:szCs w:val="32"/>
        </w:rPr>
        <w:t>累计投入360余万，共计培训人员为38万余人。期间，丰台支队</w:t>
      </w:r>
      <w:r>
        <w:rPr>
          <w:rFonts w:hint="eastAsia" w:ascii="仿宋_GB2312" w:hAnsi="Calibri" w:eastAsia="仿宋_GB2312" w:cs="Times New Roman"/>
          <w:sz w:val="32"/>
          <w:szCs w:val="32"/>
        </w:rPr>
        <w:t>主动融入区级融媒体中心，共计开展直播活动12次，开设消防宣传专题专栏1个，实现区域媒体融合矩阵；完善微博、微信、今日头条、抖音、快手运行机制，共计发布相关消防宣传提示视频300余个，宣传提示信息2000余条；广泛利用社会单位、居民小区电子屏、广告栏等消防安全宣传阵地，加强消防常识普及、案例警示、隐患曝光力度，共依托全区285个广告栏、180个电子显示屏开展宣传提示，曝光隐患36个，发布微信作品1550条，抖音作品45条，</w:t>
      </w:r>
      <w:r>
        <w:rPr>
          <w:rFonts w:hint="eastAsia" w:ascii="仿宋_GB2312" w:hAnsi="Calibri" w:eastAsia="仿宋_GB2312" w:cs="Times New Roman"/>
          <w:spacing w:val="-6"/>
          <w:sz w:val="32"/>
          <w:szCs w:val="32"/>
        </w:rPr>
        <w:t>依托消防宣传车开展消防宣传活动158次，</w:t>
      </w:r>
      <w:r>
        <w:rPr>
          <w:rFonts w:hint="eastAsia" w:ascii="仿宋_GB2312" w:hAnsi="Calibri" w:eastAsia="仿宋_GB2312" w:cs="Times New Roman"/>
          <w:sz w:val="32"/>
          <w:szCs w:val="32"/>
        </w:rPr>
        <w:t>依托各种形</w:t>
      </w:r>
      <w:r>
        <w:rPr>
          <w:rFonts w:hint="eastAsia" w:ascii="仿宋_GB2312" w:hAnsi="Calibri" w:eastAsia="仿宋_GB2312" w:cs="Times New Roman"/>
          <w:spacing w:val="-6"/>
          <w:sz w:val="32"/>
          <w:szCs w:val="32"/>
        </w:rPr>
        <w:t>式全面深入推进消防安全“七进”工作；每年11月份组织全区开展消防主题宣传月活动，期间开展宣传活动40余场次，累计培训人员为15万余人。</w:t>
      </w:r>
    </w:p>
    <w:p>
      <w:pPr>
        <w:keepNext/>
        <w:keepLines/>
        <w:numPr>
          <w:ilvl w:val="0"/>
          <w:numId w:val="2"/>
        </w:numPr>
        <w:spacing w:line="600" w:lineRule="exact"/>
        <w:ind w:firstLine="424" w:firstLineChars="132"/>
        <w:jc w:val="left"/>
        <w:outlineLvl w:val="2"/>
        <w:rPr>
          <w:rFonts w:ascii="Calibri" w:hAnsi="Calibri" w:eastAsia="楷体" w:cs="Times New Roman"/>
          <w:b/>
          <w:sz w:val="32"/>
          <w:szCs w:val="24"/>
        </w:rPr>
      </w:pPr>
      <w:r>
        <w:rPr>
          <w:rFonts w:hint="eastAsia" w:ascii="Calibri" w:hAnsi="Calibri" w:eastAsia="楷体" w:cs="Times New Roman"/>
          <w:b/>
          <w:sz w:val="32"/>
          <w:szCs w:val="24"/>
        </w:rPr>
        <w:t>消防信息化水平进一步提高</w:t>
      </w:r>
    </w:p>
    <w:p>
      <w:pPr>
        <w:snapToGrid w:val="0"/>
        <w:spacing w:line="600" w:lineRule="exact"/>
        <w:ind w:firstLine="640" w:firstLineChars="200"/>
        <w:rPr>
          <w:rFonts w:ascii="仿宋_GB2312" w:hAnsi="Calibri" w:eastAsia="仿宋_GB2312" w:cs="Times New Roman"/>
          <w:sz w:val="32"/>
          <w:szCs w:val="32"/>
        </w:rPr>
      </w:pPr>
      <w:r>
        <w:rPr>
          <w:rFonts w:hint="eastAsia" w:ascii="仿宋_GB2312" w:hAnsi="仿宋" w:eastAsia="仿宋_GB2312" w:cs="Times New Roman"/>
          <w:color w:val="000000"/>
          <w:sz w:val="32"/>
          <w:szCs w:val="32"/>
        </w:rPr>
        <w:t>推广应用部局一体化业务信息系统，总队灭火救援业务管理、跨区域调度指挥和119接警调度等各项信息化指挥和办公平台，初步实现了信息主导警务的工作机制。购置并配发无线电台、4G单兵等基础通信装备，</w:t>
      </w:r>
      <w:r>
        <w:rPr>
          <w:rFonts w:hint="eastAsia" w:ascii="仿宋_GB2312" w:hAnsi="Calibri" w:eastAsia="仿宋_GB2312" w:cs="Times New Roman"/>
          <w:sz w:val="32"/>
          <w:szCs w:val="32"/>
        </w:rPr>
        <w:t>改造和升级</w:t>
      </w:r>
      <w:r>
        <w:rPr>
          <w:rFonts w:hint="eastAsia" w:ascii="仿宋_GB2312" w:hAnsi="仿宋" w:eastAsia="仿宋_GB2312" w:cs="Times New Roman"/>
          <w:color w:val="000000"/>
          <w:sz w:val="32"/>
          <w:szCs w:val="32"/>
        </w:rPr>
        <w:t>16个消防站、21个小型消防</w:t>
      </w:r>
      <w:r>
        <w:rPr>
          <w:rFonts w:hint="eastAsia" w:ascii="仿宋_GB2312" w:hAnsi="Calibri" w:eastAsia="仿宋_GB2312" w:cs="Times New Roman"/>
          <w:sz w:val="32"/>
          <w:szCs w:val="32"/>
        </w:rPr>
        <w:t>站的计算机通信网络，顺利实现接警和办公系统的平稳转网。完成丰台区消防指挥中心一期基础建设，强化各消防站和小型消防站的协同作战指挥能力，有效提升全区处置火灾和抢险救援事故的能力。</w:t>
      </w:r>
    </w:p>
    <w:p>
      <w:pPr>
        <w:keepNext/>
        <w:keepLines/>
        <w:snapToGrid w:val="0"/>
        <w:spacing w:line="600" w:lineRule="exact"/>
        <w:ind w:firstLine="851" w:firstLineChars="265"/>
        <w:jc w:val="left"/>
        <w:outlineLvl w:val="1"/>
        <w:rPr>
          <w:rFonts w:ascii="Arial" w:hAnsi="Arial" w:eastAsia="黑体" w:cs="Times New Roman"/>
          <w:b/>
          <w:sz w:val="32"/>
          <w:szCs w:val="24"/>
        </w:rPr>
      </w:pPr>
      <w:bookmarkStart w:id="8" w:name="_Toc12580"/>
      <w:bookmarkStart w:id="9" w:name="_Toc29081"/>
      <w:r>
        <w:rPr>
          <w:rFonts w:hint="eastAsia" w:ascii="Arial" w:hAnsi="Arial" w:eastAsia="黑体" w:cs="Times New Roman"/>
          <w:b/>
          <w:sz w:val="32"/>
          <w:szCs w:val="24"/>
        </w:rPr>
        <w:t>二、“十三五”时期存在的主要问题</w:t>
      </w:r>
      <w:bookmarkEnd w:id="8"/>
      <w:bookmarkEnd w:id="9"/>
    </w:p>
    <w:p>
      <w:pPr>
        <w:keepNext/>
        <w:keepLines/>
        <w:spacing w:line="600" w:lineRule="exact"/>
        <w:ind w:firstLine="643" w:firstLineChars="200"/>
        <w:jc w:val="left"/>
        <w:outlineLvl w:val="2"/>
        <w:rPr>
          <w:rFonts w:ascii="Calibri" w:hAnsi="Calibri" w:eastAsia="楷体" w:cs="Times New Roman"/>
          <w:b/>
          <w:sz w:val="32"/>
          <w:szCs w:val="24"/>
        </w:rPr>
      </w:pPr>
      <w:r>
        <w:rPr>
          <w:rFonts w:hint="eastAsia" w:ascii="Calibri" w:hAnsi="Calibri" w:eastAsia="楷体" w:cs="Times New Roman"/>
          <w:b/>
          <w:sz w:val="32"/>
          <w:szCs w:val="24"/>
        </w:rPr>
        <w:t>（一）公共消防基础设施仍有缺口</w:t>
      </w:r>
    </w:p>
    <w:p>
      <w:pPr>
        <w:snapToGrid w:val="0"/>
        <w:spacing w:line="600" w:lineRule="exact"/>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“十三五”期间，完成5座规划消防站、2</w:t>
      </w:r>
      <w:r>
        <w:rPr>
          <w:rFonts w:ascii="仿宋_GB2312" w:hAnsi="Calibri" w:eastAsia="仿宋_GB2312" w:cs="Times New Roman"/>
          <w:sz w:val="32"/>
          <w:szCs w:val="32"/>
        </w:rPr>
        <w:t>2</w:t>
      </w:r>
      <w:r>
        <w:rPr>
          <w:rFonts w:hint="eastAsia" w:ascii="仿宋_GB2312" w:hAnsi="Calibri" w:eastAsia="仿宋_GB2312" w:cs="Times New Roman"/>
          <w:sz w:val="32"/>
          <w:szCs w:val="32"/>
        </w:rPr>
        <w:t>座小型消防站建设任务，全区消防站达到16座。除去每座小型消防站辖区面积2平方公里外，平均每座消防站管辖区为20平方公里，部分郊区消防站辖区面积52平方公里，保护范围远超消防站7平方公里的保护范围，消防站落地难、数量整体不足、管辖面积过大的问题依然凸显。建成区市政消火栓基本达到全区覆盖，但河西、南四环外还属于缺水地区，市政消火栓数量远远达不到火灾救援的需求，消防供水仍有盲区。</w:t>
      </w:r>
    </w:p>
    <w:p>
      <w:pPr>
        <w:keepNext/>
        <w:keepLines/>
        <w:numPr>
          <w:ilvl w:val="0"/>
          <w:numId w:val="3"/>
        </w:numPr>
        <w:spacing w:line="600" w:lineRule="exact"/>
        <w:ind w:left="-11" w:firstLine="643" w:firstLineChars="200"/>
        <w:jc w:val="left"/>
        <w:outlineLvl w:val="2"/>
        <w:rPr>
          <w:rFonts w:ascii="Calibri" w:hAnsi="Calibri" w:eastAsia="楷体" w:cs="Times New Roman"/>
          <w:b/>
          <w:sz w:val="32"/>
          <w:szCs w:val="24"/>
        </w:rPr>
      </w:pPr>
      <w:r>
        <w:rPr>
          <w:rFonts w:hint="eastAsia" w:ascii="Calibri" w:hAnsi="Calibri" w:eastAsia="楷体" w:cs="Times New Roman"/>
          <w:b/>
          <w:sz w:val="32"/>
          <w:szCs w:val="24"/>
        </w:rPr>
        <w:t>消防车辆装备仍有不足</w:t>
      </w:r>
    </w:p>
    <w:p>
      <w:pPr>
        <w:snapToGrid w:val="0"/>
        <w:spacing w:line="600" w:lineRule="exact"/>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辖区消防救援支队现有各类消防车145部，基础性装备占大，高精尖装备占比小，消防车辆装备配备结构有待进一步优化；部分举高类消防车因受自身尺寸及展开空间限制而难以发挥其性能优势，部分车辆装备使用率不高。装备器材8.4万余件，专业化装备数量需进一步加大；处置灾种灾害的特殊装备缺乏，专业化救援装备以及救援、保障、运输功能类车辆较少，未成系统化、体系化配备。</w:t>
      </w:r>
    </w:p>
    <w:p>
      <w:pPr>
        <w:keepNext/>
        <w:keepLines/>
        <w:numPr>
          <w:ilvl w:val="0"/>
          <w:numId w:val="3"/>
        </w:numPr>
        <w:spacing w:line="600" w:lineRule="exact"/>
        <w:ind w:firstLine="720" w:firstLineChars="224"/>
        <w:jc w:val="left"/>
        <w:outlineLvl w:val="2"/>
        <w:rPr>
          <w:rFonts w:ascii="Calibri" w:hAnsi="Calibri" w:eastAsia="楷体" w:cs="Times New Roman"/>
          <w:b/>
          <w:sz w:val="32"/>
          <w:szCs w:val="24"/>
        </w:rPr>
      </w:pPr>
      <w:r>
        <w:rPr>
          <w:rFonts w:hint="eastAsia" w:ascii="Calibri" w:hAnsi="Calibri" w:eastAsia="楷体" w:cs="Times New Roman"/>
          <w:b/>
          <w:sz w:val="32"/>
          <w:szCs w:val="24"/>
        </w:rPr>
        <w:t>消防信息化水平仍需提升</w:t>
      </w:r>
    </w:p>
    <w:p>
      <w:pPr>
        <w:snapToGrid w:val="0"/>
        <w:spacing w:line="600" w:lineRule="exact"/>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目前全区的消防信息化系统主要还是基于传统信息化手段建设，物联网、大数据、云计算、人工智能等新一代信息技术应用不足，智能决策的支撑能力不足，获取信息手段能力不足，政务服务普惠便捷不够，部分信息融合程度不高，服务公众方法常规单一，采集信息的准确性、时效性有待提高，应急通信装备集成化、轻便性和网络的对抗性、扩展性不高，尚不能完全满足“全天候、全地域”的通信保障需要。各信息化平台的综合应用能力还有待进一步加强，各类系统在信息深度关联、广度拓展和高端应用方面，与当前和未来一个时期的工作需求还有一定差距，亟需完善和调整。</w:t>
      </w:r>
    </w:p>
    <w:p>
      <w:pPr>
        <w:keepNext/>
        <w:keepLines/>
        <w:numPr>
          <w:ilvl w:val="0"/>
          <w:numId w:val="3"/>
        </w:numPr>
        <w:spacing w:line="600" w:lineRule="exact"/>
        <w:ind w:firstLine="720" w:firstLineChars="224"/>
        <w:jc w:val="left"/>
        <w:outlineLvl w:val="2"/>
        <w:rPr>
          <w:rFonts w:ascii="Calibri" w:hAnsi="Calibri" w:eastAsia="楷体" w:cs="Times New Roman"/>
          <w:b/>
          <w:sz w:val="32"/>
          <w:szCs w:val="24"/>
        </w:rPr>
      </w:pPr>
      <w:r>
        <w:rPr>
          <w:rFonts w:hint="eastAsia" w:ascii="Calibri" w:hAnsi="Calibri" w:eastAsia="楷体" w:cs="Times New Roman"/>
          <w:b/>
          <w:sz w:val="32"/>
          <w:szCs w:val="24"/>
        </w:rPr>
        <w:t>火灾风险隐患仍大量存在</w:t>
      </w:r>
    </w:p>
    <w:p>
      <w:pPr>
        <w:snapToGrid w:val="0"/>
        <w:spacing w:line="600" w:lineRule="exact"/>
        <w:ind w:firstLine="632" w:firstLineChars="200"/>
        <w:rPr>
          <w:rFonts w:ascii="仿宋_GB2312" w:hAnsi="Calibri" w:eastAsia="仿宋_GB2312" w:cs="Times New Roman"/>
          <w:color w:val="000000"/>
          <w:spacing w:val="-2"/>
          <w:sz w:val="32"/>
          <w:szCs w:val="32"/>
        </w:rPr>
      </w:pPr>
      <w:r>
        <w:rPr>
          <w:rFonts w:hint="eastAsia" w:ascii="仿宋_GB2312" w:hAnsi="Calibri" w:eastAsia="仿宋_GB2312" w:cs="Times New Roman"/>
          <w:color w:val="000000"/>
          <w:spacing w:val="-2"/>
          <w:sz w:val="32"/>
          <w:szCs w:val="32"/>
        </w:rPr>
        <w:t>全区消防安全风险隐患存量还处在较高水准，尤其是老旧居民小区、物流批发、出租房屋、村民自建房等火灾危险性较高；电动自行车违规存放、充电问题依然突出；城镇结合部地区存在大量低端产业和流动务工人口，消防安全环境差、消防安全意识弱，治理难度大，易于引起较大影响性火灾。</w:t>
      </w:r>
    </w:p>
    <w:p>
      <w:pPr>
        <w:keepNext/>
        <w:keepLines/>
        <w:numPr>
          <w:ilvl w:val="0"/>
          <w:numId w:val="3"/>
        </w:numPr>
        <w:spacing w:line="600" w:lineRule="exact"/>
        <w:ind w:firstLine="720" w:firstLineChars="224"/>
        <w:jc w:val="left"/>
        <w:outlineLvl w:val="2"/>
        <w:rPr>
          <w:rFonts w:ascii="Calibri" w:hAnsi="Calibri" w:eastAsia="楷体" w:cs="Times New Roman"/>
          <w:b/>
          <w:sz w:val="32"/>
          <w:szCs w:val="24"/>
        </w:rPr>
      </w:pPr>
      <w:r>
        <w:rPr>
          <w:rFonts w:hint="eastAsia" w:ascii="Calibri" w:hAnsi="Calibri" w:eastAsia="楷体" w:cs="Times New Roman"/>
          <w:b/>
          <w:sz w:val="32"/>
          <w:szCs w:val="24"/>
        </w:rPr>
        <w:t>全民消防安全意识仍有待提高</w:t>
      </w:r>
    </w:p>
    <w:p>
      <w:pPr>
        <w:adjustRightInd w:val="0"/>
        <w:snapToGrid w:val="0"/>
        <w:spacing w:line="600" w:lineRule="exact"/>
        <w:ind w:firstLine="640" w:firstLineChars="200"/>
        <w:rPr>
          <w:rFonts w:ascii="仿宋_GB2312" w:hAnsi="仿宋" w:eastAsia="仿宋_GB2312" w:cs="Times New Roman"/>
          <w:b/>
          <w:color w:val="000000"/>
          <w:sz w:val="32"/>
          <w:szCs w:val="32"/>
        </w:rPr>
      </w:pPr>
      <w:r>
        <w:rPr>
          <w:rFonts w:hint="eastAsia" w:ascii="仿宋_GB2312" w:hAnsi="仿宋" w:eastAsia="仿宋_GB2312" w:cs="Times New Roman"/>
          <w:bCs/>
          <w:color w:val="000000"/>
          <w:sz w:val="32"/>
          <w:szCs w:val="32"/>
        </w:rPr>
        <w:t>虽然全区的消防安全宣传覆盖范围大、力度强，但部分</w:t>
      </w:r>
      <w:r>
        <w:rPr>
          <w:rFonts w:hint="eastAsia" w:ascii="仿宋_GB2312" w:hAnsi="仿宋" w:eastAsia="仿宋_GB2312" w:cs="Times New Roman"/>
          <w:color w:val="000000"/>
          <w:sz w:val="32"/>
          <w:szCs w:val="32"/>
        </w:rPr>
        <w:t>群众</w:t>
      </w:r>
      <w:r>
        <w:rPr>
          <w:rFonts w:hint="eastAsia" w:ascii="仿宋_GB2312" w:hAnsi="黑体" w:eastAsia="仿宋_GB2312" w:cs="Times New Roman"/>
          <w:sz w:val="32"/>
          <w:szCs w:val="32"/>
        </w:rPr>
        <w:t>消防安全常识仍有待提升，不掌握</w:t>
      </w:r>
      <w:r>
        <w:rPr>
          <w:rFonts w:hint="eastAsia" w:ascii="仿宋_GB2312" w:hAnsi="仿宋_GB2312" w:eastAsia="仿宋_GB2312" w:cs="Times New Roman"/>
          <w:color w:val="000000"/>
          <w:sz w:val="32"/>
          <w:szCs w:val="32"/>
        </w:rPr>
        <w:t>自救逃生技能</w:t>
      </w:r>
      <w:r>
        <w:rPr>
          <w:rFonts w:hint="eastAsia" w:ascii="仿宋_GB2312" w:hAnsi="黑体" w:eastAsia="仿宋_GB2312" w:cs="Times New Roman"/>
          <w:sz w:val="32"/>
          <w:szCs w:val="32"/>
        </w:rPr>
        <w:t>，对本职岗位、日常生活中的火灾风险辨识不清，一旦发生火灾盲目逃生，人为</w:t>
      </w:r>
      <w:r>
        <w:rPr>
          <w:rFonts w:hint="eastAsia" w:ascii="仿宋_GB2312" w:hAnsi="仿宋_GB2312" w:eastAsia="仿宋_GB2312" w:cs="Times New Roman"/>
          <w:color w:val="000000"/>
          <w:sz w:val="32"/>
          <w:szCs w:val="32"/>
        </w:rPr>
        <w:t>造成的火灾事故时有发生。</w:t>
      </w:r>
      <w:r>
        <w:rPr>
          <w:rFonts w:hint="eastAsia" w:ascii="仿宋_GB2312" w:hAnsi="黑体" w:eastAsia="仿宋_GB2312" w:cs="Times New Roman"/>
          <w:sz w:val="32"/>
          <w:szCs w:val="32"/>
        </w:rPr>
        <w:t>社会单位消防安全责任人、管理人等从业人员，贯彻执行消防安全责任、督促整改火灾隐患、组织宣传教育培训的随机性、随意性较大，消防安全重点岗位人员安全意识、专业知识、应急处置能力还有差距。全区未设置</w:t>
      </w:r>
      <w:r>
        <w:rPr>
          <w:rFonts w:hint="eastAsia" w:ascii="仿宋_GB2312" w:hAnsi="仿宋" w:eastAsia="仿宋_GB2312" w:cs="Times New Roman"/>
          <w:color w:val="000000"/>
          <w:sz w:val="32"/>
          <w:szCs w:val="32"/>
        </w:rPr>
        <w:t>体验式、实景化的消防培训教育场地，消防安全文化品牌较少。</w:t>
      </w:r>
    </w:p>
    <w:p>
      <w:pPr>
        <w:keepNext/>
        <w:keepLines/>
        <w:numPr>
          <w:ilvl w:val="0"/>
          <w:numId w:val="3"/>
        </w:numPr>
        <w:spacing w:line="600" w:lineRule="exact"/>
        <w:ind w:firstLine="720" w:firstLineChars="224"/>
        <w:jc w:val="left"/>
        <w:outlineLvl w:val="2"/>
        <w:rPr>
          <w:rFonts w:ascii="Calibri" w:hAnsi="Calibri" w:eastAsia="楷体" w:cs="Times New Roman"/>
          <w:b/>
          <w:sz w:val="32"/>
          <w:szCs w:val="24"/>
        </w:rPr>
      </w:pPr>
      <w:r>
        <w:rPr>
          <w:rFonts w:hint="eastAsia" w:ascii="Calibri" w:hAnsi="Calibri" w:eastAsia="楷体" w:cs="Times New Roman"/>
          <w:b/>
          <w:sz w:val="32"/>
          <w:szCs w:val="24"/>
        </w:rPr>
        <w:t>综合应急救援能力仍不适应</w:t>
      </w:r>
    </w:p>
    <w:p>
      <w:pPr>
        <w:adjustRightInd w:val="0"/>
        <w:snapToGrid w:val="0"/>
        <w:spacing w:line="600" w:lineRule="exact"/>
        <w:ind w:firstLine="640" w:firstLineChars="200"/>
        <w:rPr>
          <w:rFonts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t>消防员编制员额缺口较大，尚不能够满编足员运转，队伍整体战斗力受到影响。政府专职消防队、企业专职队、微型消防站等力量发展速度较慢。训练教育和应急联动体系不完善；综合性消防救援专业化训练理念和训练设施较落后，功能不够齐全，利用虚拟现实等技术开实战化、模拟化训练比较欠缺。综合应急救援调度指挥机制、应急救援预案体系还有待进一步完善，综合应急救援战勤保障机制不能满足重大应急救援需求。</w:t>
      </w:r>
    </w:p>
    <w:p>
      <w:pPr>
        <w:keepNext/>
        <w:keepLines/>
        <w:spacing w:line="600" w:lineRule="exact"/>
        <w:ind w:firstLine="851" w:firstLineChars="265"/>
        <w:jc w:val="left"/>
        <w:outlineLvl w:val="1"/>
        <w:rPr>
          <w:rFonts w:ascii="Arial" w:hAnsi="Arial" w:eastAsia="黑体" w:cs="Times New Roman"/>
          <w:b/>
          <w:sz w:val="32"/>
          <w:szCs w:val="24"/>
        </w:rPr>
      </w:pPr>
      <w:bookmarkStart w:id="10" w:name="_Toc6873"/>
      <w:r>
        <w:rPr>
          <w:rFonts w:hint="eastAsia" w:ascii="Arial" w:hAnsi="Arial" w:eastAsia="黑体" w:cs="Times New Roman"/>
          <w:b/>
          <w:sz w:val="32"/>
          <w:szCs w:val="24"/>
        </w:rPr>
        <w:t>三、“十四五”时期面临的</w:t>
      </w:r>
      <w:bookmarkEnd w:id="10"/>
      <w:r>
        <w:rPr>
          <w:rFonts w:hint="eastAsia" w:ascii="Arial" w:hAnsi="Arial" w:eastAsia="黑体" w:cs="Times New Roman"/>
          <w:b/>
          <w:sz w:val="32"/>
          <w:szCs w:val="24"/>
        </w:rPr>
        <w:t>主要形势</w:t>
      </w:r>
    </w:p>
    <w:p>
      <w:pPr>
        <w:snapToGrid w:val="0"/>
        <w:spacing w:line="600" w:lineRule="exact"/>
        <w:ind w:firstLine="645"/>
        <w:rPr>
          <w:rFonts w:ascii="仿宋_GB2312" w:hAnsi="Verdana" w:eastAsia="仿宋_GB2312" w:cs="宋体"/>
          <w:color w:val="000000"/>
          <w:kern w:val="0"/>
          <w:sz w:val="32"/>
          <w:szCs w:val="32"/>
        </w:rPr>
      </w:pPr>
      <w:r>
        <w:rPr>
          <w:rFonts w:hint="eastAsia" w:ascii="仿宋_GB2312" w:hAnsi="Times New Roman" w:eastAsia="仿宋_GB2312" w:cs="Times New Roman"/>
          <w:sz w:val="32"/>
          <w:szCs w:val="32"/>
        </w:rPr>
        <w:t>“十四五”时期，是着力优化提升首都功能、谱写建设成为国际一流和谐宜居之都的丰台篇章、具有</w:t>
      </w:r>
      <w:r>
        <w:rPr>
          <w:rFonts w:ascii="仿宋_GB2312" w:hAnsi="Times New Roman" w:eastAsia="仿宋_GB2312" w:cs="Times New Roman"/>
          <w:sz w:val="32"/>
          <w:szCs w:val="32"/>
        </w:rPr>
        <w:t>综合竞争力的示范城区和</w:t>
      </w:r>
      <w:r>
        <w:rPr>
          <w:rFonts w:hint="eastAsia" w:ascii="仿宋_GB2312" w:hAnsi="Times New Roman" w:eastAsia="仿宋_GB2312" w:cs="Times New Roman"/>
          <w:sz w:val="32"/>
          <w:szCs w:val="32"/>
        </w:rPr>
        <w:t>新时代高质量发展典范</w:t>
      </w:r>
      <w:r>
        <w:rPr>
          <w:rFonts w:ascii="仿宋_GB2312" w:hAnsi="Times New Roman" w:eastAsia="仿宋_GB2312" w:cs="Times New Roman"/>
          <w:sz w:val="32"/>
          <w:szCs w:val="32"/>
        </w:rPr>
        <w:t>城区</w:t>
      </w:r>
      <w:r>
        <w:rPr>
          <w:rFonts w:hint="eastAsia" w:ascii="仿宋_GB2312" w:hAnsi="Times New Roman" w:eastAsia="仿宋_GB2312" w:cs="Times New Roman"/>
          <w:sz w:val="32"/>
          <w:szCs w:val="32"/>
        </w:rPr>
        <w:t>的关键时期。面对实施</w:t>
      </w:r>
      <w:r>
        <w:rPr>
          <w:rFonts w:hint="eastAsia" w:ascii="仿宋_GB2312" w:hAnsi="Verdana" w:eastAsia="仿宋_GB2312" w:cs="宋体"/>
          <w:color w:val="000000"/>
          <w:kern w:val="0"/>
          <w:sz w:val="32"/>
          <w:szCs w:val="32"/>
        </w:rPr>
        <w:t>的重点任务，全区消防工作面临机遇与挑战。</w:t>
      </w:r>
    </w:p>
    <w:p>
      <w:pPr>
        <w:tabs>
          <w:tab w:val="left" w:pos="900"/>
        </w:tabs>
        <w:snapToGrid w:val="0"/>
        <w:spacing w:line="600" w:lineRule="exact"/>
        <w:ind w:firstLine="643" w:firstLineChars="200"/>
        <w:rPr>
          <w:rFonts w:ascii="仿宋_GB2312" w:hAnsi="仿宋" w:eastAsia="仿宋_GB2312" w:cs="宋体"/>
          <w:kern w:val="0"/>
          <w:sz w:val="32"/>
          <w:szCs w:val="32"/>
        </w:rPr>
      </w:pPr>
      <w:r>
        <w:rPr>
          <w:rFonts w:hint="eastAsia" w:ascii="楷体" w:hAnsi="楷体" w:eastAsia="楷体" w:cs="楷体"/>
          <w:b/>
          <w:bCs/>
          <w:kern w:val="0"/>
          <w:sz w:val="32"/>
          <w:szCs w:val="32"/>
        </w:rPr>
        <w:t>（一）应急救援职能持续提升带来发展机遇。</w:t>
      </w:r>
      <w:r>
        <w:rPr>
          <w:rFonts w:hint="eastAsia" w:ascii="仿宋_GB2312" w:hAnsi="仿宋" w:eastAsia="仿宋_GB2312" w:cs="宋体"/>
          <w:kern w:val="0"/>
          <w:sz w:val="32"/>
          <w:szCs w:val="32"/>
        </w:rPr>
        <w:t>“十四五”时期，消防救援队伍的职能使命从处置“单一灾种”向应对“全灾种、大应急”转变，不再局限于传统的防火灭火、抢险救援和社会救助，而是扩大到包括地震、洪涝灾害、建筑物坍塌、泥石流、危险化学品泄漏、交通事故等各类灾害事故的处置。需要针对各种特殊灾害打造出若干个特勤队、攻坚组、专业队，成为现代化、专业化、职业化的综合应急救援主力军和国家队，以满足各种复杂的特殊灾害救援的需要，向更加专业化、职业化方向发展。</w:t>
      </w:r>
    </w:p>
    <w:p>
      <w:pPr>
        <w:tabs>
          <w:tab w:val="left" w:pos="900"/>
        </w:tabs>
        <w:snapToGrid w:val="0"/>
        <w:spacing w:line="600" w:lineRule="exact"/>
        <w:ind w:firstLine="640" w:firstLineChars="200"/>
        <w:rPr>
          <w:rFonts w:ascii="仿宋_GB2312" w:hAnsi="Times New Roman" w:eastAsia="仿宋_GB2312" w:cs="Times New Roman"/>
          <w:sz w:val="32"/>
          <w:szCs w:val="32"/>
        </w:rPr>
      </w:pPr>
      <w:r>
        <w:rPr>
          <w:rFonts w:hint="eastAsia" w:ascii="仿宋_GB2312" w:hAnsi="仿宋" w:eastAsia="仿宋_GB2312" w:cs="宋体"/>
          <w:kern w:val="0"/>
          <w:sz w:val="32"/>
          <w:szCs w:val="32"/>
        </w:rPr>
        <w:t>执法行政方面，随着简政放权，深化消防执法改革，优化营商环境，规范消防监督行为，创新社会治理模式等一系列措施的推行，现代化消防治理体系和治理能力建设迎来新的机遇，向多元社会主体协同治理方向转变。</w:t>
      </w:r>
    </w:p>
    <w:p>
      <w:pPr>
        <w:tabs>
          <w:tab w:val="left" w:pos="900"/>
        </w:tabs>
        <w:snapToGrid w:val="0"/>
        <w:spacing w:line="600" w:lineRule="exact"/>
        <w:ind w:firstLine="643" w:firstLineChars="200"/>
        <w:rPr>
          <w:rFonts w:ascii="楷体_GB2312" w:hAnsi="黑体" w:eastAsia="楷体_GB2312" w:cs="宋体"/>
          <w:color w:val="000000"/>
          <w:kern w:val="0"/>
          <w:sz w:val="32"/>
          <w:szCs w:val="32"/>
        </w:rPr>
      </w:pPr>
      <w:r>
        <w:rPr>
          <w:rFonts w:hint="eastAsia" w:ascii="Calibri" w:hAnsi="Calibri" w:eastAsia="楷体" w:cs="Times New Roman"/>
          <w:b/>
          <w:sz w:val="32"/>
          <w:szCs w:val="24"/>
        </w:rPr>
        <w:t>（二）防范化解城市火灾风险面临严峻考验。</w:t>
      </w:r>
      <w:r>
        <w:rPr>
          <w:rFonts w:hint="eastAsia" w:ascii="仿宋_GB2312" w:hAnsi="仿宋" w:eastAsia="仿宋_GB2312" w:cs="宋体"/>
          <w:color w:val="000000"/>
          <w:kern w:val="0"/>
          <w:sz w:val="32"/>
          <w:szCs w:val="32"/>
        </w:rPr>
        <w:t>为了落实战略定位，全面优化首都功能，统领城市未来发展，促进跨区统筹协同，建设丰台区“一轴、两带、四区、多点”的空间结构,不仅是构建北京市新的城市发展格局、治理大城市病的需要，也是推动京津冀协同发展、探索人口经济密集地区优化开发模式的需要。随着北京南中轴线</w:t>
      </w:r>
      <w:r>
        <w:rPr>
          <w:rFonts w:ascii="仿宋_GB2312" w:hAnsi="仿宋" w:eastAsia="仿宋_GB2312" w:cs="宋体"/>
          <w:color w:val="000000"/>
          <w:kern w:val="0"/>
          <w:sz w:val="32"/>
          <w:szCs w:val="32"/>
        </w:rPr>
        <w:t>、</w:t>
      </w:r>
      <w:r>
        <w:rPr>
          <w:rFonts w:hint="eastAsia" w:ascii="仿宋_GB2312" w:hAnsi="仿宋" w:eastAsia="仿宋_GB2312" w:cs="宋体"/>
          <w:color w:val="000000"/>
          <w:kern w:val="0"/>
          <w:sz w:val="32"/>
          <w:szCs w:val="32"/>
        </w:rPr>
        <w:t>城南</w:t>
      </w:r>
      <w:r>
        <w:rPr>
          <w:rFonts w:ascii="仿宋_GB2312" w:hAnsi="仿宋" w:eastAsia="仿宋_GB2312" w:cs="宋体"/>
          <w:color w:val="000000"/>
          <w:kern w:val="0"/>
          <w:sz w:val="32"/>
          <w:szCs w:val="32"/>
        </w:rPr>
        <w:t>建设</w:t>
      </w:r>
      <w:r>
        <w:rPr>
          <w:rFonts w:hint="eastAsia" w:ascii="仿宋_GB2312" w:hAnsi="仿宋" w:eastAsia="仿宋_GB2312" w:cs="宋体"/>
          <w:color w:val="000000"/>
          <w:kern w:val="0"/>
          <w:sz w:val="32"/>
          <w:szCs w:val="32"/>
        </w:rPr>
        <w:t>的逐步开展,丰台区的政治、文化、经济活动将日益频繁，大型购物中心、综合交通枢纽、办公商务聚集区等人员聚集场所逐渐增多，一批独具特色的标志性建筑将拔地而起。同时，随着城市化的快速发展，地下道路交通、市政综合管廊以及购物、餐饮、休闲、娱乐设施等为一体的地下空间不断增多，加之城市更新带来的既有建筑改造涌现，城市安全不确定性因素不断增多，城市消防安全风险不断加大，给火灾预防、灭火救援和反恐处突等提出更高要求，带来严峻挑战。</w:t>
      </w:r>
    </w:p>
    <w:p>
      <w:pPr>
        <w:tabs>
          <w:tab w:val="left" w:pos="900"/>
        </w:tabs>
        <w:snapToGrid w:val="0"/>
        <w:spacing w:line="600" w:lineRule="exact"/>
        <w:ind w:firstLine="643" w:firstLineChars="200"/>
        <w:rPr>
          <w:rFonts w:ascii="仿宋_GB2312" w:hAnsi="仿宋" w:eastAsia="仿宋_GB2312" w:cs="宋体"/>
          <w:color w:val="000000"/>
          <w:kern w:val="0"/>
          <w:sz w:val="32"/>
          <w:szCs w:val="32"/>
        </w:rPr>
      </w:pPr>
      <w:r>
        <w:rPr>
          <w:rFonts w:hint="eastAsia" w:ascii="楷体_GB2312" w:hAnsi="黑体" w:eastAsia="楷体_GB2312" w:cs="Times New Roman"/>
          <w:b/>
          <w:bCs/>
          <w:sz w:val="32"/>
          <w:szCs w:val="32"/>
        </w:rPr>
        <w:t>（三）实施京津冀协同发展给消防工作带来新挑战。</w:t>
      </w:r>
      <w:r>
        <w:rPr>
          <w:rFonts w:hint="eastAsia" w:ascii="仿宋_GB2312" w:hAnsi="仿宋" w:eastAsia="仿宋_GB2312" w:cs="宋体"/>
          <w:color w:val="000000"/>
          <w:kern w:val="0"/>
          <w:sz w:val="32"/>
          <w:szCs w:val="32"/>
        </w:rPr>
        <w:t>丰台区北接东西城，南邻大兴，东跨中轴线，是北京中心城区的重要组成部分，有非常优越的区位优势，又毗邻京津、京保石两个支撑京津冀协同发展的产业发展带和城镇聚集轴，具有交通便利和产业协同发展的优势，也为未来五年丰台区消防事业带来了完善升级的机遇。在实施京津冀协同发展中，丰台区城市化建设速度加快，加上公共安全事件易发、交通拥堵、消防基础设施不完备等问题日益突出，给城市火灾防控带来新挑战。同时，信息网络、生物产业、节能环保、低碳技术等高技术新兴产业的转型和升级，新材料、新能源、新工艺、新产品的广泛使用，必将给消防安全工作带来新矛盾，需要采取相应的防灭火新技术、新方法、新措施。面对疏解非首都核心功能和带动京津冀协同发展的重要任务，需要着力补齐消防工作短板，完善城市公共消防安全应急机制，提高应急处置能力。</w:t>
      </w:r>
    </w:p>
    <w:p>
      <w:pPr>
        <w:tabs>
          <w:tab w:val="left" w:pos="900"/>
        </w:tabs>
        <w:snapToGrid w:val="0"/>
        <w:spacing w:line="600" w:lineRule="exact"/>
        <w:ind w:firstLine="643" w:firstLineChars="200"/>
        <w:rPr>
          <w:rFonts w:ascii="仿宋_GB2312" w:hAnsi="仿宋" w:eastAsia="仿宋_GB2312" w:cs="宋体"/>
          <w:color w:val="000000"/>
          <w:kern w:val="0"/>
          <w:sz w:val="32"/>
          <w:szCs w:val="32"/>
        </w:rPr>
      </w:pPr>
      <w:r>
        <w:rPr>
          <w:rFonts w:hint="eastAsia" w:ascii="楷体_GB2312" w:hAnsi="黑体" w:eastAsia="楷体_GB2312" w:cs="Times New Roman"/>
          <w:b/>
          <w:bCs/>
          <w:sz w:val="32"/>
          <w:szCs w:val="32"/>
        </w:rPr>
        <w:t>（四）应对现实火灾风险给消防工作带来新考验。</w:t>
      </w:r>
      <w:r>
        <w:rPr>
          <w:rFonts w:hint="eastAsia" w:ascii="仿宋_GB2312" w:hAnsi="仿宋" w:eastAsia="仿宋_GB2312" w:cs="宋体"/>
          <w:color w:val="000000"/>
          <w:kern w:val="0"/>
          <w:sz w:val="32"/>
          <w:szCs w:val="32"/>
        </w:rPr>
        <w:t>从目前现状来看，丰台区火灾防控难度较大，形势较为严峻。一是新建建筑工地集中。随着丰台区高速发展建设，施工工地遍布，新建建筑规格高、工期紧、结构异形，可燃材料多，各种作业交叉进行，施工人员居住的活动板房聚集成片，动态火灾隐患严重，一旦发生火灾，易产生群死群伤和较大影响。二是城镇结合部消防安全条件差。城镇结合部违章建筑集中，人口聚集，消防设施缺乏，火灾隐患存量大，消防安全管理混乱，从业人员消防安全意识淡薄。再加上电动自行车聚集、消防车道狭窄、消防水源匮乏，一旦发生火灾，扑救困难，易造成群死群伤。三是致灾因素趋于多样化。从火灾原因看，火灾主要集中在电气火灾、生活用火不慎、遗留火种，因玩火、生产作业用火等引发的火灾也时有发生，电动自行车因产品质量不达标、违规销售改装、违规停放充电等引发的火灾居高不下。</w:t>
      </w:r>
    </w:p>
    <w:p>
      <w:pPr>
        <w:tabs>
          <w:tab w:val="left" w:pos="900"/>
        </w:tabs>
        <w:snapToGrid w:val="0"/>
        <w:spacing w:line="600" w:lineRule="exact"/>
        <w:ind w:firstLine="640" w:firstLineChars="200"/>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从未来发展看，随着丰台区的建设加快，新的现实火灾风险随之增加，火灾防控难度进一步加大：一是高层建筑越来越多。高层建筑多为钢筋混凝土结构，超高层建筑多为钢结构，构造形状异型多样、结构功能复杂，建筑内人员高度集中、火灾荷载大，一旦发生火灾，易形成立体燃烧，火势蔓延快，疏散难度大，灭火救援难度大。二是地下空间越来越复杂。地下建筑尤其大型地下建筑面积大、体量大、功能多样，贮存物资种类杂、数量多，内部格局复杂、出入通道多、疏散距离长、通风排烟条件差，发生火灾后大量高温烟雾及有毒气体积聚不散，逃生和灭火救援难度大。三是轨道交通线路越来越长。地铁深埋地下，结构复杂、出入口少、疏散线路长、通风照明条件差、电器设备多、用电量大，运营期间人流量大，一旦发生火灾疏散困难，扑救处置不易，极易造成群死群伤。四是大型人员密集场所越来越多。未来全区大型商场、购物中心等商业综合体及地下综合体建筑将不断增多，功能多样，人流、物流量大，易燃可燃物品存量大，消防安全动态隐患多。</w:t>
      </w:r>
    </w:p>
    <w:p>
      <w:pPr>
        <w:keepNext/>
        <w:keepLines/>
        <w:pageBreakBefore/>
        <w:numPr>
          <w:ilvl w:val="0"/>
          <w:numId w:val="1"/>
        </w:numPr>
        <w:snapToGrid w:val="0"/>
        <w:spacing w:line="600" w:lineRule="exact"/>
        <w:jc w:val="center"/>
        <w:outlineLvl w:val="0"/>
        <w:rPr>
          <w:rFonts w:ascii="Calibri" w:hAnsi="Calibri" w:eastAsia="黑体" w:cs="Times New Roman"/>
          <w:b/>
          <w:kern w:val="44"/>
          <w:sz w:val="44"/>
          <w:szCs w:val="24"/>
        </w:rPr>
      </w:pPr>
      <w:bookmarkStart w:id="11" w:name="_Toc31971"/>
      <w:r>
        <w:rPr>
          <w:rFonts w:hint="eastAsia" w:ascii="Calibri" w:hAnsi="Calibri" w:eastAsia="黑体" w:cs="Times New Roman"/>
          <w:b/>
          <w:kern w:val="44"/>
          <w:sz w:val="44"/>
          <w:szCs w:val="24"/>
        </w:rPr>
        <w:t>指导思想、发展原则和主要目标</w:t>
      </w:r>
      <w:bookmarkEnd w:id="11"/>
    </w:p>
    <w:p>
      <w:pPr>
        <w:adjustRightInd w:val="0"/>
        <w:snapToGrid w:val="0"/>
        <w:spacing w:line="600" w:lineRule="exact"/>
        <w:ind w:firstLine="640" w:firstLineChars="200"/>
        <w:rPr>
          <w:rFonts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t>“十四五”时期，是丰台区</w:t>
      </w:r>
      <w:r>
        <w:rPr>
          <w:rFonts w:hint="eastAsia" w:ascii="仿宋_GB2312" w:hAnsi="Calibri" w:eastAsia="仿宋_GB2312" w:cs="Times New Roman"/>
          <w:color w:val="000000"/>
          <w:sz w:val="32"/>
          <w:szCs w:val="32"/>
          <w:lang w:eastAsia="zh-Hans"/>
        </w:rPr>
        <w:t>立足首都城市</w:t>
      </w:r>
      <w:r>
        <w:rPr>
          <w:rFonts w:hint="eastAsia" w:ascii="仿宋_GB2312" w:hAnsi="Calibri" w:eastAsia="仿宋_GB2312" w:cs="Times New Roman"/>
          <w:color w:val="000000"/>
          <w:sz w:val="32"/>
          <w:szCs w:val="32"/>
        </w:rPr>
        <w:t>战略定位，全面优化首都功能，建设首都高品质生活服务供给的重要保障区，首都商务新区，科技创新和金融服务的融合发展区，高水平对外综合交通枢纽，历史文化和绿色生态引领的新型城市化发展区的城市发展格局的关键时期</w:t>
      </w:r>
      <w:r>
        <w:rPr>
          <w:rFonts w:ascii="仿宋_GB2312" w:hAnsi="Calibri" w:eastAsia="仿宋_GB2312" w:cs="Times New Roman"/>
          <w:color w:val="000000"/>
          <w:sz w:val="32"/>
          <w:szCs w:val="32"/>
        </w:rPr>
        <w:t>，</w:t>
      </w:r>
      <w:r>
        <w:rPr>
          <w:rFonts w:hint="eastAsia" w:ascii="仿宋_GB2312" w:hAnsi="Calibri" w:eastAsia="仿宋_GB2312" w:cs="Times New Roman"/>
          <w:color w:val="000000"/>
          <w:sz w:val="32"/>
          <w:szCs w:val="32"/>
        </w:rPr>
        <w:t>确保“十四五”时期</w:t>
      </w:r>
      <w:r>
        <w:rPr>
          <w:rFonts w:hint="eastAsia" w:ascii="仿宋_GB2312" w:hAnsi="Calibri" w:eastAsia="仿宋_GB2312" w:cs="Times New Roman"/>
          <w:color w:val="000000"/>
          <w:sz w:val="32"/>
          <w:szCs w:val="32"/>
          <w:lang w:eastAsia="zh-Hans"/>
        </w:rPr>
        <w:t>丰台</w:t>
      </w:r>
      <w:r>
        <w:rPr>
          <w:rFonts w:hint="eastAsia" w:ascii="仿宋_GB2312" w:hAnsi="Calibri" w:eastAsia="仿宋_GB2312" w:cs="Times New Roman"/>
          <w:color w:val="000000"/>
          <w:sz w:val="32"/>
          <w:szCs w:val="32"/>
        </w:rPr>
        <w:t>区火灾形势稳定，杜绝重特大火灾事故、减少一般性火灾数量</w:t>
      </w:r>
      <w:r>
        <w:rPr>
          <w:rFonts w:ascii="仿宋_GB2312" w:hAnsi="Calibri" w:eastAsia="仿宋_GB2312" w:cs="Times New Roman"/>
          <w:color w:val="000000"/>
          <w:sz w:val="32"/>
          <w:szCs w:val="32"/>
        </w:rPr>
        <w:t>，</w:t>
      </w:r>
      <w:r>
        <w:rPr>
          <w:rFonts w:hint="eastAsia" w:ascii="仿宋_GB2312" w:hAnsi="Calibri" w:eastAsia="仿宋_GB2312" w:cs="Times New Roman"/>
          <w:color w:val="000000"/>
          <w:sz w:val="32"/>
          <w:szCs w:val="32"/>
          <w:lang w:eastAsia="zh-Hans"/>
        </w:rPr>
        <w:t>为丰台区经济社会发展创造优良的消防安全环境</w:t>
      </w:r>
      <w:r>
        <w:rPr>
          <w:rFonts w:hint="eastAsia" w:ascii="仿宋_GB2312" w:hAnsi="Calibri" w:eastAsia="仿宋_GB2312" w:cs="Times New Roman"/>
          <w:color w:val="000000"/>
          <w:sz w:val="32"/>
          <w:szCs w:val="32"/>
        </w:rPr>
        <w:t>显得</w:t>
      </w:r>
      <w:r>
        <w:rPr>
          <w:rFonts w:hint="eastAsia" w:ascii="仿宋_GB2312" w:hAnsi="Calibri" w:eastAsia="仿宋_GB2312" w:cs="Times New Roman"/>
          <w:color w:val="000000"/>
          <w:sz w:val="32"/>
          <w:szCs w:val="32"/>
          <w:lang w:eastAsia="zh-Hans"/>
        </w:rPr>
        <w:t>尤为</w:t>
      </w:r>
      <w:r>
        <w:rPr>
          <w:rFonts w:hint="eastAsia" w:ascii="仿宋_GB2312" w:hAnsi="Calibri" w:eastAsia="仿宋_GB2312" w:cs="Times New Roman"/>
          <w:color w:val="000000"/>
          <w:sz w:val="32"/>
          <w:szCs w:val="32"/>
        </w:rPr>
        <w:t>重要。</w:t>
      </w:r>
    </w:p>
    <w:p>
      <w:pPr>
        <w:keepNext/>
        <w:keepLines/>
        <w:spacing w:line="600" w:lineRule="exact"/>
        <w:ind w:firstLine="643" w:firstLineChars="200"/>
        <w:jc w:val="left"/>
        <w:outlineLvl w:val="1"/>
        <w:rPr>
          <w:rFonts w:ascii="Arial" w:hAnsi="Arial" w:eastAsia="黑体" w:cs="Times New Roman"/>
          <w:b/>
          <w:sz w:val="32"/>
          <w:szCs w:val="24"/>
        </w:rPr>
      </w:pPr>
      <w:bookmarkStart w:id="12" w:name="_Toc29275"/>
      <w:r>
        <w:rPr>
          <w:rFonts w:hint="eastAsia" w:ascii="Arial" w:hAnsi="Arial" w:eastAsia="黑体" w:cs="Times New Roman"/>
          <w:b/>
          <w:sz w:val="32"/>
          <w:szCs w:val="24"/>
        </w:rPr>
        <w:t>一、指导思想</w:t>
      </w:r>
      <w:bookmarkEnd w:id="12"/>
    </w:p>
    <w:p>
      <w:pPr>
        <w:snapToGrid w:val="0"/>
        <w:spacing w:line="600" w:lineRule="exact"/>
        <w:ind w:firstLine="720"/>
        <w:rPr>
          <w:rFonts w:ascii="仿宋_GB2312" w:hAnsi="宋体" w:eastAsia="仿宋_GB2312" w:cs="Times New Roman"/>
          <w:bCs/>
          <w:sz w:val="32"/>
          <w:szCs w:val="32"/>
        </w:rPr>
      </w:pPr>
      <w:r>
        <w:rPr>
          <w:rFonts w:hint="eastAsia" w:ascii="仿宋_GB2312" w:hAnsi="宋体" w:eastAsia="仿宋_GB2312" w:cs="Times New Roman"/>
          <w:bCs/>
          <w:sz w:val="32"/>
          <w:szCs w:val="32"/>
        </w:rPr>
        <w:t>高举中国特色社会主义伟大旗帜，坚持以马克思列宁主义、毛泽东思想、邓小平理论、“三个代表”重要思想、科学发展观、习近平新时代中国特色社会主义思想为指导，深入贯彻党的十九大和十九届二中、三中、四中、五中全会精神，深入贯彻习近平总书记对北京重要讲话精神，统筹推进“五位一体”总体布局，协调推进“四个全面”战略布局，</w:t>
      </w:r>
      <w:r>
        <w:rPr>
          <w:rFonts w:ascii="仿宋_GB2312" w:hAnsi="Calibri" w:eastAsia="仿宋_GB2312" w:cs="Times New Roman"/>
          <w:sz w:val="32"/>
          <w:szCs w:val="32"/>
        </w:rPr>
        <w:t>紧紧抓住</w:t>
      </w:r>
      <w:r>
        <w:rPr>
          <w:rFonts w:hint="eastAsia" w:ascii="仿宋_GB2312" w:hAnsi="仿宋" w:eastAsia="仿宋_GB2312" w:cs="Times New Roman"/>
          <w:color w:val="000000"/>
          <w:sz w:val="32"/>
          <w:szCs w:val="32"/>
        </w:rPr>
        <w:t>京津冀协同发展和北京“四个中心”建设的重大战略部署，牢牢把握丰台区战略定位，将消防工作融入经济社会发展大局，高起点、高标准、高水平地推进消防事业的建设和发展，</w:t>
      </w:r>
      <w:r>
        <w:rPr>
          <w:rFonts w:hint="eastAsia" w:ascii="仿宋_GB2312" w:hAnsi="宋体" w:eastAsia="仿宋_GB2312" w:cs="Times New Roman"/>
          <w:bCs/>
          <w:sz w:val="32"/>
          <w:szCs w:val="32"/>
        </w:rPr>
        <w:t>确保丰台区火灾形势稳定，最大程度减少</w:t>
      </w:r>
      <w:r>
        <w:rPr>
          <w:rFonts w:hint="eastAsia" w:ascii="仿宋_GB2312" w:hAnsi="΢���ź�" w:eastAsia="仿宋_GB2312" w:cs="Times New Roman"/>
          <w:color w:val="000000"/>
          <w:sz w:val="32"/>
          <w:szCs w:val="32"/>
        </w:rPr>
        <w:t>人民群众生命财产损失</w:t>
      </w:r>
      <w:r>
        <w:rPr>
          <w:rFonts w:hint="eastAsia" w:ascii="仿宋_GB2312" w:hAnsi="Calibri" w:eastAsia="仿宋_GB2312" w:cs="Times New Roman"/>
          <w:color w:val="000000"/>
          <w:sz w:val="32"/>
          <w:szCs w:val="32"/>
        </w:rPr>
        <w:t>，</w:t>
      </w:r>
      <w:r>
        <w:rPr>
          <w:rFonts w:hint="eastAsia" w:ascii="仿宋_GB2312" w:hAnsi="宋体" w:eastAsia="仿宋_GB2312" w:cs="Times New Roman"/>
          <w:bCs/>
          <w:sz w:val="32"/>
          <w:szCs w:val="32"/>
        </w:rPr>
        <w:t>为率先基本实现社会主义现代化和建设国际一流的和谐宜居之都示范区提供坚强</w:t>
      </w:r>
      <w:r>
        <w:rPr>
          <w:rFonts w:ascii="仿宋_GB2312" w:hAnsi="宋体" w:eastAsia="仿宋_GB2312" w:cs="Times New Roman"/>
          <w:bCs/>
          <w:sz w:val="32"/>
          <w:szCs w:val="32"/>
        </w:rPr>
        <w:t>的</w:t>
      </w:r>
      <w:r>
        <w:rPr>
          <w:rFonts w:hint="eastAsia" w:ascii="仿宋_GB2312" w:hAnsi="宋体" w:eastAsia="仿宋_GB2312" w:cs="Times New Roman"/>
          <w:bCs/>
          <w:sz w:val="32"/>
          <w:szCs w:val="32"/>
        </w:rPr>
        <w:t>消防安全保障</w:t>
      </w:r>
      <w:r>
        <w:rPr>
          <w:rFonts w:hint="eastAsia" w:ascii="仿宋_GB2312" w:hAnsi="Verdana" w:eastAsia="仿宋_GB2312" w:cs="Times New Roman"/>
          <w:color w:val="000000"/>
          <w:kern w:val="0"/>
          <w:sz w:val="32"/>
          <w:szCs w:val="32"/>
        </w:rPr>
        <w:t>。</w:t>
      </w:r>
    </w:p>
    <w:p>
      <w:pPr>
        <w:keepNext/>
        <w:keepLines/>
        <w:spacing w:line="600" w:lineRule="exact"/>
        <w:ind w:firstLine="643" w:firstLineChars="200"/>
        <w:jc w:val="left"/>
        <w:outlineLvl w:val="1"/>
        <w:rPr>
          <w:rFonts w:ascii="Arial" w:hAnsi="Arial" w:eastAsia="黑体" w:cs="Times New Roman"/>
          <w:b/>
          <w:sz w:val="32"/>
          <w:szCs w:val="24"/>
        </w:rPr>
      </w:pPr>
      <w:bookmarkStart w:id="13" w:name="_Toc24670"/>
      <w:r>
        <w:rPr>
          <w:rFonts w:hint="eastAsia" w:ascii="Arial" w:hAnsi="Arial" w:eastAsia="黑体" w:cs="Times New Roman"/>
          <w:b/>
          <w:sz w:val="32"/>
          <w:szCs w:val="24"/>
        </w:rPr>
        <w:t>二、发展原则</w:t>
      </w:r>
      <w:bookmarkEnd w:id="13"/>
    </w:p>
    <w:p>
      <w:pPr>
        <w:snapToGrid w:val="0"/>
        <w:spacing w:line="600" w:lineRule="exact"/>
        <w:ind w:firstLine="640" w:firstLineChars="200"/>
        <w:rPr>
          <w:rFonts w:ascii="仿宋_GB2312" w:hAnsi="仿宋" w:eastAsia="仿宋_GB2312" w:cs="Times New Roman"/>
          <w:color w:val="000000"/>
          <w:sz w:val="32"/>
          <w:szCs w:val="32"/>
        </w:rPr>
      </w:pPr>
      <w:r>
        <w:rPr>
          <w:rFonts w:hint="eastAsia" w:ascii="楷体_GB2312" w:hAnsi="楷体" w:eastAsia="楷体_GB2312" w:cs="Times New Roman"/>
          <w:bCs/>
          <w:color w:val="000000"/>
          <w:sz w:val="32"/>
          <w:szCs w:val="32"/>
        </w:rPr>
        <w:t>（一）坚持预防为主，防消结合</w:t>
      </w:r>
      <w:r>
        <w:rPr>
          <w:rFonts w:hint="eastAsia" w:ascii="楷体_GB2312" w:hAnsi="楷体" w:eastAsia="楷体_GB2312" w:cs="Times New Roman"/>
          <w:b/>
          <w:bCs/>
          <w:color w:val="000000"/>
          <w:sz w:val="32"/>
          <w:szCs w:val="32"/>
        </w:rPr>
        <w:t>。</w:t>
      </w:r>
      <w:r>
        <w:rPr>
          <w:rFonts w:ascii="仿宋_GB2312" w:hAnsi="仿宋" w:eastAsia="仿宋_GB2312" w:cs="Times New Roman"/>
          <w:color w:val="000000"/>
          <w:sz w:val="32"/>
          <w:szCs w:val="32"/>
        </w:rPr>
        <w:t>以国务院办公厅《消防安全责任制实施办法》的有效落实为抓手，</w:t>
      </w:r>
      <w:r>
        <w:rPr>
          <w:rFonts w:hint="eastAsia" w:ascii="仿宋_GB2312" w:hAnsi="仿宋" w:eastAsia="仿宋_GB2312" w:cs="Times New Roman"/>
          <w:color w:val="000000"/>
          <w:sz w:val="32"/>
          <w:szCs w:val="32"/>
        </w:rPr>
        <w:t>摸清全区火灾风险隐患底数，健全火灾风险研判、预警、防范机制；以疏解整治促提升行动为契机，加大火灾事故多发、消防安全条件差的地区消防安全治理，切实降低火灾事故概率。</w:t>
      </w:r>
      <w:r>
        <w:rPr>
          <w:rFonts w:ascii="仿宋_GB2312" w:hAnsi="仿宋" w:eastAsia="仿宋_GB2312" w:cs="Times New Roman"/>
          <w:color w:val="000000"/>
          <w:sz w:val="32"/>
          <w:szCs w:val="32"/>
        </w:rPr>
        <w:t>推动政府、部门、单位落实消防安全责任，实施重大火灾隐患挂牌督办，强化人员密集场所和消防基础设施薄弱地区的消防监督执法，</w:t>
      </w:r>
      <w:r>
        <w:rPr>
          <w:rFonts w:hint="eastAsia" w:ascii="仿宋_GB2312" w:hAnsi="仿宋" w:eastAsia="仿宋_GB2312" w:cs="Times New Roman"/>
          <w:color w:val="000000"/>
          <w:sz w:val="32"/>
          <w:szCs w:val="32"/>
        </w:rPr>
        <w:t>不断完善应急救援预案，</w:t>
      </w:r>
      <w:r>
        <w:rPr>
          <w:rFonts w:ascii="仿宋_GB2312" w:hAnsi="仿宋" w:eastAsia="仿宋_GB2312" w:cs="Times New Roman"/>
          <w:color w:val="000000"/>
          <w:sz w:val="32"/>
          <w:szCs w:val="32"/>
        </w:rPr>
        <w:t>做好</w:t>
      </w:r>
      <w:r>
        <w:rPr>
          <w:rFonts w:hint="eastAsia" w:ascii="仿宋_GB2312" w:hAnsi="仿宋" w:eastAsia="仿宋_GB2312" w:cs="Times New Roman"/>
          <w:color w:val="000000"/>
          <w:sz w:val="32"/>
          <w:szCs w:val="32"/>
        </w:rPr>
        <w:t>应对处置各类灾害事故</w:t>
      </w:r>
      <w:r>
        <w:rPr>
          <w:rFonts w:ascii="仿宋_GB2312" w:hAnsi="仿宋" w:eastAsia="仿宋_GB2312" w:cs="Times New Roman"/>
          <w:color w:val="000000"/>
          <w:sz w:val="32"/>
          <w:szCs w:val="32"/>
        </w:rPr>
        <w:t>的救援处置准备，实现全区火灾形势的稳定</w:t>
      </w:r>
      <w:r>
        <w:rPr>
          <w:rFonts w:hint="eastAsia" w:ascii="仿宋_GB2312" w:hAnsi="仿宋" w:eastAsia="仿宋_GB2312" w:cs="Times New Roman"/>
          <w:color w:val="000000"/>
          <w:sz w:val="32"/>
          <w:szCs w:val="32"/>
        </w:rPr>
        <w:t>。</w:t>
      </w:r>
    </w:p>
    <w:p>
      <w:pPr>
        <w:snapToGrid w:val="0"/>
        <w:spacing w:line="600" w:lineRule="exact"/>
        <w:ind w:firstLine="640" w:firstLineChars="200"/>
        <w:rPr>
          <w:rFonts w:ascii="仿宋_GB2312" w:hAnsi="Calibri" w:eastAsia="仿宋_GB2312" w:cs="Times New Roman"/>
          <w:sz w:val="32"/>
          <w:szCs w:val="32"/>
        </w:rPr>
      </w:pPr>
      <w:r>
        <w:rPr>
          <w:rFonts w:hint="eastAsia" w:ascii="楷体_GB2312" w:hAnsi="楷体" w:eastAsia="楷体_GB2312" w:cs="Times New Roman"/>
          <w:bCs/>
          <w:color w:val="000000"/>
          <w:sz w:val="32"/>
          <w:szCs w:val="32"/>
        </w:rPr>
        <w:t>（二）坚持问题导向、目标</w:t>
      </w:r>
      <w:r>
        <w:rPr>
          <w:rFonts w:ascii="楷体_GB2312" w:hAnsi="楷体" w:eastAsia="楷体_GB2312" w:cs="Times New Roman"/>
          <w:bCs/>
          <w:color w:val="000000"/>
          <w:sz w:val="32"/>
          <w:szCs w:val="32"/>
        </w:rPr>
        <w:t>引领</w:t>
      </w:r>
      <w:r>
        <w:rPr>
          <w:rFonts w:hint="eastAsia" w:ascii="楷体_GB2312" w:hAnsi="楷体" w:eastAsia="楷体_GB2312" w:cs="Times New Roman"/>
          <w:b/>
          <w:bCs/>
          <w:color w:val="000000"/>
          <w:sz w:val="32"/>
          <w:szCs w:val="32"/>
        </w:rPr>
        <w:t>。</w:t>
      </w:r>
      <w:r>
        <w:rPr>
          <w:rFonts w:hint="eastAsia" w:ascii="仿宋_GB2312" w:hAnsi="Calibri" w:eastAsia="仿宋_GB2312" w:cs="Times New Roman"/>
          <w:sz w:val="32"/>
          <w:szCs w:val="32"/>
        </w:rPr>
        <w:t>对标《北京城市消防规划（2016年-2035年）》确定的城市发展和消防工作中长期目标，坚持消防工作与丰台区</w:t>
      </w:r>
      <w:r>
        <w:rPr>
          <w:rFonts w:ascii="仿宋_GB2312" w:hAnsi="Calibri" w:eastAsia="仿宋_GB2312" w:cs="Times New Roman"/>
          <w:sz w:val="32"/>
          <w:szCs w:val="32"/>
        </w:rPr>
        <w:t>经济社会</w:t>
      </w:r>
      <w:r>
        <w:rPr>
          <w:rFonts w:hint="eastAsia" w:ascii="仿宋_GB2312" w:hAnsi="Calibri" w:eastAsia="仿宋_GB2312" w:cs="Times New Roman"/>
          <w:sz w:val="32"/>
          <w:szCs w:val="32"/>
        </w:rPr>
        <w:t>同步发展</w:t>
      </w:r>
      <w:r>
        <w:rPr>
          <w:rFonts w:ascii="仿宋_GB2312" w:hAnsi="Calibri" w:eastAsia="仿宋_GB2312" w:cs="Times New Roman"/>
          <w:sz w:val="32"/>
          <w:szCs w:val="32"/>
        </w:rPr>
        <w:t>的工作理念</w:t>
      </w:r>
      <w:r>
        <w:rPr>
          <w:rFonts w:hint="eastAsia" w:ascii="仿宋_GB2312" w:hAnsi="Calibri" w:eastAsia="仿宋_GB2312" w:cs="Times New Roman"/>
          <w:sz w:val="32"/>
          <w:szCs w:val="32"/>
        </w:rPr>
        <w:t>，优化消防安全布局、</w:t>
      </w:r>
      <w:r>
        <w:rPr>
          <w:rFonts w:ascii="仿宋_GB2312" w:hAnsi="Calibri" w:eastAsia="仿宋_GB2312" w:cs="Times New Roman"/>
          <w:sz w:val="32"/>
          <w:szCs w:val="32"/>
        </w:rPr>
        <w:t>夯实灭火救援基础</w:t>
      </w:r>
      <w:r>
        <w:rPr>
          <w:rFonts w:hint="eastAsia" w:ascii="仿宋_GB2312" w:hAnsi="Calibri" w:eastAsia="仿宋_GB2312" w:cs="Times New Roman"/>
          <w:sz w:val="32"/>
          <w:szCs w:val="32"/>
        </w:rPr>
        <w:t>、完善火灾防控体系。聚焦</w:t>
      </w:r>
      <w:r>
        <w:rPr>
          <w:rFonts w:ascii="仿宋_GB2312" w:hAnsi="Calibri" w:eastAsia="仿宋_GB2312" w:cs="Times New Roman"/>
          <w:sz w:val="32"/>
          <w:szCs w:val="32"/>
        </w:rPr>
        <w:t>全区火灾风险隐患，因地制宜、实事求是、科学有效地</w:t>
      </w:r>
      <w:r>
        <w:rPr>
          <w:rFonts w:hint="eastAsia" w:ascii="仿宋_GB2312" w:hAnsi="Calibri" w:eastAsia="仿宋_GB2312" w:cs="Times New Roman"/>
          <w:sz w:val="32"/>
          <w:szCs w:val="32"/>
        </w:rPr>
        <w:t>探索</w:t>
      </w:r>
      <w:r>
        <w:rPr>
          <w:rFonts w:ascii="仿宋_GB2312" w:hAnsi="Calibri" w:eastAsia="仿宋_GB2312" w:cs="Times New Roman"/>
          <w:sz w:val="32"/>
          <w:szCs w:val="32"/>
        </w:rPr>
        <w:t>化解、消除风险隐患</w:t>
      </w:r>
      <w:r>
        <w:rPr>
          <w:rFonts w:hint="eastAsia" w:ascii="仿宋_GB2312" w:hAnsi="Calibri" w:eastAsia="仿宋_GB2312" w:cs="Times New Roman"/>
          <w:sz w:val="32"/>
          <w:szCs w:val="32"/>
        </w:rPr>
        <w:t>的思路途径，</w:t>
      </w:r>
      <w:r>
        <w:rPr>
          <w:rFonts w:hint="eastAsia" w:ascii="仿宋_GB2312" w:hAnsi="Verdana" w:eastAsia="仿宋_GB2312" w:cs="宋体"/>
          <w:color w:val="000000"/>
          <w:kern w:val="0"/>
          <w:sz w:val="32"/>
          <w:szCs w:val="32"/>
        </w:rPr>
        <w:t>谋划破解</w:t>
      </w:r>
      <w:r>
        <w:rPr>
          <w:rFonts w:hint="eastAsia" w:ascii="仿宋_GB2312" w:hAnsi="Calibri" w:eastAsia="仿宋_GB2312" w:cs="Times New Roman"/>
          <w:color w:val="000000"/>
          <w:sz w:val="32"/>
          <w:szCs w:val="32"/>
        </w:rPr>
        <w:t>制约</w:t>
      </w:r>
      <w:r>
        <w:rPr>
          <w:rFonts w:ascii="仿宋_GB2312" w:hAnsi="Calibri" w:eastAsia="仿宋_GB2312" w:cs="Times New Roman"/>
          <w:color w:val="000000"/>
          <w:sz w:val="32"/>
          <w:szCs w:val="32"/>
        </w:rPr>
        <w:t>全区</w:t>
      </w:r>
      <w:r>
        <w:rPr>
          <w:rFonts w:hint="eastAsia" w:ascii="仿宋_GB2312" w:hAnsi="Calibri" w:eastAsia="仿宋_GB2312" w:cs="Times New Roman"/>
          <w:color w:val="000000"/>
          <w:sz w:val="32"/>
          <w:szCs w:val="32"/>
        </w:rPr>
        <w:t>消防工作长远发展的源头性、根本性、基础性矛盾</w:t>
      </w:r>
      <w:r>
        <w:rPr>
          <w:rFonts w:ascii="仿宋_GB2312" w:hAnsi="Calibri" w:eastAsia="仿宋_GB2312" w:cs="Times New Roman"/>
          <w:color w:val="000000"/>
          <w:sz w:val="32"/>
          <w:szCs w:val="32"/>
        </w:rPr>
        <w:t>，实现消防工作与经济社会同步发展的目标。</w:t>
      </w:r>
    </w:p>
    <w:p>
      <w:pPr>
        <w:snapToGrid w:val="0"/>
        <w:spacing w:line="600" w:lineRule="exact"/>
        <w:ind w:firstLine="640" w:firstLineChars="200"/>
        <w:rPr>
          <w:rFonts w:ascii="仿宋_GB2312" w:hAnsi="Calibri" w:eastAsia="仿宋_GB2312" w:cs="Times New Roman"/>
          <w:color w:val="000000"/>
          <w:sz w:val="32"/>
          <w:szCs w:val="32"/>
        </w:rPr>
      </w:pPr>
      <w:r>
        <w:rPr>
          <w:rFonts w:hint="eastAsia" w:ascii="楷体_GB2312" w:hAnsi="楷体" w:eastAsia="楷体_GB2312" w:cs="Times New Roman"/>
          <w:sz w:val="32"/>
          <w:szCs w:val="32"/>
        </w:rPr>
        <w:t>（三）坚持转型升级、高质发展。</w:t>
      </w:r>
      <w:r>
        <w:rPr>
          <w:rFonts w:hint="eastAsia" w:ascii="仿宋_GB2312" w:hAnsi="Calibri" w:eastAsia="仿宋_GB2312" w:cs="Times New Roman"/>
          <w:color w:val="000000"/>
          <w:sz w:val="32"/>
          <w:szCs w:val="32"/>
        </w:rPr>
        <w:t>针对消防机构改革转制后面临的新职责、新使命，结合消防执法改革带来的新要求、新变化，推动消防改革政策全面落实落地，通过改革消防监管模式、推进执勤训练改革、提高信息化水平等，全面推进丰台区消防工作高质量发展，建立具有首都特色的综合应急救援体系，充分发挥消防救援主力军作用。</w:t>
      </w:r>
    </w:p>
    <w:p>
      <w:pPr>
        <w:snapToGrid w:val="0"/>
        <w:spacing w:line="600" w:lineRule="exact"/>
        <w:ind w:firstLine="640" w:firstLineChars="200"/>
        <w:rPr>
          <w:rFonts w:hint="eastAsia" w:ascii="仿宋_GB2312" w:hAnsi="Calibri" w:eastAsia="仿宋_GB2312" w:cs="Times New Roman"/>
          <w:color w:val="000000"/>
          <w:sz w:val="32"/>
          <w:szCs w:val="32"/>
          <w:lang w:eastAsia="zh-Hans"/>
        </w:rPr>
      </w:pPr>
      <w:r>
        <w:rPr>
          <w:rFonts w:hint="eastAsia" w:ascii="楷体_GB2312" w:hAnsi="Calibri" w:eastAsia="楷体_GB2312" w:cs="Times New Roman"/>
          <w:color w:val="000000"/>
          <w:sz w:val="32"/>
          <w:szCs w:val="32"/>
        </w:rPr>
        <w:t>（四）</w:t>
      </w:r>
      <w:r>
        <w:rPr>
          <w:rFonts w:hint="eastAsia" w:ascii="楷体_GB2312" w:hAnsi="Calibri" w:eastAsia="楷体_GB2312" w:cs="Times New Roman"/>
          <w:color w:val="000000"/>
          <w:sz w:val="32"/>
          <w:szCs w:val="32"/>
          <w:lang w:eastAsia="zh-Hans"/>
        </w:rPr>
        <w:t>坚持立足实战</w:t>
      </w:r>
      <w:r>
        <w:rPr>
          <w:rFonts w:ascii="楷体_GB2312" w:hAnsi="Calibri" w:eastAsia="楷体_GB2312" w:cs="Times New Roman"/>
          <w:color w:val="000000"/>
          <w:sz w:val="32"/>
          <w:szCs w:val="32"/>
          <w:lang w:eastAsia="zh-Hans"/>
        </w:rPr>
        <w:t>、</w:t>
      </w:r>
      <w:r>
        <w:rPr>
          <w:rFonts w:hint="eastAsia" w:ascii="楷体_GB2312" w:hAnsi="Calibri" w:eastAsia="楷体_GB2312" w:cs="Times New Roman"/>
          <w:color w:val="000000"/>
          <w:sz w:val="32"/>
          <w:szCs w:val="32"/>
          <w:lang w:eastAsia="zh-Hans"/>
        </w:rPr>
        <w:t>提升</w:t>
      </w:r>
      <w:r>
        <w:rPr>
          <w:rFonts w:hint="eastAsia" w:ascii="楷体_GB2312" w:hAnsi="Calibri" w:eastAsia="楷体_GB2312" w:cs="Times New Roman"/>
          <w:color w:val="000000"/>
          <w:sz w:val="32"/>
          <w:szCs w:val="32"/>
        </w:rPr>
        <w:t>技能</w:t>
      </w:r>
      <w:r>
        <w:rPr>
          <w:rFonts w:ascii="楷体_GB2312" w:hAnsi="Calibri" w:eastAsia="楷体_GB2312" w:cs="Times New Roman"/>
          <w:color w:val="000000"/>
          <w:sz w:val="32"/>
          <w:szCs w:val="32"/>
          <w:lang w:eastAsia="zh-Hans"/>
        </w:rPr>
        <w:t>。</w:t>
      </w:r>
      <w:r>
        <w:rPr>
          <w:rFonts w:hint="eastAsia" w:ascii="仿宋_GB2312" w:hAnsi="Calibri" w:eastAsia="仿宋_GB2312" w:cs="Times New Roman"/>
          <w:sz w:val="32"/>
          <w:szCs w:val="32"/>
          <w:lang w:eastAsia="zh-Hans"/>
        </w:rPr>
        <w:t>结合全区建筑规模、人口数量、大型商业、人密场所、地下空间发展实际，立足灭火救援实战要求，全面梳理、完善各类型火灾灭火救援预案以及灾害险情处置方案，为快速、有效实施灭火救援奠定技术基础。</w:t>
      </w:r>
      <w:r>
        <w:rPr>
          <w:rFonts w:hint="eastAsia" w:ascii="仿宋_GB2312" w:hAnsi="Times New Roman" w:eastAsia="仿宋_GB2312" w:cs="Times New Roman"/>
          <w:sz w:val="32"/>
          <w:szCs w:val="40"/>
        </w:rPr>
        <w:t>紧盯“全灾种、大应急”力量建设，抢抓机遇，</w:t>
      </w:r>
      <w:r>
        <w:rPr>
          <w:rFonts w:hint="eastAsia" w:ascii="仿宋_GB2312" w:hAnsi="Calibri" w:eastAsia="仿宋_GB2312" w:cs="Times New Roman"/>
          <w:sz w:val="32"/>
          <w:szCs w:val="32"/>
        </w:rPr>
        <w:t>组建专业队伍，加强专业培训，</w:t>
      </w:r>
      <w:r>
        <w:rPr>
          <w:rFonts w:hint="eastAsia" w:ascii="仿宋_GB2312" w:hAnsi="Calibri" w:eastAsia="仿宋_GB2312" w:cs="Times New Roman"/>
          <w:sz w:val="32"/>
          <w:szCs w:val="32"/>
          <w:lang w:eastAsia="zh-Hans"/>
        </w:rPr>
        <w:t>通过大练兵、大比武、大演练提升各级消防救援机构的实战能力，</w:t>
      </w:r>
      <w:r>
        <w:rPr>
          <w:rFonts w:hint="eastAsia" w:ascii="仿宋_GB2312" w:hAnsi="Times New Roman" w:eastAsia="仿宋_GB2312" w:cs="Times New Roman"/>
          <w:sz w:val="32"/>
          <w:szCs w:val="40"/>
        </w:rPr>
        <w:t>加快提升特种灾害综合救援能力。</w:t>
      </w:r>
    </w:p>
    <w:p>
      <w:pPr>
        <w:snapToGrid w:val="0"/>
        <w:spacing w:line="600" w:lineRule="exact"/>
        <w:ind w:firstLine="640" w:firstLineChars="200"/>
        <w:rPr>
          <w:rFonts w:ascii="仿宋_GB2312" w:hAnsi="Calibri" w:eastAsia="仿宋_GB2312" w:cs="Times New Roman"/>
          <w:sz w:val="32"/>
          <w:szCs w:val="32"/>
        </w:rPr>
      </w:pPr>
      <w:r>
        <w:rPr>
          <w:rFonts w:hint="eastAsia" w:ascii="楷体_GB2312" w:hAnsi="宋体" w:eastAsia="楷体_GB2312" w:cs="宋体"/>
          <w:color w:val="000000"/>
          <w:sz w:val="32"/>
          <w:szCs w:val="32"/>
        </w:rPr>
        <w:t>（</w:t>
      </w:r>
      <w:r>
        <w:rPr>
          <w:rFonts w:hint="eastAsia" w:ascii="楷体_GB2312" w:hAnsi="宋体" w:eastAsia="楷体_GB2312" w:cs="宋体"/>
          <w:color w:val="000000"/>
          <w:sz w:val="32"/>
          <w:szCs w:val="32"/>
          <w:lang w:eastAsia="zh-Hans"/>
        </w:rPr>
        <w:t>五</w:t>
      </w:r>
      <w:r>
        <w:rPr>
          <w:rFonts w:hint="eastAsia" w:ascii="楷体_GB2312" w:hAnsi="宋体" w:eastAsia="楷体_GB2312" w:cs="宋体"/>
          <w:color w:val="000000"/>
          <w:sz w:val="32"/>
          <w:szCs w:val="32"/>
        </w:rPr>
        <w:t>）坚持政府主导，社会参与。</w:t>
      </w:r>
      <w:r>
        <w:rPr>
          <w:rFonts w:ascii="仿宋_GB2312" w:hAnsi="Times New Roman" w:eastAsia="仿宋_GB2312" w:cs="Times New Roman"/>
          <w:sz w:val="32"/>
          <w:szCs w:val="32"/>
          <w:lang w:eastAsia="zh-Hans"/>
        </w:rPr>
        <w:t>深入贯彻国家治理体系和治理能力现代化的各项要求，</w:t>
      </w:r>
      <w:r>
        <w:rPr>
          <w:rFonts w:hint="eastAsia" w:ascii="仿宋_GB2312" w:hAnsi="Calibri" w:eastAsia="仿宋_GB2312" w:cs="Times New Roman"/>
          <w:sz w:val="32"/>
          <w:szCs w:val="32"/>
        </w:rPr>
        <w:t>着眼</w:t>
      </w:r>
      <w:r>
        <w:rPr>
          <w:rFonts w:hint="eastAsia" w:ascii="仿宋_GB2312" w:hAnsi="Calibri" w:eastAsia="仿宋_GB2312" w:cs="Times New Roman"/>
          <w:sz w:val="32"/>
          <w:szCs w:val="32"/>
          <w:lang w:eastAsia="zh-Hans"/>
        </w:rPr>
        <w:t>丰台区经济社会发展实际</w:t>
      </w:r>
      <w:r>
        <w:rPr>
          <w:rFonts w:ascii="仿宋_GB2312" w:hAnsi="Calibri" w:eastAsia="仿宋_GB2312" w:cs="Times New Roman"/>
          <w:sz w:val="32"/>
          <w:szCs w:val="32"/>
          <w:lang w:eastAsia="zh-Hans"/>
        </w:rPr>
        <w:t>，</w:t>
      </w:r>
      <w:r>
        <w:rPr>
          <w:rFonts w:hint="eastAsia" w:ascii="仿宋_GB2312" w:hAnsi="Calibri" w:eastAsia="仿宋_GB2312" w:cs="Times New Roman"/>
          <w:sz w:val="32"/>
          <w:szCs w:val="32"/>
          <w:lang w:eastAsia="zh-Hans"/>
        </w:rPr>
        <w:t>充分发挥政府的主导作用</w:t>
      </w:r>
      <w:r>
        <w:rPr>
          <w:rFonts w:ascii="仿宋_GB2312" w:hAnsi="Calibri" w:eastAsia="仿宋_GB2312" w:cs="Times New Roman"/>
          <w:sz w:val="32"/>
          <w:szCs w:val="32"/>
          <w:lang w:eastAsia="zh-Hans"/>
        </w:rPr>
        <w:t>，</w:t>
      </w:r>
      <w:r>
        <w:rPr>
          <w:rFonts w:hint="eastAsia" w:ascii="仿宋_GB2312" w:hAnsi="Calibri" w:eastAsia="仿宋_GB2312" w:cs="Times New Roman"/>
          <w:sz w:val="32"/>
          <w:szCs w:val="32"/>
          <w:lang w:eastAsia="zh-Hans"/>
        </w:rPr>
        <w:t>完善部门联动机制，畅通公众参与渠道，形成多元共治、良性互动的消防工作格局。</w:t>
      </w:r>
      <w:r>
        <w:rPr>
          <w:rFonts w:hint="eastAsia" w:ascii="仿宋_GB2312" w:hAnsi="Calibri" w:eastAsia="仿宋_GB2312" w:cs="Times New Roman"/>
          <w:sz w:val="32"/>
          <w:szCs w:val="32"/>
        </w:rPr>
        <w:t>积极鼓励通过政府与社会资本合作、社会中介参与、政府购买服务等方式，不断推进消防安全评估、</w:t>
      </w:r>
      <w:r>
        <w:rPr>
          <w:rFonts w:hint="eastAsia" w:ascii="仿宋_GB2312" w:hAnsi="Calibri" w:eastAsia="仿宋_GB2312" w:cs="Times New Roman"/>
          <w:sz w:val="32"/>
          <w:szCs w:val="32"/>
          <w:lang w:eastAsia="zh-Hans"/>
        </w:rPr>
        <w:t>火灾风险评价</w:t>
      </w:r>
      <w:r>
        <w:rPr>
          <w:rFonts w:ascii="仿宋_GB2312" w:hAnsi="Calibri" w:eastAsia="仿宋_GB2312" w:cs="Times New Roman"/>
          <w:sz w:val="32"/>
          <w:szCs w:val="32"/>
          <w:lang w:eastAsia="zh-Hans"/>
        </w:rPr>
        <w:t>、</w:t>
      </w:r>
      <w:r>
        <w:rPr>
          <w:rFonts w:hint="eastAsia" w:ascii="仿宋_GB2312" w:hAnsi="Calibri" w:eastAsia="仿宋_GB2312" w:cs="Times New Roman"/>
          <w:sz w:val="32"/>
          <w:szCs w:val="32"/>
        </w:rPr>
        <w:t>消防培训教育等工作</w:t>
      </w:r>
      <w:r>
        <w:rPr>
          <w:rFonts w:hint="eastAsia" w:ascii="仿宋_GB2312" w:hAnsi="Calibri" w:eastAsia="仿宋_GB2312" w:cs="Times New Roman"/>
          <w:sz w:val="32"/>
          <w:szCs w:val="32"/>
          <w:lang w:eastAsia="zh-Hans"/>
        </w:rPr>
        <w:t>在更高的水平</w:t>
      </w:r>
      <w:r>
        <w:rPr>
          <w:rFonts w:ascii="仿宋_GB2312" w:hAnsi="Calibri" w:eastAsia="仿宋_GB2312" w:cs="Times New Roman"/>
          <w:sz w:val="32"/>
          <w:szCs w:val="32"/>
          <w:lang w:eastAsia="zh-Hans"/>
        </w:rPr>
        <w:t>、</w:t>
      </w:r>
      <w:r>
        <w:rPr>
          <w:rFonts w:hint="eastAsia" w:ascii="仿宋_GB2312" w:hAnsi="Calibri" w:eastAsia="仿宋_GB2312" w:cs="Times New Roman"/>
          <w:sz w:val="32"/>
          <w:szCs w:val="32"/>
          <w:lang w:eastAsia="zh-Hans"/>
        </w:rPr>
        <w:t>更专业的领域发挥作用</w:t>
      </w:r>
      <w:r>
        <w:rPr>
          <w:rFonts w:ascii="仿宋_GB2312" w:hAnsi="Calibri" w:eastAsia="仿宋_GB2312" w:cs="Times New Roman"/>
          <w:sz w:val="32"/>
          <w:szCs w:val="32"/>
          <w:lang w:eastAsia="zh-Hans"/>
        </w:rPr>
        <w:t>，</w:t>
      </w:r>
      <w:r>
        <w:rPr>
          <w:rFonts w:hint="eastAsia" w:ascii="仿宋_GB2312" w:hAnsi="Calibri" w:eastAsia="仿宋_GB2312" w:cs="Times New Roman"/>
          <w:sz w:val="32"/>
          <w:szCs w:val="32"/>
          <w:lang w:eastAsia="zh-Hans"/>
        </w:rPr>
        <w:t>为政府部门</w:t>
      </w:r>
      <w:r>
        <w:rPr>
          <w:rFonts w:ascii="仿宋_GB2312" w:hAnsi="Calibri" w:eastAsia="仿宋_GB2312" w:cs="Times New Roman"/>
          <w:sz w:val="32"/>
          <w:szCs w:val="32"/>
          <w:lang w:eastAsia="zh-Hans"/>
        </w:rPr>
        <w:t>、</w:t>
      </w:r>
      <w:r>
        <w:rPr>
          <w:rFonts w:hint="eastAsia" w:ascii="仿宋_GB2312" w:hAnsi="Calibri" w:eastAsia="仿宋_GB2312" w:cs="Times New Roman"/>
          <w:sz w:val="32"/>
          <w:szCs w:val="32"/>
          <w:lang w:eastAsia="zh-Hans"/>
        </w:rPr>
        <w:t>社会单位消防工作责任的落实奠定坚实的技术支撑</w:t>
      </w:r>
      <w:r>
        <w:rPr>
          <w:rFonts w:ascii="仿宋_GB2312" w:hAnsi="Calibri" w:eastAsia="仿宋_GB2312" w:cs="Times New Roman"/>
          <w:sz w:val="32"/>
          <w:szCs w:val="32"/>
          <w:lang w:eastAsia="zh-Hans"/>
        </w:rPr>
        <w:t>。</w:t>
      </w:r>
    </w:p>
    <w:p>
      <w:pPr>
        <w:keepNext/>
        <w:keepLines/>
        <w:spacing w:line="600" w:lineRule="exact"/>
        <w:ind w:firstLine="643" w:firstLineChars="200"/>
        <w:jc w:val="left"/>
        <w:outlineLvl w:val="1"/>
        <w:rPr>
          <w:rFonts w:ascii="Arial" w:hAnsi="Arial" w:eastAsia="黑体" w:cs="Times New Roman"/>
          <w:b/>
          <w:sz w:val="32"/>
          <w:szCs w:val="24"/>
        </w:rPr>
      </w:pPr>
      <w:bookmarkStart w:id="14" w:name="_Toc1921"/>
      <w:r>
        <w:rPr>
          <w:rFonts w:hint="eastAsia" w:ascii="Arial" w:hAnsi="Arial" w:eastAsia="黑体" w:cs="Times New Roman"/>
          <w:b/>
          <w:sz w:val="32"/>
          <w:szCs w:val="24"/>
        </w:rPr>
        <w:t>三、主要目标</w:t>
      </w:r>
      <w:bookmarkEnd w:id="14"/>
    </w:p>
    <w:p>
      <w:pPr>
        <w:snapToGrid w:val="0"/>
        <w:spacing w:line="600" w:lineRule="exact"/>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“十四五”时期，全区消防工作要紧紧围绕落实战略定位、全面优化首都功能、促进跨区统筹协同的目标，全面推进</w:t>
      </w:r>
      <w:r>
        <w:rPr>
          <w:rFonts w:hint="eastAsia" w:ascii="仿宋_GB2312" w:hAnsi="Calibri" w:eastAsia="仿宋_GB2312" w:cs="Times New Roman"/>
          <w:sz w:val="32"/>
          <w:szCs w:val="32"/>
          <w:lang w:eastAsia="zh-Hans"/>
        </w:rPr>
        <w:t>丰台区</w:t>
      </w:r>
      <w:r>
        <w:rPr>
          <w:rFonts w:hint="eastAsia" w:ascii="仿宋_GB2312" w:hAnsi="Calibri" w:eastAsia="仿宋_GB2312" w:cs="Times New Roman"/>
          <w:sz w:val="32"/>
          <w:szCs w:val="32"/>
        </w:rPr>
        <w:t>综合性消防救援体系建设，防灾减灾抗灾救灾能力明显增强，防范化解重大火灾风险机制不断完善。主要发展建设目标是：</w:t>
      </w:r>
    </w:p>
    <w:p>
      <w:pPr>
        <w:snapToGrid w:val="0"/>
        <w:spacing w:line="600" w:lineRule="exact"/>
        <w:ind w:firstLine="643" w:firstLineChars="200"/>
        <w:rPr>
          <w:rFonts w:ascii="仿宋_GB2312" w:hAnsi="Calibri" w:eastAsia="仿宋_GB2312" w:cs="Times New Roman"/>
          <w:sz w:val="32"/>
          <w:szCs w:val="32"/>
        </w:rPr>
      </w:pPr>
      <w:r>
        <w:rPr>
          <w:rFonts w:hint="eastAsia" w:ascii="楷体" w:hAnsi="楷体" w:eastAsia="楷体" w:cs="楷体"/>
          <w:b/>
          <w:bCs/>
          <w:color w:val="000000"/>
          <w:sz w:val="32"/>
          <w:szCs w:val="32"/>
        </w:rPr>
        <w:t>——火灾形势持续稳定。</w:t>
      </w:r>
      <w:r>
        <w:rPr>
          <w:rFonts w:hint="eastAsia" w:ascii="仿宋_GB2312" w:hAnsi="Calibri" w:eastAsia="仿宋_GB2312" w:cs="Times New Roman"/>
          <w:sz w:val="32"/>
          <w:szCs w:val="32"/>
        </w:rPr>
        <w:t>有效遏制重特大火灾特别是群死群伤火灾事故，</w:t>
      </w:r>
      <w:r>
        <w:rPr>
          <w:rFonts w:hint="eastAsia" w:ascii="仿宋_GB2312" w:hAnsi="Calibri" w:eastAsia="仿宋_GB2312" w:cs="Times New Roman"/>
          <w:sz w:val="32"/>
          <w:szCs w:val="32"/>
          <w:lang w:eastAsia="zh-Hans"/>
        </w:rPr>
        <w:t>全力</w:t>
      </w:r>
      <w:r>
        <w:rPr>
          <w:rFonts w:hint="eastAsia" w:ascii="仿宋_GB2312" w:hAnsi="Calibri" w:eastAsia="仿宋_GB2312" w:cs="Times New Roman"/>
          <w:sz w:val="32"/>
          <w:szCs w:val="32"/>
        </w:rPr>
        <w:t>控制较大以上火灾事故，确保10万人口（含流动人口）年火灾死亡率小于0.3</w:t>
      </w:r>
      <w:r>
        <w:rPr>
          <w:rFonts w:ascii="仿宋_GB2312" w:hAnsi="Calibri" w:eastAsia="仿宋_GB2312" w:cs="Times New Roman"/>
          <w:sz w:val="32"/>
          <w:szCs w:val="32"/>
        </w:rPr>
        <w:t>3</w:t>
      </w:r>
      <w:r>
        <w:rPr>
          <w:rFonts w:hint="eastAsia" w:ascii="仿宋_GB2312" w:hAnsi="Calibri" w:eastAsia="仿宋_GB2312" w:cs="Times New Roman"/>
          <w:sz w:val="32"/>
          <w:szCs w:val="32"/>
        </w:rPr>
        <w:t>，确保火灾起数、直接财产损失、亡人、伤人四项指标平稳</w:t>
      </w:r>
      <w:r>
        <w:rPr>
          <w:rFonts w:ascii="仿宋_GB2312" w:hAnsi="Calibri" w:eastAsia="仿宋_GB2312" w:cs="Times New Roman"/>
          <w:sz w:val="32"/>
          <w:szCs w:val="32"/>
        </w:rPr>
        <w:t>，</w:t>
      </w:r>
      <w:r>
        <w:rPr>
          <w:rFonts w:hint="eastAsia" w:ascii="仿宋_GB2312" w:hAnsi="Calibri" w:eastAsia="仿宋_GB2312" w:cs="Times New Roman"/>
          <w:sz w:val="32"/>
          <w:szCs w:val="32"/>
          <w:lang w:eastAsia="zh-Hans"/>
        </w:rPr>
        <w:t>确保不</w:t>
      </w:r>
      <w:r>
        <w:rPr>
          <w:rFonts w:hint="eastAsia" w:ascii="仿宋_GB2312" w:hAnsi="Calibri" w:eastAsia="仿宋_GB2312" w:cs="Times New Roman"/>
          <w:sz w:val="32"/>
          <w:szCs w:val="32"/>
        </w:rPr>
        <w:t>发生较大社会影响</w:t>
      </w:r>
      <w:r>
        <w:rPr>
          <w:rFonts w:hint="eastAsia" w:ascii="仿宋_GB2312" w:hAnsi="Calibri" w:eastAsia="仿宋_GB2312" w:cs="Times New Roman"/>
          <w:sz w:val="32"/>
          <w:szCs w:val="32"/>
          <w:lang w:eastAsia="zh-Hans"/>
        </w:rPr>
        <w:t>的</w:t>
      </w:r>
      <w:r>
        <w:rPr>
          <w:rFonts w:hint="eastAsia" w:ascii="仿宋_GB2312" w:hAnsi="Calibri" w:eastAsia="仿宋_GB2312" w:cs="Times New Roman"/>
          <w:sz w:val="32"/>
          <w:szCs w:val="32"/>
        </w:rPr>
        <w:t>火灾事故</w:t>
      </w:r>
      <w:r>
        <w:rPr>
          <w:rFonts w:ascii="仿宋_GB2312" w:hAnsi="Calibri" w:eastAsia="仿宋_GB2312" w:cs="Times New Roman"/>
          <w:sz w:val="32"/>
          <w:szCs w:val="32"/>
        </w:rPr>
        <w:t>。</w:t>
      </w:r>
    </w:p>
    <w:p>
      <w:pPr>
        <w:snapToGrid w:val="0"/>
        <w:spacing w:line="600" w:lineRule="exact"/>
        <w:ind w:firstLine="643" w:firstLineChars="200"/>
        <w:rPr>
          <w:rFonts w:ascii="仿宋_GB2312" w:hAnsi="Calibri" w:eastAsia="仿宋_GB2312" w:cs="Times New Roman"/>
          <w:sz w:val="32"/>
          <w:szCs w:val="32"/>
        </w:rPr>
      </w:pPr>
      <w:r>
        <w:rPr>
          <w:rFonts w:hint="eastAsia" w:ascii="楷体" w:hAnsi="楷体" w:eastAsia="楷体" w:cs="楷体"/>
          <w:b/>
          <w:bCs/>
          <w:color w:val="000000"/>
          <w:sz w:val="32"/>
          <w:szCs w:val="32"/>
        </w:rPr>
        <w:t>——火灾风险明显降低。</w:t>
      </w:r>
      <w:r>
        <w:rPr>
          <w:rFonts w:hint="eastAsia" w:ascii="仿宋_GB2312" w:hAnsi="Calibri" w:eastAsia="仿宋_GB2312" w:cs="Times New Roman"/>
          <w:sz w:val="32"/>
          <w:szCs w:val="32"/>
        </w:rPr>
        <w:t>进一步完善常态化火灾隐患排查整治机制，深入推进消防安全专项整治三年行动，全面完善“横向成纬、纵向成经”的网格化火灾风险防范化解体系，推动落实消防安全责任制，加强高风险区域和重大活动火灾风险分级管理，集中整治高层建筑、大型商业综合体、城市地下轨道交通、物流库房、文物古建、既有建筑改造以及城镇结合部、老旧场所和新材料新业态等场所领域的消防安全突出隐患，</w:t>
      </w:r>
      <w:r>
        <w:rPr>
          <w:rFonts w:hint="eastAsia" w:ascii="仿宋_GB2312" w:hAnsi="Calibri" w:eastAsia="仿宋_GB2312" w:cs="Times New Roman"/>
          <w:sz w:val="32"/>
          <w:szCs w:val="32"/>
          <w:lang w:eastAsia="zh-Hans"/>
        </w:rPr>
        <w:t>全区</w:t>
      </w:r>
      <w:r>
        <w:rPr>
          <w:rFonts w:hint="eastAsia" w:ascii="仿宋_GB2312" w:hAnsi="Calibri" w:eastAsia="仿宋_GB2312" w:cs="Times New Roman"/>
          <w:sz w:val="32"/>
          <w:szCs w:val="32"/>
        </w:rPr>
        <w:t>火灾风险明显降低。</w:t>
      </w:r>
    </w:p>
    <w:p>
      <w:pPr>
        <w:snapToGrid w:val="0"/>
        <w:spacing w:line="600" w:lineRule="exact"/>
        <w:ind w:firstLine="643" w:firstLineChars="200"/>
        <w:rPr>
          <w:rFonts w:ascii="仿宋_GB2312" w:hAnsi="Calibri" w:eastAsia="仿宋_GB2312" w:cs="Times New Roman"/>
          <w:sz w:val="32"/>
          <w:szCs w:val="32"/>
        </w:rPr>
      </w:pPr>
      <w:r>
        <w:rPr>
          <w:rFonts w:hint="eastAsia" w:ascii="楷体" w:hAnsi="楷体" w:eastAsia="楷体" w:cs="楷体"/>
          <w:b/>
          <w:bCs/>
          <w:color w:val="000000"/>
          <w:sz w:val="32"/>
          <w:szCs w:val="32"/>
        </w:rPr>
        <w:t>——消防安全布局进一步优化。</w:t>
      </w:r>
      <w:r>
        <w:rPr>
          <w:rFonts w:hint="eastAsia" w:ascii="仿宋_GB2312" w:hAnsi="Calibri" w:eastAsia="仿宋_GB2312" w:cs="Times New Roman"/>
          <w:sz w:val="32"/>
          <w:szCs w:val="32"/>
          <w:lang w:eastAsia="zh-Hans"/>
        </w:rPr>
        <w:t>以</w:t>
      </w:r>
      <w:r>
        <w:rPr>
          <w:rFonts w:hint="eastAsia" w:ascii="仿宋_GB2312" w:hAnsi="Calibri" w:eastAsia="仿宋_GB2312" w:cs="Times New Roman"/>
          <w:sz w:val="32"/>
          <w:szCs w:val="32"/>
        </w:rPr>
        <w:t>南中轴线功能定位</w:t>
      </w:r>
      <w:r>
        <w:rPr>
          <w:rFonts w:hint="eastAsia" w:ascii="仿宋_GB2312" w:hAnsi="Calibri" w:eastAsia="仿宋_GB2312" w:cs="Times New Roman"/>
          <w:sz w:val="32"/>
          <w:szCs w:val="32"/>
          <w:lang w:eastAsia="zh-Hans"/>
        </w:rPr>
        <w:t>为牵引</w:t>
      </w:r>
      <w:r>
        <w:rPr>
          <w:rFonts w:hint="eastAsia" w:ascii="仿宋_GB2312" w:hAnsi="Calibri" w:eastAsia="仿宋_GB2312" w:cs="Times New Roman"/>
          <w:sz w:val="32"/>
          <w:szCs w:val="32"/>
        </w:rPr>
        <w:t>，结合大红门、南苑森林湿地等地区街区控制性详规，统筹考虑</w:t>
      </w:r>
      <w:r>
        <w:rPr>
          <w:rFonts w:hint="eastAsia" w:ascii="仿宋_GB2312" w:hAnsi="Calibri" w:eastAsia="仿宋_GB2312" w:cs="Times New Roman"/>
          <w:sz w:val="32"/>
          <w:szCs w:val="32"/>
          <w:lang w:eastAsia="zh-Hans"/>
        </w:rPr>
        <w:t>全区</w:t>
      </w:r>
      <w:r>
        <w:rPr>
          <w:rFonts w:hint="eastAsia" w:ascii="仿宋_GB2312" w:hAnsi="Calibri" w:eastAsia="仿宋_GB2312" w:cs="Times New Roman"/>
          <w:sz w:val="32"/>
          <w:szCs w:val="32"/>
        </w:rPr>
        <w:t>空间结构、人口、经济的聚集程度和分布状况，结合非首都功能疏解，推动人员聚集、火灾荷载大、火灾隐患突出的批发市场、一般制造业企业动态清零，腾退违规生产、储存、经营场所，拆除违法违章建筑，优化消防安全布局，严格管控各类火灾危险性和危害性较大的场所或设施用地，减少火灾危险源，增</w:t>
      </w:r>
      <w:r>
        <w:rPr>
          <w:rFonts w:hint="eastAsia" w:ascii="仿宋_GB2312" w:hAnsi="Calibri" w:eastAsia="仿宋_GB2312" w:cs="Times New Roman"/>
          <w:sz w:val="32"/>
          <w:szCs w:val="32"/>
          <w:lang w:eastAsia="zh-Hans"/>
        </w:rPr>
        <w:t>大</w:t>
      </w:r>
      <w:r>
        <w:rPr>
          <w:rFonts w:hint="eastAsia" w:ascii="仿宋_GB2312" w:hAnsi="Calibri" w:eastAsia="仿宋_GB2312" w:cs="Times New Roman"/>
          <w:sz w:val="32"/>
          <w:szCs w:val="32"/>
        </w:rPr>
        <w:t>灭火救援空间，</w:t>
      </w:r>
      <w:r>
        <w:rPr>
          <w:rFonts w:hint="eastAsia" w:ascii="仿宋_GB2312" w:hAnsi="Calibri" w:eastAsia="仿宋_GB2312" w:cs="Times New Roman"/>
          <w:sz w:val="32"/>
          <w:szCs w:val="32"/>
          <w:lang w:eastAsia="zh-Hans"/>
        </w:rPr>
        <w:t>完善公共</w:t>
      </w:r>
      <w:r>
        <w:rPr>
          <w:rFonts w:hint="eastAsia" w:ascii="仿宋_GB2312" w:hAnsi="Calibri" w:eastAsia="仿宋_GB2312" w:cs="Times New Roman"/>
          <w:sz w:val="32"/>
          <w:szCs w:val="32"/>
        </w:rPr>
        <w:t>消防设施，</w:t>
      </w:r>
      <w:r>
        <w:rPr>
          <w:rFonts w:hint="eastAsia" w:ascii="仿宋_GB2312" w:hAnsi="Calibri" w:eastAsia="仿宋_GB2312" w:cs="Times New Roman"/>
          <w:sz w:val="32"/>
          <w:szCs w:val="32"/>
          <w:lang w:eastAsia="zh-Hans"/>
        </w:rPr>
        <w:t>全区消防安全水平持续提升</w:t>
      </w:r>
      <w:r>
        <w:rPr>
          <w:rFonts w:hint="eastAsia" w:ascii="仿宋_GB2312" w:hAnsi="Calibri" w:eastAsia="仿宋_GB2312" w:cs="Times New Roman"/>
          <w:sz w:val="32"/>
          <w:szCs w:val="32"/>
        </w:rPr>
        <w:t>。</w:t>
      </w:r>
    </w:p>
    <w:p>
      <w:pPr>
        <w:snapToGrid w:val="0"/>
        <w:spacing w:line="600" w:lineRule="exact"/>
        <w:ind w:firstLine="643" w:firstLineChars="200"/>
        <w:rPr>
          <w:rFonts w:ascii="仿宋_GB2312" w:hAnsi="Calibri" w:eastAsia="仿宋_GB2312" w:cs="Times New Roman"/>
          <w:sz w:val="32"/>
          <w:szCs w:val="32"/>
        </w:rPr>
      </w:pPr>
      <w:r>
        <w:rPr>
          <w:rFonts w:hint="eastAsia" w:ascii="楷体" w:hAnsi="楷体" w:eastAsia="楷体" w:cs="楷体"/>
          <w:b/>
          <w:bCs/>
          <w:color w:val="000000"/>
          <w:sz w:val="32"/>
          <w:szCs w:val="32"/>
        </w:rPr>
        <w:t>——公共消防设施建设显著提升。</w:t>
      </w:r>
      <w:r>
        <w:rPr>
          <w:rFonts w:hint="eastAsia" w:ascii="仿宋_GB2312" w:hAnsi="Calibri" w:eastAsia="仿宋_GB2312" w:cs="Times New Roman"/>
          <w:sz w:val="32"/>
          <w:szCs w:val="32"/>
        </w:rPr>
        <w:t>强化丰台区公共消防设施建设，坚持“大站建强、小站建密、微站建广”原则织密城镇灭火救援网，规划建设训练基地及战勤保障基地合建项目及3座消防救援站；多渠道拓展城市消防水源，加强消防水池、消防水鹤</w:t>
      </w:r>
      <w:r>
        <w:rPr>
          <w:rFonts w:ascii="仿宋_GB2312" w:hAnsi="Calibri" w:eastAsia="仿宋_GB2312" w:cs="Times New Roman"/>
          <w:sz w:val="32"/>
          <w:szCs w:val="32"/>
        </w:rPr>
        <w:t>、</w:t>
      </w:r>
      <w:r>
        <w:rPr>
          <w:rFonts w:hint="eastAsia" w:ascii="仿宋_GB2312" w:hAnsi="Calibri" w:eastAsia="仿宋_GB2312" w:cs="Times New Roman"/>
          <w:sz w:val="32"/>
          <w:szCs w:val="32"/>
          <w:lang w:eastAsia="zh-Hans"/>
        </w:rPr>
        <w:t>市政消火栓</w:t>
      </w:r>
      <w:r>
        <w:rPr>
          <w:rFonts w:hint="eastAsia" w:ascii="仿宋_GB2312" w:hAnsi="Calibri" w:eastAsia="仿宋_GB2312" w:cs="Times New Roman"/>
          <w:sz w:val="32"/>
          <w:szCs w:val="32"/>
        </w:rPr>
        <w:t>建设力度。市政消防水市政消火栓应与城市供水、道路等基础设施同步规划、同步建设，市政消火栓完好率达9</w:t>
      </w:r>
      <w:r>
        <w:rPr>
          <w:rFonts w:ascii="仿宋_GB2312" w:hAnsi="Calibri" w:eastAsia="仿宋_GB2312" w:cs="Times New Roman"/>
          <w:sz w:val="32"/>
          <w:szCs w:val="32"/>
        </w:rPr>
        <w:t>8</w:t>
      </w:r>
      <w:r>
        <w:rPr>
          <w:rFonts w:hint="eastAsia" w:ascii="仿宋_GB2312" w:hAnsi="Calibri" w:eastAsia="仿宋_GB2312" w:cs="Times New Roman"/>
          <w:sz w:val="32"/>
          <w:szCs w:val="32"/>
        </w:rPr>
        <w:t>%；多渠道畅通城市消防车通道，消防站5分钟响应时间覆盖率明显提高。</w:t>
      </w:r>
    </w:p>
    <w:p>
      <w:pPr>
        <w:snapToGrid w:val="0"/>
        <w:spacing w:line="600" w:lineRule="exact"/>
        <w:ind w:firstLine="643" w:firstLineChars="200"/>
        <w:rPr>
          <w:rFonts w:hint="eastAsia" w:ascii="仿宋_GB2312" w:hAnsi="Calibri" w:eastAsia="仿宋_GB2312" w:cs="Times New Roman"/>
          <w:sz w:val="32"/>
          <w:szCs w:val="32"/>
        </w:rPr>
      </w:pPr>
      <w:r>
        <w:rPr>
          <w:rFonts w:hint="eastAsia" w:ascii="楷体" w:hAnsi="楷体" w:eastAsia="楷体" w:cs="楷体"/>
          <w:b/>
          <w:bCs/>
          <w:color w:val="000000"/>
          <w:sz w:val="32"/>
          <w:szCs w:val="32"/>
        </w:rPr>
        <w:t>——综合应急救援能力显著提高。</w:t>
      </w:r>
      <w:r>
        <w:rPr>
          <w:rFonts w:hint="eastAsia" w:ascii="仿宋_GB2312" w:hAnsi="Times New Roman" w:eastAsia="仿宋_GB2312" w:cs="Times New Roman"/>
          <w:sz w:val="32"/>
          <w:szCs w:val="32"/>
        </w:rPr>
        <w:t>按照“全灾种、大应急”要求，提升专业装备配备，</w:t>
      </w:r>
      <w:r>
        <w:rPr>
          <w:rFonts w:hint="eastAsia" w:ascii="仿宋_GB2312" w:hAnsi="Calibri" w:eastAsia="仿宋_GB2312" w:cs="Times New Roman"/>
          <w:sz w:val="32"/>
          <w:szCs w:val="32"/>
        </w:rPr>
        <w:t>全面推进实战化训练演练，综合应急救援能力</w:t>
      </w:r>
      <w:r>
        <w:rPr>
          <w:rFonts w:hint="eastAsia" w:ascii="仿宋_GB2312" w:hAnsi="Calibri" w:eastAsia="仿宋_GB2312" w:cs="Times New Roman"/>
          <w:sz w:val="32"/>
          <w:szCs w:val="32"/>
          <w:lang w:eastAsia="zh-Hans"/>
        </w:rPr>
        <w:t>进一步增强</w:t>
      </w:r>
      <w:r>
        <w:rPr>
          <w:rFonts w:hint="eastAsia" w:ascii="仿宋_GB2312" w:hAnsi="Calibri" w:eastAsia="仿宋_GB2312" w:cs="Times New Roman"/>
          <w:sz w:val="32"/>
          <w:szCs w:val="32"/>
        </w:rPr>
        <w:t>。</w:t>
      </w:r>
      <w:r>
        <w:rPr>
          <w:rFonts w:hint="eastAsia" w:ascii="仿宋_GB2312" w:hAnsi="Times New Roman" w:eastAsia="仿宋_GB2312" w:cs="Times New Roman"/>
          <w:sz w:val="32"/>
          <w:szCs w:val="32"/>
        </w:rPr>
        <w:t>不断优化车辆装备配备结构，提升装备整体性能，逐步实现装备的标准化、体系化、专业化。</w:t>
      </w:r>
      <w:r>
        <w:rPr>
          <w:rFonts w:ascii="Times New Roman" w:hAnsi="Times New Roman" w:eastAsia="仿宋_GB2312" w:cs="Times New Roman"/>
          <w:sz w:val="32"/>
          <w:szCs w:val="40"/>
        </w:rPr>
        <w:t>提升特种灾害综合救援能力</w:t>
      </w:r>
      <w:r>
        <w:rPr>
          <w:rFonts w:hint="eastAsia" w:ascii="Times New Roman" w:hAnsi="Times New Roman" w:eastAsia="黑体" w:cs="Times New Roman"/>
          <w:sz w:val="32"/>
          <w:szCs w:val="40"/>
        </w:rPr>
        <w:t>，</w:t>
      </w:r>
      <w:r>
        <w:rPr>
          <w:rFonts w:hint="eastAsia" w:ascii="仿宋_GB2312" w:hAnsi="Calibri" w:eastAsia="仿宋_GB2312" w:cs="Times New Roman"/>
          <w:sz w:val="32"/>
          <w:szCs w:val="32"/>
        </w:rPr>
        <w:t>完善地震、高空山岳、水域、有限空间、</w:t>
      </w:r>
      <w:r>
        <w:rPr>
          <w:rFonts w:hint="eastAsia" w:ascii="仿宋_GB2312" w:hAnsi="Calibri" w:eastAsia="仿宋_GB2312" w:cs="仿宋_GB2312"/>
          <w:color w:val="000000"/>
          <w:sz w:val="32"/>
          <w:szCs w:val="32"/>
        </w:rPr>
        <w:t>核生化</w:t>
      </w:r>
      <w:r>
        <w:rPr>
          <w:rFonts w:hint="eastAsia" w:ascii="仿宋_GB2312" w:hAnsi="Calibri" w:eastAsia="仿宋_GB2312" w:cs="Times New Roman"/>
          <w:sz w:val="32"/>
          <w:szCs w:val="32"/>
        </w:rPr>
        <w:t>救援专业队伍</w:t>
      </w:r>
      <w:r>
        <w:rPr>
          <w:rFonts w:hint="eastAsia" w:ascii="仿宋_GB2312" w:hAnsi="Calibri" w:eastAsia="仿宋_GB2312" w:cs="仿宋_GB2312"/>
          <w:color w:val="000000"/>
          <w:sz w:val="32"/>
          <w:szCs w:val="32"/>
        </w:rPr>
        <w:t>以及供水专业队</w:t>
      </w:r>
      <w:r>
        <w:rPr>
          <w:rFonts w:hint="eastAsia" w:ascii="仿宋_GB2312" w:hAnsi="Calibri" w:eastAsia="仿宋_GB2312" w:cs="Times New Roman"/>
          <w:sz w:val="32"/>
          <w:szCs w:val="32"/>
        </w:rPr>
        <w:t>，组建</w:t>
      </w:r>
      <w:r>
        <w:rPr>
          <w:rFonts w:hint="eastAsia" w:ascii="仿宋_GB2312" w:hAnsi="Calibri" w:eastAsia="仿宋_GB2312" w:cs="仿宋_GB2312"/>
          <w:color w:val="000000"/>
          <w:sz w:val="32"/>
          <w:szCs w:val="32"/>
        </w:rPr>
        <w:t>高层建筑、地下建筑、大跨度空间、石油化工、城市综合体、普通居民楼灭火救援专业队</w:t>
      </w:r>
      <w:r>
        <w:rPr>
          <w:rFonts w:hint="eastAsia" w:ascii="仿宋_GB2312" w:hAnsi="Calibri" w:eastAsia="仿宋_GB2312" w:cs="Times New Roman"/>
          <w:sz w:val="32"/>
          <w:szCs w:val="32"/>
        </w:rPr>
        <w:t>。推进多种形式消防力量建设，加大合同制政府专职消防员招录力度，力争2025年末专职消防员达到800人。</w:t>
      </w:r>
      <w:r>
        <w:rPr>
          <w:rFonts w:hint="eastAsia" w:ascii="仿宋_GB2312" w:hAnsi="黑体" w:eastAsia="仿宋_GB2312" w:cs="Times New Roman"/>
          <w:color w:val="000000"/>
          <w:sz w:val="32"/>
          <w:szCs w:val="32"/>
        </w:rPr>
        <w:t>不断提升各镇政府和企业专职消防队能力</w:t>
      </w:r>
      <w:r>
        <w:rPr>
          <w:rFonts w:hint="eastAsia" w:ascii="仿宋_GB2312" w:hAnsi="Calibri" w:eastAsia="仿宋_GB2312" w:cs="仿宋_GB2312"/>
          <w:color w:val="000000"/>
          <w:sz w:val="32"/>
          <w:szCs w:val="32"/>
        </w:rPr>
        <w:t>，引导用好社会应急救援力量。</w:t>
      </w:r>
    </w:p>
    <w:p>
      <w:pPr>
        <w:snapToGrid w:val="0"/>
        <w:spacing w:line="600" w:lineRule="exact"/>
        <w:ind w:firstLine="643" w:firstLineChars="200"/>
        <w:rPr>
          <w:rFonts w:ascii="仿宋_GB2312" w:hAnsi="Calibri" w:eastAsia="仿宋_GB2312" w:cs="Times New Roman"/>
          <w:color w:val="000000"/>
          <w:kern w:val="0"/>
          <w:sz w:val="32"/>
          <w:szCs w:val="32"/>
        </w:rPr>
      </w:pPr>
      <w:r>
        <w:rPr>
          <w:rFonts w:hint="eastAsia" w:ascii="楷体" w:hAnsi="楷体" w:eastAsia="楷体" w:cs="楷体"/>
          <w:b/>
          <w:bCs/>
          <w:color w:val="000000"/>
          <w:sz w:val="32"/>
          <w:szCs w:val="32"/>
        </w:rPr>
        <w:t>——市民消防安全素质不断提升。</w:t>
      </w:r>
      <w:r>
        <w:rPr>
          <w:rFonts w:hint="eastAsia" w:ascii="仿宋_GB2312" w:hAnsi="Calibri" w:eastAsia="仿宋_GB2312" w:cs="Times New Roman"/>
          <w:color w:val="000000"/>
          <w:sz w:val="32"/>
          <w:szCs w:val="32"/>
        </w:rPr>
        <w:t>落实首都消防宣传教育发展规划，加强消</w:t>
      </w:r>
      <w:r>
        <w:rPr>
          <w:rFonts w:hint="eastAsia" w:ascii="仿宋_GB2312" w:hAnsi="Calibri" w:eastAsia="仿宋_GB2312" w:cs="Times New Roman"/>
          <w:sz w:val="32"/>
          <w:szCs w:val="32"/>
        </w:rPr>
        <w:t>防文化基础设施建设，丰富消防宣传媒介和形式，大力开展消防宣传</w:t>
      </w:r>
      <w:r>
        <w:rPr>
          <w:rFonts w:hint="eastAsia" w:ascii="仿宋_GB2312" w:hAnsi="Calibri" w:eastAsia="仿宋_GB2312" w:cs="Times New Roman"/>
          <w:sz w:val="32"/>
          <w:szCs w:val="32"/>
          <w:lang w:eastAsia="zh-Hans"/>
        </w:rPr>
        <w:t>教育</w:t>
      </w:r>
      <w:r>
        <w:rPr>
          <w:rFonts w:hint="eastAsia" w:ascii="仿宋_GB2312" w:hAnsi="Calibri" w:eastAsia="仿宋_GB2312" w:cs="Times New Roman"/>
          <w:sz w:val="32"/>
          <w:szCs w:val="32"/>
        </w:rPr>
        <w:t>培训，普及消防安全基本常识和自救逃生技能，以消防宣传“进企业、进农村、进社区、进学校、进家庭”为抓手，全媒体宣传、全方位普及消防安全常识和自救逃生技能，拓展消防科普教育公园和消防志愿服务，深入开展</w:t>
      </w:r>
      <w:r>
        <w:rPr>
          <w:rFonts w:hint="eastAsia" w:ascii="仿宋_GB2312" w:hAnsi="Calibri" w:eastAsia="仿宋_GB2312" w:cs="Times New Roman"/>
          <w:kern w:val="0"/>
          <w:sz w:val="32"/>
          <w:szCs w:val="32"/>
        </w:rPr>
        <w:t>“一警六员”消防基本技能实操实训，切实培养一批“见火不慌、抬手就灭”的“准消防员”。</w:t>
      </w:r>
      <w:r>
        <w:rPr>
          <w:rFonts w:hint="eastAsia" w:ascii="仿宋_GB2312" w:hAnsi="Calibri" w:eastAsia="仿宋_GB2312" w:cs="Times New Roman"/>
          <w:sz w:val="32"/>
          <w:szCs w:val="32"/>
        </w:rPr>
        <w:t>大力开展消防安全培训演练，</w:t>
      </w:r>
      <w:r>
        <w:rPr>
          <w:rFonts w:hint="eastAsia" w:ascii="仿宋_GB2312" w:hAnsi="Calibri" w:eastAsia="仿宋_GB2312" w:cs="Times New Roman"/>
          <w:kern w:val="0"/>
          <w:sz w:val="32"/>
          <w:szCs w:val="32"/>
        </w:rPr>
        <w:t>居民消</w:t>
      </w:r>
      <w:r>
        <w:rPr>
          <w:rFonts w:hint="eastAsia" w:ascii="仿宋_GB2312" w:hAnsi="Calibri" w:eastAsia="仿宋_GB2312" w:cs="Times New Roman"/>
          <w:color w:val="000000"/>
          <w:kern w:val="0"/>
          <w:sz w:val="32"/>
          <w:szCs w:val="32"/>
        </w:rPr>
        <w:t>防安全普及率、知晓率达8</w:t>
      </w:r>
      <w:r>
        <w:rPr>
          <w:rFonts w:ascii="仿宋_GB2312" w:hAnsi="Calibri" w:eastAsia="仿宋_GB2312" w:cs="Times New Roman"/>
          <w:color w:val="000000"/>
          <w:kern w:val="0"/>
          <w:sz w:val="32"/>
          <w:szCs w:val="32"/>
        </w:rPr>
        <w:t>5</w:t>
      </w:r>
      <w:r>
        <w:rPr>
          <w:rFonts w:hint="eastAsia" w:ascii="仿宋_GB2312" w:hAnsi="Calibri" w:eastAsia="仿宋_GB2312" w:cs="Times New Roman"/>
          <w:color w:val="000000"/>
          <w:kern w:val="0"/>
          <w:sz w:val="32"/>
          <w:szCs w:val="32"/>
        </w:rPr>
        <w:t>%，市民对消防救援队伍认可度、满意度全面提升。</w:t>
      </w:r>
    </w:p>
    <w:p>
      <w:pPr>
        <w:adjustRightInd w:val="0"/>
        <w:snapToGrid w:val="0"/>
        <w:spacing w:line="600" w:lineRule="exact"/>
        <w:jc w:val="center"/>
        <w:rPr>
          <w:rFonts w:ascii="宋体" w:hAnsi="宋体" w:eastAsia="宋体" w:cs="宋体"/>
          <w:bCs/>
          <w:color w:val="000000"/>
          <w:kern w:val="0"/>
          <w:sz w:val="28"/>
          <w:szCs w:val="28"/>
        </w:rPr>
      </w:pPr>
      <w:r>
        <w:rPr>
          <w:rFonts w:hint="eastAsia" w:ascii="宋体" w:hAnsi="宋体" w:eastAsia="宋体" w:cs="宋体"/>
          <w:bCs/>
          <w:color w:val="000000"/>
          <w:kern w:val="0"/>
          <w:sz w:val="28"/>
          <w:szCs w:val="28"/>
        </w:rPr>
        <w:t>表</w:t>
      </w:r>
      <w:r>
        <w:rPr>
          <w:rFonts w:ascii="宋体" w:hAnsi="宋体" w:eastAsia="宋体" w:cs="宋体"/>
          <w:bCs/>
          <w:color w:val="000000"/>
          <w:kern w:val="0"/>
          <w:sz w:val="28"/>
          <w:szCs w:val="28"/>
        </w:rPr>
        <w:t>2</w:t>
      </w:r>
      <w:r>
        <w:rPr>
          <w:rFonts w:hint="eastAsia" w:ascii="宋体" w:hAnsi="宋体" w:eastAsia="宋体" w:cs="宋体"/>
          <w:bCs/>
          <w:color w:val="000000"/>
          <w:kern w:val="0"/>
          <w:sz w:val="28"/>
          <w:szCs w:val="28"/>
        </w:rPr>
        <w:t>：</w:t>
      </w:r>
      <w:r>
        <w:rPr>
          <w:rFonts w:ascii="宋体" w:hAnsi="宋体" w:eastAsia="宋体" w:cs="宋体"/>
          <w:bCs/>
          <w:color w:val="000000"/>
          <w:kern w:val="0"/>
          <w:sz w:val="28"/>
          <w:szCs w:val="28"/>
        </w:rPr>
        <w:t xml:space="preserve"> </w:t>
      </w:r>
      <w:r>
        <w:rPr>
          <w:rFonts w:hint="eastAsia" w:ascii="宋体" w:hAnsi="宋体" w:eastAsia="宋体" w:cs="宋体"/>
          <w:bCs/>
          <w:color w:val="000000"/>
          <w:kern w:val="0"/>
          <w:sz w:val="28"/>
          <w:szCs w:val="28"/>
        </w:rPr>
        <w:t>“十四五”时期主要指标表</w:t>
      </w:r>
    </w:p>
    <w:tbl>
      <w:tblPr>
        <w:tblStyle w:val="2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4"/>
        <w:gridCol w:w="3936"/>
        <w:gridCol w:w="1053"/>
        <w:gridCol w:w="1385"/>
        <w:gridCol w:w="96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851" w:hRule="atLeast"/>
          <w:tblHeader/>
          <w:jc w:val="center"/>
        </w:trPr>
        <w:tc>
          <w:tcPr>
            <w:tcW w:w="734" w:type="dxa"/>
            <w:vAlign w:val="center"/>
          </w:tcPr>
          <w:p>
            <w:pPr>
              <w:widowControl/>
              <w:spacing w:line="400" w:lineRule="exact"/>
              <w:jc w:val="center"/>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序号</w:t>
            </w:r>
          </w:p>
        </w:tc>
        <w:tc>
          <w:tcPr>
            <w:tcW w:w="3936" w:type="dxa"/>
            <w:vAlign w:val="center"/>
          </w:tcPr>
          <w:p>
            <w:pPr>
              <w:widowControl/>
              <w:spacing w:line="400" w:lineRule="exact"/>
              <w:jc w:val="center"/>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名称</w:t>
            </w:r>
          </w:p>
        </w:tc>
        <w:tc>
          <w:tcPr>
            <w:tcW w:w="1053" w:type="dxa"/>
            <w:vAlign w:val="center"/>
          </w:tcPr>
          <w:p>
            <w:pPr>
              <w:widowControl/>
              <w:spacing w:line="400" w:lineRule="exact"/>
              <w:jc w:val="center"/>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单位</w:t>
            </w:r>
          </w:p>
        </w:tc>
        <w:tc>
          <w:tcPr>
            <w:tcW w:w="1385" w:type="dxa"/>
            <w:vAlign w:val="center"/>
          </w:tcPr>
          <w:p>
            <w:pPr>
              <w:widowControl/>
              <w:spacing w:line="400" w:lineRule="exact"/>
              <w:jc w:val="center"/>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目标值</w:t>
            </w:r>
            <w:r>
              <w:rPr>
                <w:rFonts w:hint="eastAsia" w:ascii="Times New Roman" w:hAnsi="Times New Roman" w:eastAsia="宋体" w:cs="Times New Roman"/>
                <w:bCs/>
                <w:sz w:val="24"/>
                <w:szCs w:val="24"/>
              </w:rPr>
              <w:t>（</w:t>
            </w:r>
            <w:r>
              <w:rPr>
                <w:rFonts w:ascii="Times New Roman" w:hAnsi="Times New Roman" w:eastAsia="宋体" w:cs="Times New Roman"/>
                <w:bCs/>
                <w:sz w:val="24"/>
                <w:szCs w:val="24"/>
              </w:rPr>
              <w:t>2025</w:t>
            </w:r>
            <w:r>
              <w:rPr>
                <w:rFonts w:hint="eastAsia" w:ascii="Times New Roman" w:hAnsi="Times New Roman" w:eastAsia="宋体" w:cs="Times New Roman"/>
                <w:bCs/>
                <w:sz w:val="24"/>
                <w:szCs w:val="24"/>
              </w:rPr>
              <w:t>）</w:t>
            </w:r>
          </w:p>
        </w:tc>
        <w:tc>
          <w:tcPr>
            <w:tcW w:w="964" w:type="dxa"/>
            <w:vAlign w:val="center"/>
          </w:tcPr>
          <w:p>
            <w:pPr>
              <w:widowControl/>
              <w:spacing w:line="400" w:lineRule="exact"/>
              <w:jc w:val="center"/>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属性</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734" w:type="dxa"/>
            <w:vAlign w:val="center"/>
          </w:tcPr>
          <w:p>
            <w:pPr>
              <w:widowControl/>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1</w:t>
            </w:r>
          </w:p>
        </w:tc>
        <w:tc>
          <w:tcPr>
            <w:tcW w:w="3936" w:type="dxa"/>
            <w:vAlign w:val="center"/>
          </w:tcPr>
          <w:p>
            <w:pPr>
              <w:widowControl/>
              <w:spacing w:line="400" w:lineRule="exact"/>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10万人口（含流动人口）年火灾死亡率</w:t>
            </w:r>
          </w:p>
        </w:tc>
        <w:tc>
          <w:tcPr>
            <w:tcW w:w="1053" w:type="dxa"/>
            <w:vAlign w:val="center"/>
          </w:tcPr>
          <w:p>
            <w:pPr>
              <w:widowControl/>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w:t>
            </w:r>
          </w:p>
        </w:tc>
        <w:tc>
          <w:tcPr>
            <w:tcW w:w="1385" w:type="dxa"/>
            <w:vAlign w:val="center"/>
          </w:tcPr>
          <w:p>
            <w:pPr>
              <w:widowControl/>
              <w:spacing w:line="400" w:lineRule="exact"/>
              <w:ind w:firstLine="360" w:firstLineChars="150"/>
              <w:rPr>
                <w:rFonts w:ascii="Times New Roman" w:hAnsi="Times New Roman" w:eastAsia="宋体" w:cs="Times New Roman"/>
                <w:sz w:val="24"/>
                <w:szCs w:val="24"/>
              </w:rPr>
            </w:pPr>
            <w:r>
              <w:rPr>
                <w:rFonts w:hint="eastAsia" w:ascii="Times New Roman" w:hAnsi="Times New Roman" w:eastAsia="宋体" w:cs="Times New Roman"/>
                <w:sz w:val="24"/>
                <w:szCs w:val="24"/>
              </w:rPr>
              <w:t>&lt;</w:t>
            </w:r>
            <w:r>
              <w:rPr>
                <w:rFonts w:ascii="Times New Roman" w:hAnsi="Times New Roman" w:eastAsia="宋体" w:cs="Times New Roman"/>
                <w:sz w:val="24"/>
                <w:szCs w:val="24"/>
              </w:rPr>
              <w:t>0.33</w:t>
            </w:r>
          </w:p>
        </w:tc>
        <w:tc>
          <w:tcPr>
            <w:tcW w:w="964" w:type="dxa"/>
            <w:vAlign w:val="center"/>
          </w:tcPr>
          <w:p>
            <w:pPr>
              <w:widowControl/>
              <w:spacing w:line="400" w:lineRule="exact"/>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预期性</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734" w:type="dxa"/>
            <w:vAlign w:val="center"/>
          </w:tcPr>
          <w:p>
            <w:pPr>
              <w:widowControl/>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2</w:t>
            </w:r>
          </w:p>
        </w:tc>
        <w:tc>
          <w:tcPr>
            <w:tcW w:w="3936" w:type="dxa"/>
            <w:vAlign w:val="center"/>
          </w:tcPr>
          <w:p>
            <w:pPr>
              <w:widowControl/>
              <w:spacing w:line="400" w:lineRule="exact"/>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训练基地及战勤保障基地合建项目</w:t>
            </w:r>
          </w:p>
        </w:tc>
        <w:tc>
          <w:tcPr>
            <w:tcW w:w="1053" w:type="dxa"/>
            <w:vAlign w:val="center"/>
          </w:tcPr>
          <w:p>
            <w:pPr>
              <w:widowControl/>
              <w:spacing w:line="400" w:lineRule="exact"/>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座</w:t>
            </w:r>
          </w:p>
        </w:tc>
        <w:tc>
          <w:tcPr>
            <w:tcW w:w="1385" w:type="dxa"/>
            <w:vAlign w:val="center"/>
          </w:tcPr>
          <w:p>
            <w:pPr>
              <w:widowControl/>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1</w:t>
            </w:r>
          </w:p>
        </w:tc>
        <w:tc>
          <w:tcPr>
            <w:tcW w:w="964" w:type="dxa"/>
            <w:vAlign w:val="center"/>
          </w:tcPr>
          <w:p>
            <w:pPr>
              <w:widowControl/>
              <w:spacing w:line="400" w:lineRule="exact"/>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预期性</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734" w:type="dxa"/>
            <w:vAlign w:val="center"/>
          </w:tcPr>
          <w:p>
            <w:pPr>
              <w:widowControl/>
              <w:spacing w:line="400" w:lineRule="exact"/>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3</w:t>
            </w:r>
          </w:p>
        </w:tc>
        <w:tc>
          <w:tcPr>
            <w:tcW w:w="3936" w:type="dxa"/>
            <w:vAlign w:val="center"/>
          </w:tcPr>
          <w:p>
            <w:pPr>
              <w:widowControl/>
              <w:spacing w:line="400" w:lineRule="exact"/>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消防救援站</w:t>
            </w:r>
          </w:p>
        </w:tc>
        <w:tc>
          <w:tcPr>
            <w:tcW w:w="1053" w:type="dxa"/>
            <w:vAlign w:val="center"/>
          </w:tcPr>
          <w:p>
            <w:pPr>
              <w:widowControl/>
              <w:spacing w:line="400" w:lineRule="exact"/>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座</w:t>
            </w:r>
          </w:p>
        </w:tc>
        <w:tc>
          <w:tcPr>
            <w:tcW w:w="1385" w:type="dxa"/>
            <w:vAlign w:val="center"/>
          </w:tcPr>
          <w:p>
            <w:pPr>
              <w:widowControl/>
              <w:spacing w:line="400" w:lineRule="exact"/>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3</w:t>
            </w:r>
          </w:p>
        </w:tc>
        <w:tc>
          <w:tcPr>
            <w:tcW w:w="964" w:type="dxa"/>
            <w:vAlign w:val="center"/>
          </w:tcPr>
          <w:p>
            <w:pPr>
              <w:widowControl/>
              <w:spacing w:line="400" w:lineRule="exact"/>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预期性</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734" w:type="dxa"/>
            <w:vAlign w:val="center"/>
          </w:tcPr>
          <w:p>
            <w:pPr>
              <w:widowControl/>
              <w:spacing w:line="400" w:lineRule="exact"/>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4</w:t>
            </w:r>
          </w:p>
        </w:tc>
        <w:tc>
          <w:tcPr>
            <w:tcW w:w="3936" w:type="dxa"/>
            <w:vAlign w:val="center"/>
          </w:tcPr>
          <w:p>
            <w:pPr>
              <w:widowControl/>
              <w:spacing w:line="400" w:lineRule="exact"/>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市政消火栓完好率</w:t>
            </w:r>
          </w:p>
        </w:tc>
        <w:tc>
          <w:tcPr>
            <w:tcW w:w="1053" w:type="dxa"/>
            <w:vAlign w:val="center"/>
          </w:tcPr>
          <w:p>
            <w:pPr>
              <w:widowControl/>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w:t>
            </w:r>
          </w:p>
        </w:tc>
        <w:tc>
          <w:tcPr>
            <w:tcW w:w="1385" w:type="dxa"/>
            <w:vAlign w:val="center"/>
          </w:tcPr>
          <w:p>
            <w:pPr>
              <w:widowControl/>
              <w:spacing w:line="400" w:lineRule="exact"/>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9</w:t>
            </w:r>
            <w:r>
              <w:rPr>
                <w:rFonts w:ascii="Times New Roman" w:hAnsi="Times New Roman" w:eastAsia="宋体" w:cs="Times New Roman"/>
                <w:sz w:val="24"/>
                <w:szCs w:val="24"/>
              </w:rPr>
              <w:t>8</w:t>
            </w:r>
          </w:p>
        </w:tc>
        <w:tc>
          <w:tcPr>
            <w:tcW w:w="964" w:type="dxa"/>
            <w:vAlign w:val="center"/>
          </w:tcPr>
          <w:p>
            <w:pPr>
              <w:widowControl/>
              <w:spacing w:line="400" w:lineRule="exact"/>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预期性</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734" w:type="dxa"/>
            <w:vAlign w:val="center"/>
          </w:tcPr>
          <w:p>
            <w:pPr>
              <w:widowControl/>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5</w:t>
            </w:r>
          </w:p>
        </w:tc>
        <w:tc>
          <w:tcPr>
            <w:tcW w:w="3936" w:type="dxa"/>
            <w:vAlign w:val="center"/>
          </w:tcPr>
          <w:p>
            <w:pPr>
              <w:widowControl/>
              <w:spacing w:line="400" w:lineRule="exact"/>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多种形式消防力量建设</w:t>
            </w:r>
          </w:p>
        </w:tc>
        <w:tc>
          <w:tcPr>
            <w:tcW w:w="1053" w:type="dxa"/>
            <w:vAlign w:val="center"/>
          </w:tcPr>
          <w:p>
            <w:pPr>
              <w:widowControl/>
              <w:spacing w:line="400" w:lineRule="exact"/>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人</w:t>
            </w:r>
          </w:p>
        </w:tc>
        <w:tc>
          <w:tcPr>
            <w:tcW w:w="1385" w:type="dxa"/>
            <w:vAlign w:val="center"/>
          </w:tcPr>
          <w:p>
            <w:pPr>
              <w:widowControl/>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800</w:t>
            </w:r>
          </w:p>
        </w:tc>
        <w:tc>
          <w:tcPr>
            <w:tcW w:w="964" w:type="dxa"/>
            <w:vAlign w:val="center"/>
          </w:tcPr>
          <w:p>
            <w:pPr>
              <w:widowControl/>
              <w:spacing w:line="400" w:lineRule="exact"/>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预期性</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734" w:type="dxa"/>
            <w:vAlign w:val="center"/>
          </w:tcPr>
          <w:p>
            <w:pPr>
              <w:widowControl/>
              <w:spacing w:line="400" w:lineRule="exact"/>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6</w:t>
            </w:r>
          </w:p>
        </w:tc>
        <w:tc>
          <w:tcPr>
            <w:tcW w:w="3936" w:type="dxa"/>
            <w:vAlign w:val="center"/>
          </w:tcPr>
          <w:p>
            <w:pPr>
              <w:widowControl/>
              <w:spacing w:line="400" w:lineRule="exact"/>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居民消防安全普及率、知晓率</w:t>
            </w:r>
          </w:p>
        </w:tc>
        <w:tc>
          <w:tcPr>
            <w:tcW w:w="1053" w:type="dxa"/>
            <w:vAlign w:val="center"/>
          </w:tcPr>
          <w:p>
            <w:pPr>
              <w:widowControl/>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w:t>
            </w:r>
          </w:p>
        </w:tc>
        <w:tc>
          <w:tcPr>
            <w:tcW w:w="1385" w:type="dxa"/>
            <w:vAlign w:val="center"/>
          </w:tcPr>
          <w:p>
            <w:pPr>
              <w:widowControl/>
              <w:spacing w:line="400" w:lineRule="exact"/>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8</w:t>
            </w:r>
            <w:r>
              <w:rPr>
                <w:rFonts w:ascii="Times New Roman" w:hAnsi="Times New Roman" w:eastAsia="宋体" w:cs="Times New Roman"/>
                <w:sz w:val="24"/>
                <w:szCs w:val="24"/>
              </w:rPr>
              <w:t>5</w:t>
            </w:r>
          </w:p>
        </w:tc>
        <w:tc>
          <w:tcPr>
            <w:tcW w:w="964" w:type="dxa"/>
            <w:vAlign w:val="center"/>
          </w:tcPr>
          <w:p>
            <w:pPr>
              <w:widowControl/>
              <w:spacing w:line="400" w:lineRule="exact"/>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预期性</w:t>
            </w:r>
          </w:p>
        </w:tc>
      </w:tr>
    </w:tbl>
    <w:p>
      <w:pPr>
        <w:snapToGrid w:val="0"/>
        <w:spacing w:line="600" w:lineRule="exact"/>
        <w:ind w:firstLine="640" w:firstLineChars="200"/>
        <w:rPr>
          <w:rFonts w:ascii="仿宋_GB2312" w:hAnsi="Calibri" w:eastAsia="仿宋_GB2312" w:cs="Times New Roman"/>
          <w:color w:val="000000"/>
          <w:kern w:val="0"/>
          <w:sz w:val="32"/>
          <w:szCs w:val="32"/>
        </w:rPr>
      </w:pPr>
    </w:p>
    <w:p>
      <w:pPr>
        <w:keepNext/>
        <w:keepLines/>
        <w:pageBreakBefore/>
        <w:numPr>
          <w:ilvl w:val="0"/>
          <w:numId w:val="1"/>
        </w:numPr>
        <w:snapToGrid w:val="0"/>
        <w:spacing w:line="600" w:lineRule="exact"/>
        <w:jc w:val="center"/>
        <w:outlineLvl w:val="0"/>
        <w:rPr>
          <w:rFonts w:ascii="Calibri" w:hAnsi="Calibri" w:eastAsia="黑体" w:cs="Times New Roman"/>
          <w:b/>
          <w:kern w:val="44"/>
          <w:sz w:val="44"/>
          <w:szCs w:val="24"/>
        </w:rPr>
      </w:pPr>
      <w:bookmarkStart w:id="15" w:name="_Toc26951"/>
      <w:r>
        <w:rPr>
          <w:rFonts w:hint="eastAsia" w:ascii="Calibri" w:hAnsi="Calibri" w:eastAsia="黑体" w:cs="Times New Roman"/>
          <w:b/>
          <w:kern w:val="44"/>
          <w:sz w:val="44"/>
          <w:szCs w:val="24"/>
        </w:rPr>
        <w:t>主要任务</w:t>
      </w:r>
      <w:bookmarkEnd w:id="15"/>
    </w:p>
    <w:p>
      <w:pPr>
        <w:keepNext/>
        <w:keepLines/>
        <w:spacing w:line="600" w:lineRule="exact"/>
        <w:ind w:firstLine="643" w:firstLineChars="200"/>
        <w:jc w:val="left"/>
        <w:outlineLvl w:val="1"/>
        <w:rPr>
          <w:rFonts w:ascii="Arial" w:hAnsi="Arial" w:eastAsia="黑体" w:cs="Times New Roman"/>
          <w:b/>
          <w:sz w:val="32"/>
          <w:szCs w:val="24"/>
        </w:rPr>
      </w:pPr>
      <w:bookmarkStart w:id="16" w:name="_Toc32344"/>
      <w:r>
        <w:rPr>
          <w:rFonts w:hint="eastAsia" w:ascii="Arial" w:hAnsi="Arial" w:eastAsia="黑体" w:cs="Times New Roman"/>
          <w:b/>
          <w:sz w:val="32"/>
          <w:szCs w:val="24"/>
        </w:rPr>
        <w:t>一、完善火灾风险防范化解体系</w:t>
      </w:r>
      <w:bookmarkEnd w:id="16"/>
    </w:p>
    <w:p>
      <w:pPr>
        <w:snapToGrid w:val="0"/>
        <w:spacing w:line="60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（一）</w:t>
      </w:r>
      <w:bookmarkStart w:id="17" w:name="_Toc501488172"/>
      <w:bookmarkStart w:id="18" w:name="_Toc505871606"/>
      <w:bookmarkStart w:id="19" w:name="_Toc525848774"/>
      <w:bookmarkStart w:id="20" w:name="_Toc524961504"/>
      <w:r>
        <w:rPr>
          <w:rFonts w:hint="eastAsia" w:ascii="楷体" w:hAnsi="楷体" w:eastAsia="楷体" w:cs="楷体"/>
          <w:b/>
          <w:bCs/>
          <w:color w:val="000000"/>
          <w:sz w:val="32"/>
          <w:szCs w:val="32"/>
        </w:rPr>
        <w:t>建强两级防火安全委员会。</w:t>
      </w:r>
      <w:r>
        <w:rPr>
          <w:rFonts w:hint="eastAsia" w:ascii="仿宋_GB2312" w:hAnsi="宋体" w:eastAsia="仿宋_GB2312" w:cs="Times New Roman"/>
          <w:sz w:val="32"/>
          <w:szCs w:val="32"/>
          <w:lang w:eastAsia="zh-Hans"/>
        </w:rPr>
        <w:t>进一步完善区防火安全委员会的职能定位以及工作职责</w:t>
      </w:r>
      <w:r>
        <w:rPr>
          <w:rFonts w:ascii="仿宋_GB2312" w:hAnsi="宋体" w:eastAsia="仿宋_GB2312" w:cs="Times New Roman"/>
          <w:sz w:val="32"/>
          <w:szCs w:val="32"/>
          <w:lang w:eastAsia="zh-Hans"/>
        </w:rPr>
        <w:t>，</w:t>
      </w:r>
      <w:r>
        <w:rPr>
          <w:rFonts w:hint="eastAsia" w:ascii="仿宋_GB2312" w:hAnsi="宋体" w:eastAsia="仿宋_GB2312" w:cs="Times New Roman"/>
          <w:sz w:val="32"/>
          <w:szCs w:val="32"/>
          <w:lang w:eastAsia="zh-Hans"/>
        </w:rPr>
        <w:t>充分发挥区防火安全委员会的平台牵动作用</w:t>
      </w:r>
      <w:r>
        <w:rPr>
          <w:rFonts w:ascii="仿宋_GB2312" w:hAnsi="宋体" w:eastAsia="仿宋_GB2312" w:cs="Times New Roman"/>
          <w:sz w:val="32"/>
          <w:szCs w:val="32"/>
          <w:lang w:eastAsia="zh-Hans"/>
        </w:rPr>
        <w:t>，</w:t>
      </w:r>
      <w:r>
        <w:rPr>
          <w:rFonts w:hint="eastAsia" w:ascii="仿宋_GB2312" w:hAnsi="宋体" w:eastAsia="仿宋_GB2312" w:cs="Times New Roman"/>
          <w:sz w:val="32"/>
          <w:szCs w:val="32"/>
          <w:lang w:eastAsia="zh-Hans"/>
        </w:rPr>
        <w:t>以此推动区政府</w:t>
      </w:r>
      <w:r>
        <w:rPr>
          <w:rFonts w:ascii="仿宋_GB2312" w:hAnsi="宋体" w:eastAsia="仿宋_GB2312" w:cs="Times New Roman"/>
          <w:sz w:val="32"/>
          <w:szCs w:val="32"/>
          <w:lang w:eastAsia="zh-Hans"/>
        </w:rPr>
        <w:t>、</w:t>
      </w:r>
      <w:r>
        <w:rPr>
          <w:rFonts w:hint="eastAsia" w:ascii="仿宋_GB2312" w:hAnsi="宋体" w:eastAsia="仿宋_GB2312" w:cs="Times New Roman"/>
          <w:sz w:val="32"/>
          <w:szCs w:val="32"/>
          <w:lang w:eastAsia="zh-Hans"/>
        </w:rPr>
        <w:t>相关部门</w:t>
      </w:r>
      <w:r>
        <w:rPr>
          <w:rFonts w:ascii="仿宋_GB2312" w:hAnsi="宋体" w:eastAsia="仿宋_GB2312" w:cs="Times New Roman"/>
          <w:sz w:val="32"/>
          <w:szCs w:val="32"/>
          <w:lang w:eastAsia="zh-Hans"/>
        </w:rPr>
        <w:t>、</w:t>
      </w:r>
      <w:r>
        <w:rPr>
          <w:rFonts w:hint="eastAsia" w:ascii="仿宋_GB2312" w:hAnsi="宋体" w:eastAsia="仿宋_GB2312" w:cs="Times New Roman"/>
          <w:sz w:val="32"/>
          <w:szCs w:val="32"/>
          <w:lang w:eastAsia="zh-Hans"/>
        </w:rPr>
        <w:t>镇街加强全区</w:t>
      </w:r>
      <w:r>
        <w:rPr>
          <w:rFonts w:ascii="仿宋_GB2312" w:hAnsi="宋体" w:eastAsia="仿宋_GB2312" w:cs="Times New Roman"/>
          <w:sz w:val="32"/>
          <w:szCs w:val="32"/>
          <w:lang w:eastAsia="zh-Hans"/>
        </w:rPr>
        <w:t>、</w:t>
      </w:r>
      <w:r>
        <w:rPr>
          <w:rFonts w:hint="eastAsia" w:ascii="仿宋_GB2312" w:hAnsi="宋体" w:eastAsia="仿宋_GB2312" w:cs="Times New Roman"/>
          <w:sz w:val="32"/>
          <w:szCs w:val="32"/>
          <w:lang w:eastAsia="zh-Hans"/>
        </w:rPr>
        <w:t>行业</w:t>
      </w:r>
      <w:r>
        <w:rPr>
          <w:rFonts w:ascii="仿宋_GB2312" w:hAnsi="宋体" w:eastAsia="仿宋_GB2312" w:cs="Times New Roman"/>
          <w:sz w:val="32"/>
          <w:szCs w:val="32"/>
          <w:lang w:eastAsia="zh-Hans"/>
        </w:rPr>
        <w:t>、</w:t>
      </w:r>
      <w:r>
        <w:rPr>
          <w:rFonts w:hint="eastAsia" w:ascii="仿宋_GB2312" w:hAnsi="宋体" w:eastAsia="仿宋_GB2312" w:cs="Times New Roman"/>
          <w:sz w:val="32"/>
          <w:szCs w:val="32"/>
          <w:lang w:eastAsia="zh-Hans"/>
        </w:rPr>
        <w:t>区域消防安全管理工作</w:t>
      </w:r>
      <w:r>
        <w:rPr>
          <w:rFonts w:ascii="仿宋_GB2312" w:hAnsi="宋体" w:eastAsia="仿宋_GB2312" w:cs="Times New Roman"/>
          <w:sz w:val="32"/>
          <w:szCs w:val="32"/>
          <w:lang w:eastAsia="zh-Hans"/>
        </w:rPr>
        <w:t>，</w:t>
      </w:r>
      <w:r>
        <w:rPr>
          <w:rFonts w:hint="eastAsia" w:ascii="仿宋_GB2312" w:hAnsi="宋体" w:eastAsia="仿宋_GB2312" w:cs="Times New Roman"/>
          <w:sz w:val="32"/>
          <w:szCs w:val="32"/>
          <w:lang w:eastAsia="zh-Hans"/>
        </w:rPr>
        <w:t>将</w:t>
      </w:r>
      <w:r>
        <w:rPr>
          <w:rFonts w:hint="eastAsia" w:ascii="仿宋_GB2312" w:hAnsi="Times New Roman" w:eastAsia="仿宋_GB2312" w:cs="Times New Roman"/>
          <w:bCs/>
          <w:sz w:val="32"/>
          <w:szCs w:val="32"/>
        </w:rPr>
        <w:t>国务院《消防安全责任制实施办法》和</w:t>
      </w:r>
      <w:r>
        <w:rPr>
          <w:rFonts w:hint="eastAsia" w:ascii="仿宋_GB2312" w:hAnsi="Calibri" w:eastAsia="仿宋_GB2312" w:cs="Times New Roman"/>
          <w:sz w:val="32"/>
          <w:szCs w:val="32"/>
        </w:rPr>
        <w:t>《北京市消防安全责任制实施细则》</w:t>
      </w:r>
      <w:r>
        <w:rPr>
          <w:rFonts w:hint="eastAsia" w:ascii="仿宋_GB2312" w:hAnsi="Calibri" w:eastAsia="仿宋_GB2312" w:cs="Times New Roman"/>
          <w:sz w:val="32"/>
          <w:szCs w:val="32"/>
          <w:lang w:eastAsia="zh-Hans"/>
        </w:rPr>
        <w:t>真正落到实处</w:t>
      </w:r>
      <w:r>
        <w:rPr>
          <w:rFonts w:ascii="仿宋_GB2312" w:hAnsi="Calibri" w:eastAsia="仿宋_GB2312" w:cs="Times New Roman"/>
          <w:sz w:val="32"/>
          <w:szCs w:val="32"/>
          <w:lang w:eastAsia="zh-Hans"/>
        </w:rPr>
        <w:t>。</w:t>
      </w:r>
      <w:r>
        <w:rPr>
          <w:rFonts w:hint="eastAsia" w:ascii="仿宋_GB2312" w:hAnsi="Calibri" w:eastAsia="仿宋_GB2312" w:cs="Times New Roman"/>
          <w:sz w:val="32"/>
          <w:szCs w:val="32"/>
          <w:lang w:eastAsia="zh-Hans"/>
        </w:rPr>
        <w:t>建立健全街镇防火安全委员会</w:t>
      </w:r>
      <w:r>
        <w:rPr>
          <w:rFonts w:hint="eastAsia" w:ascii="仿宋_GB2312" w:hAnsi="Times New Roman" w:eastAsia="仿宋_GB2312" w:cs="Times New Roman"/>
          <w:sz w:val="32"/>
          <w:szCs w:val="32"/>
        </w:rPr>
        <w:t>，</w:t>
      </w:r>
      <w:r>
        <w:rPr>
          <w:rFonts w:hint="eastAsia" w:ascii="仿宋_GB2312" w:hAnsi="宋体" w:eastAsia="仿宋_GB2312" w:cs="Times New Roman"/>
          <w:sz w:val="32"/>
          <w:szCs w:val="32"/>
        </w:rPr>
        <w:t>明确工作职责、细化工作标准、建立工作机制，</w:t>
      </w:r>
      <w:r>
        <w:rPr>
          <w:rFonts w:hint="eastAsia" w:ascii="仿宋_GB2312" w:hAnsi="宋体" w:eastAsia="仿宋_GB2312" w:cs="Times New Roman"/>
          <w:sz w:val="32"/>
          <w:szCs w:val="32"/>
          <w:lang w:eastAsia="zh-Hans"/>
        </w:rPr>
        <w:t>落实人员编制</w:t>
      </w:r>
      <w:r>
        <w:rPr>
          <w:rFonts w:ascii="仿宋_GB2312" w:hAnsi="宋体" w:eastAsia="仿宋_GB2312" w:cs="Times New Roman"/>
          <w:sz w:val="32"/>
          <w:szCs w:val="32"/>
          <w:lang w:eastAsia="zh-Hans"/>
        </w:rPr>
        <w:t>，</w:t>
      </w:r>
      <w:r>
        <w:rPr>
          <w:rFonts w:hint="eastAsia" w:ascii="仿宋_GB2312" w:hAnsi="宋体" w:eastAsia="仿宋_GB2312" w:cs="Times New Roman"/>
          <w:sz w:val="32"/>
          <w:szCs w:val="32"/>
          <w:lang w:eastAsia="zh-Hans"/>
        </w:rPr>
        <w:t>以此推动街镇消防安全管理工作的有效落实</w:t>
      </w:r>
      <w:r>
        <w:rPr>
          <w:rFonts w:ascii="仿宋_GB2312" w:hAnsi="宋体" w:eastAsia="仿宋_GB2312" w:cs="Times New Roman"/>
          <w:sz w:val="32"/>
          <w:szCs w:val="32"/>
          <w:lang w:eastAsia="zh-Hans"/>
        </w:rPr>
        <w:t>，</w:t>
      </w:r>
      <w:r>
        <w:rPr>
          <w:rFonts w:hint="eastAsia" w:ascii="仿宋_GB2312" w:hAnsi="宋体" w:eastAsia="仿宋_GB2312" w:cs="Times New Roman"/>
          <w:sz w:val="32"/>
          <w:szCs w:val="32"/>
        </w:rPr>
        <w:t>以及初期火灾快速处置的属地责任。</w:t>
      </w:r>
    </w:p>
    <w:p>
      <w:pPr>
        <w:snapToGrid w:val="0"/>
        <w:spacing w:line="600" w:lineRule="exact"/>
        <w:ind w:firstLine="643" w:firstLineChars="200"/>
        <w:rPr>
          <w:rFonts w:ascii="仿宋_GB2312" w:hAnsi="宋体" w:eastAsia="仿宋_GB2312" w:cs="Times New Roman"/>
          <w:b/>
          <w:color w:val="000000"/>
          <w:sz w:val="32"/>
          <w:szCs w:val="32"/>
        </w:rPr>
      </w:pPr>
      <w:r>
        <w:rPr>
          <w:rFonts w:hint="eastAsia" w:ascii="楷体" w:hAnsi="楷体" w:eastAsia="楷体" w:cs="楷体"/>
          <w:b/>
          <w:bCs/>
          <w:color w:val="000000"/>
          <w:sz w:val="32"/>
          <w:szCs w:val="32"/>
        </w:rPr>
        <w:t>（</w:t>
      </w:r>
      <w:r>
        <w:rPr>
          <w:rFonts w:hint="eastAsia" w:ascii="楷体" w:hAnsi="楷体" w:eastAsia="楷体" w:cs="楷体"/>
          <w:b/>
          <w:bCs/>
          <w:color w:val="000000"/>
          <w:sz w:val="32"/>
          <w:szCs w:val="32"/>
          <w:lang w:eastAsia="zh-Hans"/>
        </w:rPr>
        <w:t>二</w:t>
      </w:r>
      <w:r>
        <w:rPr>
          <w:rFonts w:hint="eastAsia" w:ascii="楷体" w:hAnsi="楷体" w:eastAsia="楷体" w:cs="楷体"/>
          <w:b/>
          <w:bCs/>
          <w:color w:val="000000"/>
          <w:sz w:val="32"/>
          <w:szCs w:val="32"/>
        </w:rPr>
        <w:t>）加强重点场所</w:t>
      </w:r>
      <w:r>
        <w:rPr>
          <w:rFonts w:hint="eastAsia" w:ascii="楷体" w:hAnsi="楷体" w:eastAsia="楷体" w:cs="楷体"/>
          <w:b/>
          <w:bCs/>
          <w:color w:val="000000"/>
          <w:sz w:val="32"/>
          <w:szCs w:val="32"/>
          <w:lang w:eastAsia="zh-Hans"/>
        </w:rPr>
        <w:t>消防安全管理</w:t>
      </w:r>
      <w:r>
        <w:rPr>
          <w:rFonts w:hint="eastAsia" w:ascii="楷体" w:hAnsi="楷体" w:eastAsia="楷体" w:cs="楷体"/>
          <w:b/>
          <w:bCs/>
          <w:color w:val="000000"/>
          <w:sz w:val="32"/>
          <w:szCs w:val="32"/>
        </w:rPr>
        <w:t>。</w:t>
      </w:r>
      <w:r>
        <w:rPr>
          <w:rFonts w:hint="eastAsia" w:ascii="仿宋_GB2312" w:hAnsi="Calibri" w:eastAsia="仿宋_GB2312" w:cs="Times New Roman"/>
          <w:color w:val="000000"/>
          <w:sz w:val="32"/>
          <w:szCs w:val="32"/>
        </w:rPr>
        <w:t>建立重点区域消防安全管理机制，以服务促提升，针对南中轴丰台段、永定河文化带和生态融合发展带两翼、首都商务新区、丽泽金融商务区、中关村丰台园区、卢沟桥国家文化公园区等重点区域，确定消防安全重点部位、建立消防设施系统清单目录、制定消防安全管理制度、编制初期火灾处置方案和预案，开展消防安全演练。</w:t>
      </w:r>
      <w:r>
        <w:rPr>
          <w:rFonts w:hint="eastAsia" w:ascii="仿宋_GB2312" w:hAnsi="仿宋" w:eastAsia="仿宋_GB2312" w:cs="楷体_GB2312"/>
          <w:color w:val="000000"/>
          <w:sz w:val="32"/>
          <w:szCs w:val="32"/>
        </w:rPr>
        <w:t>严格</w:t>
      </w:r>
      <w:r>
        <w:rPr>
          <w:rFonts w:hint="eastAsia" w:ascii="仿宋_GB2312" w:hAnsi="仿宋" w:eastAsia="仿宋_GB2312" w:cs="Arial"/>
          <w:color w:val="000000"/>
          <w:sz w:val="32"/>
          <w:szCs w:val="32"/>
        </w:rPr>
        <w:t>人员密集场所、</w:t>
      </w:r>
      <w:r>
        <w:rPr>
          <w:rFonts w:hint="eastAsia" w:ascii="仿宋_GB2312" w:hAnsi="Calibri" w:eastAsia="仿宋_GB2312" w:cs="Times New Roman"/>
          <w:sz w:val="32"/>
          <w:szCs w:val="32"/>
        </w:rPr>
        <w:t>高层建筑</w:t>
      </w:r>
      <w:r>
        <w:rPr>
          <w:rFonts w:hint="eastAsia" w:ascii="仿宋_GB2312" w:hAnsi="Times New Roman" w:eastAsia="仿宋_GB2312" w:cs="Times New Roman"/>
          <w:sz w:val="32"/>
          <w:szCs w:val="32"/>
        </w:rPr>
        <w:t>、</w:t>
      </w:r>
      <w:r>
        <w:rPr>
          <w:rFonts w:hint="eastAsia" w:ascii="仿宋_GB2312" w:hAnsi="Calibri" w:eastAsia="仿宋_GB2312" w:cs="Times New Roman"/>
          <w:sz w:val="32"/>
          <w:szCs w:val="32"/>
        </w:rPr>
        <w:t>大型商业综合体</w:t>
      </w:r>
      <w:r>
        <w:rPr>
          <w:rFonts w:hint="eastAsia" w:ascii="仿宋_GB2312" w:hAnsi="Times New Roman" w:eastAsia="仿宋_GB2312" w:cs="Times New Roman"/>
          <w:sz w:val="32"/>
          <w:szCs w:val="32"/>
        </w:rPr>
        <w:t>、</w:t>
      </w:r>
      <w:r>
        <w:rPr>
          <w:rFonts w:hint="eastAsia" w:ascii="仿宋_GB2312" w:hAnsi="Calibri" w:eastAsia="仿宋_GB2312" w:cs="Times New Roman"/>
          <w:sz w:val="32"/>
          <w:szCs w:val="32"/>
        </w:rPr>
        <w:t>地下轨道交通</w:t>
      </w:r>
      <w:r>
        <w:rPr>
          <w:rFonts w:hint="eastAsia" w:ascii="仿宋_GB2312" w:hAnsi="Times New Roman" w:eastAsia="仿宋_GB2312" w:cs="Times New Roman"/>
          <w:sz w:val="32"/>
          <w:szCs w:val="32"/>
        </w:rPr>
        <w:t>、</w:t>
      </w:r>
      <w:r>
        <w:rPr>
          <w:rFonts w:hint="eastAsia" w:ascii="仿宋_GB2312" w:hAnsi="Calibri" w:eastAsia="仿宋_GB2312" w:cs="Times New Roman"/>
          <w:sz w:val="32"/>
          <w:szCs w:val="32"/>
        </w:rPr>
        <w:t>石油化工企业</w:t>
      </w:r>
      <w:r>
        <w:rPr>
          <w:rFonts w:hint="eastAsia" w:ascii="仿宋_GB2312" w:hAnsi="Times New Roman" w:eastAsia="仿宋_GB2312" w:cs="Times New Roman"/>
          <w:sz w:val="32"/>
          <w:szCs w:val="32"/>
        </w:rPr>
        <w:t>、</w:t>
      </w:r>
      <w:r>
        <w:rPr>
          <w:rFonts w:hint="eastAsia" w:ascii="仿宋_GB2312" w:hAnsi="Calibri" w:eastAsia="仿宋_GB2312" w:cs="Times New Roman"/>
          <w:color w:val="000000"/>
          <w:kern w:val="0"/>
          <w:sz w:val="32"/>
          <w:szCs w:val="32"/>
        </w:rPr>
        <w:t>文物古建等重</w:t>
      </w:r>
      <w:r>
        <w:rPr>
          <w:rFonts w:hint="eastAsia" w:ascii="仿宋_GB2312" w:hAnsi="Calibri" w:eastAsia="仿宋_GB2312" w:cs="Times New Roman"/>
          <w:color w:val="000000"/>
          <w:kern w:val="0"/>
          <w:sz w:val="32"/>
          <w:szCs w:val="32"/>
          <w:lang w:eastAsia="zh-Hans"/>
        </w:rPr>
        <w:t>点单位</w:t>
      </w:r>
      <w:r>
        <w:rPr>
          <w:rFonts w:hint="eastAsia" w:ascii="仿宋_GB2312" w:hAnsi="仿宋" w:eastAsia="仿宋_GB2312" w:cs="Arial"/>
          <w:color w:val="000000"/>
          <w:sz w:val="32"/>
          <w:szCs w:val="32"/>
        </w:rPr>
        <w:t>消防安全管理，</w:t>
      </w:r>
      <w:r>
        <w:rPr>
          <w:rFonts w:hint="eastAsia" w:ascii="仿宋_GB2312" w:hAnsi="仿宋" w:eastAsia="仿宋_GB2312" w:cs="Arial"/>
          <w:color w:val="000000"/>
          <w:sz w:val="32"/>
          <w:szCs w:val="32"/>
          <w:lang w:eastAsia="zh-Hans"/>
        </w:rPr>
        <w:t>提升随机初查比例</w:t>
      </w:r>
      <w:r>
        <w:rPr>
          <w:rFonts w:ascii="仿宋_GB2312" w:hAnsi="仿宋" w:eastAsia="仿宋_GB2312" w:cs="Arial"/>
          <w:color w:val="000000"/>
          <w:sz w:val="32"/>
          <w:szCs w:val="32"/>
          <w:lang w:eastAsia="zh-Hans"/>
        </w:rPr>
        <w:t>，</w:t>
      </w:r>
      <w:r>
        <w:rPr>
          <w:rFonts w:hint="eastAsia" w:ascii="仿宋_GB2312" w:hAnsi="仿宋" w:eastAsia="仿宋_GB2312" w:cs="Arial"/>
          <w:color w:val="000000"/>
          <w:sz w:val="32"/>
          <w:szCs w:val="32"/>
          <w:lang w:eastAsia="zh-Hans"/>
        </w:rPr>
        <w:t>加大随机抽查密度</w:t>
      </w:r>
      <w:r>
        <w:rPr>
          <w:rFonts w:ascii="仿宋_GB2312" w:hAnsi="仿宋" w:eastAsia="仿宋_GB2312" w:cs="Arial"/>
          <w:color w:val="000000"/>
          <w:sz w:val="32"/>
          <w:szCs w:val="32"/>
          <w:lang w:eastAsia="zh-Hans"/>
        </w:rPr>
        <w:t>，</w:t>
      </w:r>
      <w:r>
        <w:rPr>
          <w:rFonts w:hint="eastAsia" w:ascii="仿宋_GB2312" w:hAnsi="仿宋" w:eastAsia="仿宋_GB2312" w:cs="Arial"/>
          <w:color w:val="000000"/>
          <w:sz w:val="32"/>
          <w:szCs w:val="32"/>
          <w:lang w:eastAsia="zh-Hans"/>
        </w:rPr>
        <w:t>强化日常监督检查</w:t>
      </w:r>
      <w:r>
        <w:rPr>
          <w:rFonts w:hint="eastAsia" w:ascii="仿宋_GB2312" w:hAnsi="仿宋" w:eastAsia="仿宋_GB2312" w:cs="Arial"/>
          <w:color w:val="000000"/>
          <w:sz w:val="32"/>
          <w:szCs w:val="32"/>
        </w:rPr>
        <w:t>。</w:t>
      </w:r>
      <w:r>
        <w:rPr>
          <w:rFonts w:hint="eastAsia" w:ascii="仿宋_GB2312" w:hAnsi="仿宋" w:eastAsia="仿宋_GB2312" w:cs="Arial"/>
          <w:color w:val="000000"/>
          <w:sz w:val="32"/>
          <w:szCs w:val="32"/>
          <w:lang w:eastAsia="zh-Hans"/>
        </w:rPr>
        <w:t>消防救援机构开通运行消防设施远程监控系统</w:t>
      </w:r>
      <w:r>
        <w:rPr>
          <w:rFonts w:ascii="仿宋_GB2312" w:hAnsi="仿宋" w:eastAsia="仿宋_GB2312" w:cs="Arial"/>
          <w:color w:val="000000"/>
          <w:sz w:val="32"/>
          <w:szCs w:val="32"/>
          <w:lang w:eastAsia="zh-Hans"/>
        </w:rPr>
        <w:t>，</w:t>
      </w:r>
      <w:r>
        <w:rPr>
          <w:rFonts w:hint="eastAsia" w:ascii="仿宋_GB2312" w:hAnsi="仿宋" w:eastAsia="仿宋_GB2312" w:cs="Arial"/>
          <w:color w:val="000000"/>
          <w:sz w:val="32"/>
          <w:szCs w:val="32"/>
          <w:lang w:eastAsia="zh-Hans"/>
        </w:rPr>
        <w:t>配置满足需要的初期火灾处置与消防监督检查联合用车</w:t>
      </w:r>
      <w:r>
        <w:rPr>
          <w:rFonts w:ascii="仿宋_GB2312" w:hAnsi="仿宋" w:eastAsia="仿宋_GB2312" w:cs="Arial"/>
          <w:color w:val="000000"/>
          <w:sz w:val="32"/>
          <w:szCs w:val="32"/>
          <w:lang w:eastAsia="zh-Hans"/>
        </w:rPr>
        <w:t>，</w:t>
      </w:r>
      <w:r>
        <w:rPr>
          <w:rFonts w:hint="eastAsia" w:ascii="仿宋_GB2312" w:hAnsi="仿宋" w:eastAsia="仿宋_GB2312" w:cs="Arial"/>
          <w:color w:val="000000"/>
          <w:sz w:val="32"/>
          <w:szCs w:val="32"/>
          <w:lang w:eastAsia="zh-Hans"/>
        </w:rPr>
        <w:t>针对消防设施远程监控系统报警</w:t>
      </w:r>
      <w:r>
        <w:rPr>
          <w:rFonts w:ascii="仿宋_GB2312" w:hAnsi="仿宋" w:eastAsia="仿宋_GB2312" w:cs="Arial"/>
          <w:color w:val="000000"/>
          <w:sz w:val="32"/>
          <w:szCs w:val="32"/>
          <w:lang w:eastAsia="zh-Hans"/>
        </w:rPr>
        <w:t>，</w:t>
      </w:r>
      <w:r>
        <w:rPr>
          <w:rFonts w:hint="eastAsia" w:ascii="仿宋_GB2312" w:hAnsi="仿宋" w:eastAsia="仿宋_GB2312" w:cs="Arial"/>
          <w:color w:val="000000"/>
          <w:sz w:val="32"/>
          <w:szCs w:val="32"/>
          <w:lang w:eastAsia="zh-Hans"/>
        </w:rPr>
        <w:t>第一时间核实</w:t>
      </w:r>
      <w:r>
        <w:rPr>
          <w:rFonts w:ascii="仿宋_GB2312" w:hAnsi="仿宋" w:eastAsia="仿宋_GB2312" w:cs="Arial"/>
          <w:color w:val="000000"/>
          <w:sz w:val="32"/>
          <w:szCs w:val="32"/>
          <w:lang w:eastAsia="zh-Hans"/>
        </w:rPr>
        <w:t>、</w:t>
      </w:r>
      <w:r>
        <w:rPr>
          <w:rFonts w:hint="eastAsia" w:ascii="仿宋_GB2312" w:hAnsi="仿宋" w:eastAsia="仿宋_GB2312" w:cs="Arial"/>
          <w:color w:val="000000"/>
          <w:sz w:val="32"/>
          <w:szCs w:val="32"/>
          <w:lang w:eastAsia="zh-Hans"/>
        </w:rPr>
        <w:t>第一时间出动</w:t>
      </w:r>
      <w:r>
        <w:rPr>
          <w:rFonts w:ascii="仿宋_GB2312" w:hAnsi="仿宋" w:eastAsia="仿宋_GB2312" w:cs="Arial"/>
          <w:color w:val="000000"/>
          <w:sz w:val="32"/>
          <w:szCs w:val="32"/>
          <w:lang w:eastAsia="zh-Hans"/>
        </w:rPr>
        <w:t>、</w:t>
      </w:r>
      <w:r>
        <w:rPr>
          <w:rFonts w:hint="eastAsia" w:ascii="仿宋_GB2312" w:hAnsi="仿宋" w:eastAsia="仿宋_GB2312" w:cs="Arial"/>
          <w:color w:val="000000"/>
          <w:sz w:val="32"/>
          <w:szCs w:val="32"/>
          <w:lang w:eastAsia="zh-Hans"/>
        </w:rPr>
        <w:t>第一时间处置</w:t>
      </w:r>
      <w:r>
        <w:rPr>
          <w:rFonts w:ascii="仿宋_GB2312" w:hAnsi="仿宋" w:eastAsia="仿宋_GB2312" w:cs="Arial"/>
          <w:color w:val="000000"/>
          <w:sz w:val="32"/>
          <w:szCs w:val="32"/>
          <w:lang w:eastAsia="zh-Hans"/>
        </w:rPr>
        <w:t>。</w:t>
      </w:r>
      <w:r>
        <w:rPr>
          <w:rFonts w:hint="eastAsia" w:ascii="仿宋_GB2312" w:hAnsi="仿宋" w:eastAsia="仿宋_GB2312" w:cs="Arial"/>
          <w:color w:val="000000"/>
          <w:sz w:val="32"/>
          <w:szCs w:val="32"/>
          <w:lang w:eastAsia="zh-Hans"/>
        </w:rPr>
        <w:t>综合日常监督检查情况</w:t>
      </w:r>
      <w:r>
        <w:rPr>
          <w:rFonts w:ascii="仿宋_GB2312" w:hAnsi="仿宋" w:eastAsia="仿宋_GB2312" w:cs="Arial"/>
          <w:color w:val="000000"/>
          <w:sz w:val="32"/>
          <w:szCs w:val="32"/>
          <w:lang w:eastAsia="zh-Hans"/>
        </w:rPr>
        <w:t>、</w:t>
      </w:r>
      <w:r>
        <w:rPr>
          <w:rFonts w:hint="eastAsia" w:ascii="仿宋_GB2312" w:hAnsi="仿宋" w:eastAsia="仿宋_GB2312" w:cs="Arial"/>
          <w:color w:val="000000"/>
          <w:sz w:val="32"/>
          <w:szCs w:val="32"/>
          <w:lang w:eastAsia="zh-Hans"/>
        </w:rPr>
        <w:t>消防设施远程监控系统运行情况</w:t>
      </w:r>
      <w:r>
        <w:rPr>
          <w:rFonts w:ascii="仿宋_GB2312" w:hAnsi="仿宋" w:eastAsia="仿宋_GB2312" w:cs="Arial"/>
          <w:color w:val="000000"/>
          <w:sz w:val="32"/>
          <w:szCs w:val="32"/>
          <w:lang w:eastAsia="zh-Hans"/>
        </w:rPr>
        <w:t>、</w:t>
      </w:r>
      <w:r>
        <w:rPr>
          <w:rFonts w:hint="eastAsia" w:ascii="仿宋_GB2312" w:hAnsi="仿宋" w:eastAsia="仿宋_GB2312" w:cs="Arial"/>
          <w:color w:val="000000"/>
          <w:sz w:val="32"/>
          <w:szCs w:val="32"/>
          <w:lang w:eastAsia="zh-Hans"/>
        </w:rPr>
        <w:t>火灾情况</w:t>
      </w:r>
      <w:r>
        <w:rPr>
          <w:rFonts w:ascii="仿宋_GB2312" w:hAnsi="仿宋" w:eastAsia="仿宋_GB2312" w:cs="Arial"/>
          <w:color w:val="000000"/>
          <w:sz w:val="32"/>
          <w:szCs w:val="32"/>
          <w:lang w:eastAsia="zh-Hans"/>
        </w:rPr>
        <w:t>、</w:t>
      </w:r>
      <w:r>
        <w:rPr>
          <w:rFonts w:hint="eastAsia" w:ascii="仿宋_GB2312" w:hAnsi="仿宋" w:eastAsia="仿宋_GB2312" w:cs="Arial"/>
          <w:color w:val="000000"/>
          <w:sz w:val="32"/>
          <w:szCs w:val="32"/>
          <w:lang w:eastAsia="zh-Hans"/>
        </w:rPr>
        <w:t>消防安全评估情况等因素</w:t>
      </w:r>
      <w:r>
        <w:rPr>
          <w:rFonts w:ascii="仿宋_GB2312" w:hAnsi="仿宋" w:eastAsia="仿宋_GB2312" w:cs="Arial"/>
          <w:color w:val="000000"/>
          <w:sz w:val="32"/>
          <w:szCs w:val="32"/>
          <w:lang w:eastAsia="zh-Hans"/>
        </w:rPr>
        <w:t>，</w:t>
      </w:r>
      <w:r>
        <w:rPr>
          <w:rFonts w:hint="eastAsia" w:ascii="仿宋_GB2312" w:hAnsi="仿宋" w:eastAsia="仿宋_GB2312" w:cs="Arial"/>
          <w:color w:val="000000"/>
          <w:sz w:val="32"/>
          <w:szCs w:val="32"/>
          <w:lang w:eastAsia="zh-Hans"/>
        </w:rPr>
        <w:t>建立健全消防安全重点单位消防安全度评价体系</w:t>
      </w:r>
      <w:r>
        <w:rPr>
          <w:rFonts w:ascii="仿宋_GB2312" w:hAnsi="仿宋" w:eastAsia="仿宋_GB2312" w:cs="Arial"/>
          <w:color w:val="000000"/>
          <w:sz w:val="32"/>
          <w:szCs w:val="32"/>
          <w:lang w:eastAsia="zh-Hans"/>
        </w:rPr>
        <w:t>，</w:t>
      </w:r>
      <w:r>
        <w:rPr>
          <w:rFonts w:hint="eastAsia" w:ascii="仿宋_GB2312" w:hAnsi="仿宋" w:eastAsia="仿宋_GB2312" w:cs="Arial"/>
          <w:color w:val="000000"/>
          <w:sz w:val="32"/>
          <w:szCs w:val="32"/>
          <w:lang w:eastAsia="zh-Hans"/>
        </w:rPr>
        <w:t>量化评价指标</w:t>
      </w:r>
      <w:r>
        <w:rPr>
          <w:rFonts w:ascii="仿宋_GB2312" w:hAnsi="仿宋" w:eastAsia="仿宋_GB2312" w:cs="Arial"/>
          <w:color w:val="000000"/>
          <w:sz w:val="32"/>
          <w:szCs w:val="32"/>
          <w:lang w:eastAsia="zh-Hans"/>
        </w:rPr>
        <w:t>，</w:t>
      </w:r>
      <w:r>
        <w:rPr>
          <w:rFonts w:hint="eastAsia" w:ascii="仿宋_GB2312" w:hAnsi="仿宋" w:eastAsia="仿宋_GB2312" w:cs="Arial"/>
          <w:color w:val="000000"/>
          <w:sz w:val="32"/>
          <w:szCs w:val="32"/>
          <w:lang w:eastAsia="zh-Hans"/>
        </w:rPr>
        <w:t>定期在相关媒体公布评价分数</w:t>
      </w:r>
      <w:r>
        <w:rPr>
          <w:rFonts w:ascii="仿宋_GB2312" w:hAnsi="仿宋" w:eastAsia="仿宋_GB2312" w:cs="Arial"/>
          <w:color w:val="000000"/>
          <w:sz w:val="32"/>
          <w:szCs w:val="32"/>
          <w:lang w:eastAsia="zh-Hans"/>
        </w:rPr>
        <w:t>，</w:t>
      </w:r>
      <w:r>
        <w:rPr>
          <w:rFonts w:hint="eastAsia" w:ascii="仿宋_GB2312" w:hAnsi="仿宋" w:eastAsia="仿宋_GB2312" w:cs="Arial"/>
          <w:color w:val="000000"/>
          <w:sz w:val="32"/>
          <w:szCs w:val="32"/>
          <w:lang w:eastAsia="zh-Hans"/>
        </w:rPr>
        <w:t>提示指导群众安全购物消费</w:t>
      </w:r>
      <w:r>
        <w:rPr>
          <w:rFonts w:hint="eastAsia" w:ascii="仿宋_GB2312" w:hAnsi="Calibri" w:eastAsia="仿宋_GB2312" w:cs="Times New Roman"/>
          <w:color w:val="000000"/>
          <w:sz w:val="32"/>
          <w:szCs w:val="32"/>
        </w:rPr>
        <w:t>。</w:t>
      </w:r>
      <w:bookmarkEnd w:id="17"/>
      <w:bookmarkEnd w:id="18"/>
      <w:bookmarkEnd w:id="19"/>
      <w:bookmarkEnd w:id="20"/>
    </w:p>
    <w:p>
      <w:pPr>
        <w:snapToGrid w:val="0"/>
        <w:spacing w:line="600" w:lineRule="exact"/>
        <w:ind w:firstLine="643" w:firstLineChars="200"/>
        <w:rPr>
          <w:rFonts w:ascii="仿宋_GB2312" w:hAnsi="Calibri" w:eastAsia="仿宋_GB2312" w:cs="Times New Roman"/>
          <w:bCs/>
          <w:color w:val="FF0000"/>
          <w:sz w:val="32"/>
          <w:szCs w:val="32"/>
        </w:rPr>
      </w:pPr>
      <w:r>
        <w:rPr>
          <w:rFonts w:hint="eastAsia" w:ascii="楷体" w:hAnsi="楷体" w:eastAsia="楷体" w:cs="楷体"/>
          <w:b/>
          <w:bCs/>
          <w:color w:val="000000"/>
          <w:sz w:val="32"/>
          <w:szCs w:val="32"/>
        </w:rPr>
        <w:t>（</w:t>
      </w:r>
      <w:r>
        <w:rPr>
          <w:rFonts w:hint="eastAsia" w:ascii="楷体" w:hAnsi="楷体" w:eastAsia="楷体" w:cs="楷体"/>
          <w:b/>
          <w:bCs/>
          <w:color w:val="000000"/>
          <w:sz w:val="32"/>
          <w:szCs w:val="32"/>
          <w:lang w:eastAsia="zh-Hans"/>
        </w:rPr>
        <w:t>三</w:t>
      </w:r>
      <w:r>
        <w:rPr>
          <w:rFonts w:hint="eastAsia" w:ascii="楷体" w:hAnsi="楷体" w:eastAsia="楷体" w:cs="楷体"/>
          <w:b/>
          <w:bCs/>
          <w:color w:val="000000"/>
          <w:sz w:val="32"/>
          <w:szCs w:val="32"/>
        </w:rPr>
        <w:t>）</w:t>
      </w:r>
      <w:r>
        <w:rPr>
          <w:rFonts w:hint="eastAsia" w:ascii="楷体" w:hAnsi="楷体" w:eastAsia="楷体" w:cs="楷体"/>
          <w:b/>
          <w:bCs/>
          <w:color w:val="000000"/>
          <w:sz w:val="32"/>
          <w:szCs w:val="32"/>
          <w:lang w:eastAsia="zh-Hans"/>
        </w:rPr>
        <w:t>加强街镇消防安全工作</w:t>
      </w:r>
      <w:r>
        <w:rPr>
          <w:rFonts w:hint="eastAsia" w:ascii="楷体" w:hAnsi="楷体" w:eastAsia="楷体" w:cs="楷体"/>
          <w:b/>
          <w:bCs/>
          <w:color w:val="000000"/>
          <w:sz w:val="32"/>
          <w:szCs w:val="32"/>
        </w:rPr>
        <w:t>。</w:t>
      </w:r>
      <w:r>
        <w:rPr>
          <w:rFonts w:hint="eastAsia" w:ascii="仿宋_GB2312" w:hAnsi="Times New Roman" w:eastAsia="仿宋_GB2312" w:cs="Times New Roman"/>
          <w:bCs/>
          <w:sz w:val="32"/>
          <w:szCs w:val="32"/>
        </w:rPr>
        <w:t>街镇政府</w:t>
      </w:r>
      <w:r>
        <w:rPr>
          <w:rFonts w:hint="eastAsia" w:ascii="仿宋_GB2312" w:hAnsi="Times New Roman" w:eastAsia="仿宋_GB2312" w:cs="Times New Roman"/>
          <w:bCs/>
          <w:sz w:val="32"/>
          <w:szCs w:val="32"/>
          <w:lang w:eastAsia="zh-Hans"/>
        </w:rPr>
        <w:t>要</w:t>
      </w:r>
      <w:r>
        <w:rPr>
          <w:rFonts w:ascii="仿宋_GB2312" w:hAnsi="Times New Roman" w:eastAsia="仿宋_GB2312" w:cs="Times New Roman"/>
          <w:bCs/>
          <w:sz w:val="32"/>
          <w:szCs w:val="32"/>
          <w:lang w:eastAsia="zh-Hans"/>
        </w:rPr>
        <w:t>将消防工作纳入重点镇、一般镇规划编制</w:t>
      </w:r>
      <w:r>
        <w:rPr>
          <w:rFonts w:hint="eastAsia" w:ascii="仿宋_GB2312" w:hAnsi="Times New Roman" w:eastAsia="仿宋_GB2312" w:cs="Times New Roman"/>
          <w:bCs/>
          <w:sz w:val="32"/>
          <w:szCs w:val="32"/>
          <w:lang w:eastAsia="zh-Hans"/>
        </w:rPr>
        <w:t>内容</w:t>
      </w:r>
      <w:r>
        <w:rPr>
          <w:rFonts w:ascii="仿宋_GB2312" w:hAnsi="Times New Roman" w:eastAsia="仿宋_GB2312" w:cs="Times New Roman"/>
          <w:bCs/>
          <w:sz w:val="32"/>
          <w:szCs w:val="32"/>
          <w:lang w:eastAsia="zh-Hans"/>
        </w:rPr>
        <w:t>，</w:t>
      </w:r>
      <w:r>
        <w:rPr>
          <w:rFonts w:hint="eastAsia" w:ascii="仿宋_GB2312" w:hAnsi="Times New Roman" w:eastAsia="仿宋_GB2312" w:cs="Times New Roman"/>
          <w:bCs/>
          <w:sz w:val="32"/>
          <w:szCs w:val="32"/>
          <w:lang w:eastAsia="zh-Hans"/>
        </w:rPr>
        <w:t>因地制宜</w:t>
      </w:r>
      <w:r>
        <w:rPr>
          <w:rFonts w:ascii="仿宋_GB2312" w:hAnsi="Times New Roman" w:eastAsia="仿宋_GB2312" w:cs="Times New Roman"/>
          <w:bCs/>
          <w:sz w:val="32"/>
          <w:szCs w:val="32"/>
          <w:lang w:eastAsia="zh-Hans"/>
        </w:rPr>
        <w:t>建设消防水池、</w:t>
      </w:r>
      <w:r>
        <w:rPr>
          <w:rFonts w:hint="eastAsia" w:ascii="仿宋_GB2312" w:hAnsi="Times New Roman" w:eastAsia="仿宋_GB2312" w:cs="Times New Roman"/>
          <w:bCs/>
          <w:sz w:val="32"/>
          <w:szCs w:val="32"/>
          <w:lang w:eastAsia="zh-Hans"/>
        </w:rPr>
        <w:t>消防水箱</w:t>
      </w:r>
      <w:r>
        <w:rPr>
          <w:rFonts w:ascii="仿宋_GB2312" w:hAnsi="Times New Roman" w:eastAsia="仿宋_GB2312" w:cs="Times New Roman"/>
          <w:bCs/>
          <w:sz w:val="32"/>
          <w:szCs w:val="32"/>
          <w:lang w:eastAsia="zh-Hans"/>
        </w:rPr>
        <w:t>、消防水鹤和消火栓</w:t>
      </w:r>
      <w:r>
        <w:rPr>
          <w:rFonts w:hint="eastAsia" w:ascii="仿宋_GB2312" w:hAnsi="Times New Roman" w:eastAsia="仿宋_GB2312" w:cs="Times New Roman"/>
          <w:bCs/>
          <w:sz w:val="32"/>
          <w:szCs w:val="32"/>
          <w:lang w:eastAsia="zh-Hans"/>
        </w:rPr>
        <w:t>等消防水源</w:t>
      </w:r>
      <w:r>
        <w:rPr>
          <w:rFonts w:ascii="仿宋_GB2312" w:hAnsi="Times New Roman" w:eastAsia="仿宋_GB2312" w:cs="Times New Roman"/>
          <w:bCs/>
          <w:sz w:val="32"/>
          <w:szCs w:val="32"/>
          <w:lang w:eastAsia="zh-Hans"/>
        </w:rPr>
        <w:t>，</w:t>
      </w:r>
      <w:r>
        <w:rPr>
          <w:rFonts w:hint="eastAsia" w:ascii="仿宋_GB2312" w:hAnsi="Times New Roman" w:eastAsia="仿宋_GB2312" w:cs="Times New Roman"/>
          <w:bCs/>
          <w:sz w:val="32"/>
          <w:szCs w:val="32"/>
          <w:lang w:eastAsia="zh-Hans"/>
        </w:rPr>
        <w:t>畅通</w:t>
      </w:r>
      <w:r>
        <w:rPr>
          <w:rFonts w:ascii="仿宋_GB2312" w:hAnsi="Times New Roman" w:eastAsia="仿宋_GB2312" w:cs="Times New Roman"/>
          <w:bCs/>
          <w:sz w:val="32"/>
          <w:szCs w:val="32"/>
          <w:lang w:eastAsia="zh-Hans"/>
        </w:rPr>
        <w:t>消防车通道。</w:t>
      </w:r>
      <w:r>
        <w:rPr>
          <w:rFonts w:hint="eastAsia" w:ascii="仿宋_GB2312" w:hAnsi="Times New Roman" w:eastAsia="仿宋_GB2312" w:cs="Times New Roman"/>
          <w:bCs/>
          <w:sz w:val="32"/>
          <w:szCs w:val="32"/>
          <w:lang w:eastAsia="zh-Hans"/>
        </w:rPr>
        <w:t>消防救援机构充分发挥职能作用</w:t>
      </w:r>
      <w:r>
        <w:rPr>
          <w:rFonts w:ascii="仿宋_GB2312" w:hAnsi="Times New Roman" w:eastAsia="仿宋_GB2312" w:cs="Times New Roman"/>
          <w:bCs/>
          <w:sz w:val="32"/>
          <w:szCs w:val="32"/>
          <w:lang w:eastAsia="zh-Hans"/>
        </w:rPr>
        <w:t>，</w:t>
      </w:r>
      <w:r>
        <w:rPr>
          <w:rFonts w:hint="eastAsia" w:ascii="仿宋_GB2312" w:hAnsi="Calibri" w:eastAsia="仿宋_GB2312" w:cs="Times New Roman"/>
          <w:bCs/>
          <w:sz w:val="32"/>
          <w:szCs w:val="32"/>
        </w:rPr>
        <w:t>组织实名制消防监督力量与街镇</w:t>
      </w:r>
      <w:r>
        <w:rPr>
          <w:rFonts w:hint="eastAsia" w:ascii="仿宋_GB2312" w:hAnsi="Calibri" w:eastAsia="仿宋_GB2312" w:cs="Times New Roman"/>
          <w:bCs/>
          <w:sz w:val="32"/>
          <w:szCs w:val="32"/>
          <w:lang w:eastAsia="zh-Hans"/>
        </w:rPr>
        <w:t>消防工作</w:t>
      </w:r>
      <w:r>
        <w:rPr>
          <w:rFonts w:hint="eastAsia" w:ascii="仿宋_GB2312" w:hAnsi="Calibri" w:eastAsia="仿宋_GB2312" w:cs="Times New Roman"/>
          <w:bCs/>
          <w:sz w:val="32"/>
          <w:szCs w:val="32"/>
        </w:rPr>
        <w:t>捆绑</w:t>
      </w:r>
      <w:r>
        <w:rPr>
          <w:rFonts w:hint="eastAsia" w:ascii="仿宋_GB2312" w:hAnsi="Calibri" w:eastAsia="仿宋_GB2312" w:cs="Times New Roman"/>
          <w:bCs/>
          <w:sz w:val="32"/>
          <w:szCs w:val="32"/>
          <w:lang w:eastAsia="zh-Hans"/>
        </w:rPr>
        <w:t>推进</w:t>
      </w:r>
      <w:r>
        <w:rPr>
          <w:rFonts w:hint="eastAsia" w:ascii="仿宋_GB2312" w:hAnsi="Calibri" w:eastAsia="仿宋_GB2312" w:cs="Times New Roman"/>
          <w:bCs/>
          <w:sz w:val="32"/>
          <w:szCs w:val="32"/>
        </w:rPr>
        <w:t>，</w:t>
      </w:r>
      <w:r>
        <w:rPr>
          <w:rFonts w:hint="eastAsia" w:ascii="仿宋_GB2312" w:hAnsi="Calibri" w:eastAsia="仿宋_GB2312" w:cs="Times New Roman"/>
          <w:bCs/>
          <w:sz w:val="32"/>
          <w:szCs w:val="32"/>
          <w:lang w:eastAsia="zh-Hans"/>
        </w:rPr>
        <w:t>适时开展针对不同行业</w:t>
      </w:r>
      <w:r>
        <w:rPr>
          <w:rFonts w:ascii="仿宋_GB2312" w:hAnsi="Calibri" w:eastAsia="仿宋_GB2312" w:cs="Times New Roman"/>
          <w:bCs/>
          <w:sz w:val="32"/>
          <w:szCs w:val="32"/>
          <w:lang w:eastAsia="zh-Hans"/>
        </w:rPr>
        <w:t>、</w:t>
      </w:r>
      <w:r>
        <w:rPr>
          <w:rFonts w:hint="eastAsia" w:ascii="仿宋_GB2312" w:hAnsi="Calibri" w:eastAsia="仿宋_GB2312" w:cs="Times New Roman"/>
          <w:bCs/>
          <w:sz w:val="32"/>
          <w:szCs w:val="32"/>
          <w:lang w:eastAsia="zh-Hans"/>
        </w:rPr>
        <w:t>不同地域</w:t>
      </w:r>
      <w:r>
        <w:rPr>
          <w:rFonts w:ascii="仿宋_GB2312" w:hAnsi="Calibri" w:eastAsia="仿宋_GB2312" w:cs="Times New Roman"/>
          <w:bCs/>
          <w:sz w:val="32"/>
          <w:szCs w:val="32"/>
          <w:lang w:eastAsia="zh-Hans"/>
        </w:rPr>
        <w:t>、</w:t>
      </w:r>
      <w:r>
        <w:rPr>
          <w:rFonts w:hint="eastAsia" w:ascii="仿宋_GB2312" w:hAnsi="Calibri" w:eastAsia="仿宋_GB2312" w:cs="Times New Roman"/>
          <w:bCs/>
          <w:sz w:val="32"/>
          <w:szCs w:val="32"/>
          <w:lang w:eastAsia="zh-Hans"/>
        </w:rPr>
        <w:t>不同重点的消防安全专项整治</w:t>
      </w:r>
      <w:r>
        <w:rPr>
          <w:rFonts w:ascii="仿宋_GB2312" w:hAnsi="Calibri" w:eastAsia="仿宋_GB2312" w:cs="Times New Roman"/>
          <w:bCs/>
          <w:sz w:val="32"/>
          <w:szCs w:val="32"/>
          <w:lang w:eastAsia="zh-Hans"/>
        </w:rPr>
        <w:t>，</w:t>
      </w:r>
      <w:r>
        <w:rPr>
          <w:rFonts w:hint="eastAsia" w:ascii="仿宋_GB2312" w:hAnsi="Calibri" w:eastAsia="仿宋_GB2312" w:cs="Times New Roman"/>
          <w:bCs/>
          <w:sz w:val="32"/>
          <w:szCs w:val="32"/>
          <w:lang w:eastAsia="zh-Hans"/>
        </w:rPr>
        <w:t>依托</w:t>
      </w:r>
      <w:r>
        <w:rPr>
          <w:rFonts w:hint="eastAsia" w:ascii="仿宋_GB2312" w:hAnsi="Calibri" w:eastAsia="仿宋_GB2312" w:cs="Times New Roman"/>
          <w:sz w:val="32"/>
          <w:szCs w:val="32"/>
        </w:rPr>
        <w:t>街镇专职安监员、社区工作者、基层网格员、保安员等力量</w:t>
      </w:r>
      <w:r>
        <w:rPr>
          <w:rFonts w:hint="eastAsia" w:ascii="仿宋_GB2312" w:hAnsi="Calibri" w:eastAsia="仿宋_GB2312" w:cs="Times New Roman"/>
          <w:sz w:val="32"/>
          <w:szCs w:val="32"/>
          <w:lang w:eastAsia="zh-Hans"/>
        </w:rPr>
        <w:t>共同推进</w:t>
      </w:r>
      <w:r>
        <w:rPr>
          <w:rFonts w:ascii="仿宋_GB2312" w:hAnsi="Calibri" w:eastAsia="仿宋_GB2312" w:cs="Times New Roman"/>
          <w:sz w:val="32"/>
          <w:szCs w:val="32"/>
          <w:lang w:eastAsia="zh-Hans"/>
        </w:rPr>
        <w:t>，</w:t>
      </w:r>
      <w:r>
        <w:rPr>
          <w:rFonts w:hint="eastAsia" w:ascii="仿宋_GB2312" w:hAnsi="Calibri" w:eastAsia="仿宋_GB2312" w:cs="Times New Roman"/>
          <w:sz w:val="32"/>
          <w:szCs w:val="32"/>
          <w:lang w:eastAsia="zh-Hans"/>
        </w:rPr>
        <w:t>通过行政执法</w:t>
      </w:r>
      <w:r>
        <w:rPr>
          <w:rFonts w:ascii="仿宋_GB2312" w:hAnsi="Calibri" w:eastAsia="仿宋_GB2312" w:cs="Times New Roman"/>
          <w:sz w:val="32"/>
          <w:szCs w:val="32"/>
          <w:lang w:eastAsia="zh-Hans"/>
        </w:rPr>
        <w:t>、</w:t>
      </w:r>
      <w:r>
        <w:rPr>
          <w:rFonts w:hint="eastAsia" w:ascii="仿宋_GB2312" w:hAnsi="Calibri" w:eastAsia="仿宋_GB2312" w:cs="Times New Roman"/>
          <w:sz w:val="32"/>
          <w:szCs w:val="32"/>
          <w:lang w:eastAsia="zh-Hans"/>
        </w:rPr>
        <w:t>媒体曝光</w:t>
      </w:r>
      <w:r>
        <w:rPr>
          <w:rFonts w:ascii="仿宋_GB2312" w:hAnsi="Calibri" w:eastAsia="仿宋_GB2312" w:cs="Times New Roman"/>
          <w:sz w:val="32"/>
          <w:szCs w:val="32"/>
          <w:lang w:eastAsia="zh-Hans"/>
        </w:rPr>
        <w:t>、</w:t>
      </w:r>
      <w:r>
        <w:rPr>
          <w:rFonts w:hint="eastAsia" w:ascii="仿宋_GB2312" w:hAnsi="Calibri" w:eastAsia="仿宋_GB2312" w:cs="Times New Roman"/>
          <w:sz w:val="32"/>
          <w:szCs w:val="32"/>
          <w:lang w:eastAsia="zh-Hans"/>
        </w:rPr>
        <w:t>约谈教育等多种形式</w:t>
      </w:r>
      <w:r>
        <w:rPr>
          <w:rFonts w:ascii="仿宋_GB2312" w:hAnsi="Calibri" w:eastAsia="仿宋_GB2312" w:cs="Times New Roman"/>
          <w:sz w:val="32"/>
          <w:szCs w:val="32"/>
          <w:lang w:eastAsia="zh-Hans"/>
        </w:rPr>
        <w:t>，</w:t>
      </w:r>
      <w:r>
        <w:rPr>
          <w:rFonts w:hint="eastAsia" w:ascii="仿宋_GB2312" w:hAnsi="Calibri" w:eastAsia="仿宋_GB2312" w:cs="Times New Roman"/>
          <w:sz w:val="32"/>
          <w:szCs w:val="32"/>
          <w:lang w:eastAsia="zh-Hans"/>
        </w:rPr>
        <w:t>消除火灾隐患</w:t>
      </w:r>
      <w:r>
        <w:rPr>
          <w:rFonts w:ascii="仿宋_GB2312" w:hAnsi="Calibri" w:eastAsia="仿宋_GB2312" w:cs="Times New Roman"/>
          <w:sz w:val="32"/>
          <w:szCs w:val="32"/>
          <w:lang w:eastAsia="zh-Hans"/>
        </w:rPr>
        <w:t>，</w:t>
      </w:r>
      <w:r>
        <w:rPr>
          <w:rFonts w:hint="eastAsia" w:ascii="仿宋_GB2312" w:hAnsi="Calibri" w:eastAsia="仿宋_GB2312" w:cs="Times New Roman"/>
          <w:sz w:val="32"/>
          <w:szCs w:val="32"/>
          <w:lang w:eastAsia="zh-Hans"/>
        </w:rPr>
        <w:t>提升安全意识</w:t>
      </w:r>
      <w:r>
        <w:rPr>
          <w:rFonts w:ascii="仿宋_GB2312" w:hAnsi="Calibri" w:eastAsia="仿宋_GB2312" w:cs="Times New Roman"/>
          <w:sz w:val="32"/>
          <w:szCs w:val="32"/>
          <w:lang w:eastAsia="zh-Hans"/>
        </w:rPr>
        <w:t>，</w:t>
      </w:r>
      <w:r>
        <w:rPr>
          <w:rFonts w:hint="eastAsia" w:ascii="仿宋_GB2312" w:hAnsi="Calibri" w:eastAsia="仿宋_GB2312" w:cs="Times New Roman"/>
          <w:sz w:val="32"/>
          <w:szCs w:val="32"/>
          <w:lang w:eastAsia="zh-Hans"/>
        </w:rPr>
        <w:t>净化消防环境</w:t>
      </w:r>
      <w:r>
        <w:rPr>
          <w:rFonts w:ascii="仿宋_GB2312" w:hAnsi="Times New Roman" w:eastAsia="仿宋_GB2312" w:cs="Times New Roman"/>
          <w:bCs/>
          <w:sz w:val="32"/>
          <w:szCs w:val="32"/>
          <w:lang w:eastAsia="zh-Hans"/>
        </w:rPr>
        <w:t>。</w:t>
      </w:r>
    </w:p>
    <w:p>
      <w:pPr>
        <w:snapToGrid w:val="0"/>
        <w:spacing w:line="600" w:lineRule="exact"/>
        <w:ind w:firstLine="643" w:firstLineChars="200"/>
        <w:rPr>
          <w:rFonts w:ascii="仿宋_GB2312" w:hAnsi="仿宋" w:eastAsia="仿宋_GB2312" w:cs="宋体"/>
          <w:color w:val="000000"/>
          <w:sz w:val="32"/>
          <w:szCs w:val="32"/>
          <w:lang w:eastAsia="zh-Hans"/>
        </w:rPr>
      </w:pPr>
      <w:r>
        <w:rPr>
          <w:rFonts w:hint="eastAsia" w:ascii="楷体" w:hAnsi="楷体" w:eastAsia="楷体" w:cs="楷体"/>
          <w:b/>
          <w:bCs/>
          <w:color w:val="000000"/>
          <w:sz w:val="32"/>
          <w:szCs w:val="32"/>
        </w:rPr>
        <w:t>（</w:t>
      </w:r>
      <w:r>
        <w:rPr>
          <w:rFonts w:hint="eastAsia" w:ascii="楷体" w:hAnsi="楷体" w:eastAsia="楷体" w:cs="楷体"/>
          <w:b/>
          <w:bCs/>
          <w:color w:val="000000"/>
          <w:sz w:val="32"/>
          <w:szCs w:val="32"/>
          <w:lang w:eastAsia="zh-Hans"/>
        </w:rPr>
        <w:t>四</w:t>
      </w:r>
      <w:r>
        <w:rPr>
          <w:rFonts w:hint="eastAsia" w:ascii="楷体" w:hAnsi="楷体" w:eastAsia="楷体" w:cs="楷体"/>
          <w:b/>
          <w:bCs/>
          <w:color w:val="000000"/>
          <w:sz w:val="32"/>
          <w:szCs w:val="32"/>
        </w:rPr>
        <w:t>）优化城市消防安全布局。</w:t>
      </w:r>
      <w:r>
        <w:rPr>
          <w:rFonts w:hint="eastAsia" w:ascii="仿宋_GB2312" w:hAnsi="仿宋" w:eastAsia="仿宋_GB2312" w:cs="宋体"/>
          <w:color w:val="000000"/>
          <w:sz w:val="32"/>
          <w:szCs w:val="32"/>
          <w:lang w:eastAsia="zh-Hans"/>
        </w:rPr>
        <w:t>按照城市建设用地布局，加强对火灾危险性和危害性较大场所或设施用地的管制，减少火灾风险源。限制现状易燃易爆危险品企业规模，针对城市用地功能，合理设置耐火等级、防火间距、消防设施等，提高消防安全设防等级。结合非首都功能疏解，推动疏解人员聚集、火灾荷载大、火灾隐患突出的</w:t>
      </w:r>
      <w:r>
        <w:rPr>
          <w:rFonts w:hint="eastAsia" w:ascii="仿宋_GB2312" w:hAnsi="仿宋" w:eastAsia="仿宋_GB2312" w:cs="宋体"/>
          <w:color w:val="000000"/>
          <w:sz w:val="32"/>
          <w:szCs w:val="32"/>
        </w:rPr>
        <w:t>建筑场所</w:t>
      </w:r>
      <w:r>
        <w:rPr>
          <w:rFonts w:hint="eastAsia" w:ascii="仿宋_GB2312" w:hAnsi="仿宋" w:eastAsia="仿宋_GB2312" w:cs="宋体"/>
          <w:color w:val="000000"/>
          <w:sz w:val="32"/>
          <w:szCs w:val="32"/>
          <w:lang w:eastAsia="zh-Hans"/>
        </w:rPr>
        <w:t>，腾退违规生产、储存、经营场所，补建消防设施。完善南中轴地区、丽泽金融商务区、中关村丰台园、丰台站等重点区域公共消防设施，严格消防安全布局</w:t>
      </w:r>
      <w:r>
        <w:rPr>
          <w:rFonts w:hint="eastAsia" w:ascii="仿宋_GB2312" w:hAnsi="仿宋" w:eastAsia="仿宋_GB2312" w:cs="宋体"/>
          <w:color w:val="000000"/>
          <w:sz w:val="32"/>
          <w:szCs w:val="32"/>
        </w:rPr>
        <w:t>，</w:t>
      </w:r>
      <w:r>
        <w:rPr>
          <w:rFonts w:hint="eastAsia" w:ascii="仿宋_GB2312" w:hAnsi="仿宋" w:eastAsia="仿宋_GB2312" w:cs="宋体"/>
          <w:color w:val="000000"/>
          <w:sz w:val="32"/>
          <w:szCs w:val="32"/>
          <w:lang w:eastAsia="zh-Hans"/>
        </w:rPr>
        <w:t>减少火灾风险源，降低火灾风险。</w:t>
      </w:r>
    </w:p>
    <w:p>
      <w:pPr>
        <w:snapToGrid w:val="0"/>
        <w:spacing w:line="600" w:lineRule="exact"/>
        <w:ind w:firstLine="643" w:firstLineChars="200"/>
        <w:rPr>
          <w:rFonts w:ascii="仿宋_GB2312" w:hAnsi="仿宋" w:eastAsia="仿宋_GB2312" w:cs="Times New Roman"/>
          <w:color w:val="000000"/>
          <w:sz w:val="32"/>
          <w:szCs w:val="32"/>
        </w:rPr>
      </w:pPr>
      <w:r>
        <w:rPr>
          <w:rFonts w:hint="eastAsia" w:ascii="楷体" w:hAnsi="楷体" w:eastAsia="楷体" w:cs="楷体"/>
          <w:b/>
          <w:bCs/>
          <w:color w:val="000000"/>
          <w:sz w:val="32"/>
          <w:szCs w:val="32"/>
        </w:rPr>
        <w:t>（五）实施火灾防控</w:t>
      </w:r>
      <w:r>
        <w:rPr>
          <w:rFonts w:hint="eastAsia" w:ascii="楷体" w:hAnsi="楷体" w:eastAsia="楷体" w:cs="楷体"/>
          <w:b/>
          <w:bCs/>
          <w:color w:val="000000"/>
          <w:sz w:val="32"/>
          <w:szCs w:val="32"/>
          <w:lang w:eastAsia="zh-Hans"/>
        </w:rPr>
        <w:t>分级管理</w:t>
      </w:r>
      <w:r>
        <w:rPr>
          <w:rFonts w:hint="eastAsia" w:ascii="楷体" w:hAnsi="楷体" w:eastAsia="楷体" w:cs="楷体"/>
          <w:b/>
          <w:bCs/>
          <w:color w:val="000000"/>
          <w:sz w:val="32"/>
          <w:szCs w:val="32"/>
        </w:rPr>
        <w:t>措施。</w:t>
      </w:r>
      <w:r>
        <w:rPr>
          <w:rFonts w:hint="eastAsia" w:ascii="仿宋_GB2312" w:hAnsi="Times New Roman" w:eastAsia="仿宋_GB2312" w:cs="Times New Roman"/>
          <w:sz w:val="32"/>
          <w:szCs w:val="32"/>
        </w:rPr>
        <w:t>建立健全</w:t>
      </w:r>
      <w:r>
        <w:rPr>
          <w:rFonts w:hint="eastAsia" w:ascii="仿宋_GB2312" w:hAnsi="黑体" w:eastAsia="仿宋_GB2312" w:cs="Times New Roman"/>
          <w:sz w:val="32"/>
          <w:szCs w:val="32"/>
        </w:rPr>
        <w:t>火灾风险评估机制，</w:t>
      </w:r>
      <w:r>
        <w:rPr>
          <w:rFonts w:hint="eastAsia" w:ascii="仿宋_GB2312" w:hAnsi="黑体" w:eastAsia="仿宋_GB2312" w:cs="Times New Roman"/>
          <w:sz w:val="32"/>
          <w:szCs w:val="32"/>
          <w:lang w:eastAsia="zh-Hans"/>
        </w:rPr>
        <w:t>完善区域性</w:t>
      </w:r>
      <w:r>
        <w:rPr>
          <w:rFonts w:ascii="仿宋_GB2312" w:hAnsi="黑体" w:eastAsia="仿宋_GB2312" w:cs="Times New Roman"/>
          <w:sz w:val="32"/>
          <w:szCs w:val="32"/>
          <w:lang w:eastAsia="zh-Hans"/>
        </w:rPr>
        <w:t>、</w:t>
      </w:r>
      <w:r>
        <w:rPr>
          <w:rFonts w:hint="eastAsia" w:ascii="仿宋_GB2312" w:hAnsi="黑体" w:eastAsia="仿宋_GB2312" w:cs="Times New Roman"/>
          <w:sz w:val="32"/>
          <w:szCs w:val="32"/>
          <w:lang w:eastAsia="zh-Hans"/>
        </w:rPr>
        <w:t>行业类火灾风险评估指标体系和评估导则</w:t>
      </w:r>
      <w:r>
        <w:rPr>
          <w:rFonts w:hint="eastAsia" w:ascii="仿宋_GB2312" w:hAnsi="仿宋" w:eastAsia="仿宋_GB2312" w:cs="Times New Roman"/>
          <w:sz w:val="32"/>
          <w:szCs w:val="32"/>
        </w:rPr>
        <w:t>，将大红门、西罗园、太平桥等火灾风险较高和消防安全要求较高的区域</w:t>
      </w:r>
      <w:r>
        <w:rPr>
          <w:rFonts w:ascii="仿宋_GB2312" w:hAnsi="宋体" w:eastAsia="仿宋_GB2312" w:cs="Times New Roman"/>
          <w:sz w:val="32"/>
          <w:szCs w:val="32"/>
        </w:rPr>
        <w:t>、</w:t>
      </w:r>
      <w:r>
        <w:rPr>
          <w:rFonts w:hint="eastAsia" w:ascii="仿宋_GB2312" w:hAnsi="宋体" w:eastAsia="仿宋_GB2312" w:cs="Times New Roman"/>
          <w:sz w:val="32"/>
          <w:szCs w:val="32"/>
          <w:lang w:eastAsia="zh-Hans"/>
        </w:rPr>
        <w:t>高风险行业确定</w:t>
      </w:r>
      <w:r>
        <w:rPr>
          <w:rFonts w:hint="eastAsia" w:ascii="仿宋_GB2312" w:hAnsi="宋体" w:eastAsia="仿宋_GB2312" w:cs="Times New Roman"/>
          <w:sz w:val="32"/>
          <w:szCs w:val="32"/>
        </w:rPr>
        <w:t>为一级重点消防保护区域，</w:t>
      </w:r>
      <w:r>
        <w:rPr>
          <w:rFonts w:hint="eastAsia" w:ascii="仿宋_GB2312" w:hAnsi="宋体" w:eastAsia="仿宋_GB2312" w:cs="Times New Roman"/>
          <w:sz w:val="32"/>
          <w:szCs w:val="32"/>
          <w:lang w:eastAsia="zh-Hans"/>
        </w:rPr>
        <w:t>落实属地政府</w:t>
      </w:r>
      <w:r>
        <w:rPr>
          <w:rFonts w:ascii="仿宋_GB2312" w:hAnsi="宋体" w:eastAsia="仿宋_GB2312" w:cs="Times New Roman"/>
          <w:sz w:val="32"/>
          <w:szCs w:val="32"/>
          <w:lang w:eastAsia="zh-Hans"/>
        </w:rPr>
        <w:t>、</w:t>
      </w:r>
      <w:r>
        <w:rPr>
          <w:rFonts w:hint="eastAsia" w:ascii="仿宋_GB2312" w:hAnsi="宋体" w:eastAsia="仿宋_GB2312" w:cs="Times New Roman"/>
          <w:sz w:val="32"/>
          <w:szCs w:val="32"/>
          <w:lang w:eastAsia="zh-Hans"/>
        </w:rPr>
        <w:t>部门以及单位消防安全管理责任</w:t>
      </w:r>
      <w:r>
        <w:rPr>
          <w:rFonts w:hint="eastAsia" w:ascii="仿宋_GB2312" w:hAnsi="宋体" w:eastAsia="仿宋_GB2312" w:cs="Times New Roman"/>
          <w:sz w:val="32"/>
          <w:szCs w:val="32"/>
        </w:rPr>
        <w:t>，加</w:t>
      </w:r>
      <w:r>
        <w:rPr>
          <w:rFonts w:hint="eastAsia" w:ascii="仿宋_GB2312" w:hAnsi="Times New Roman" w:eastAsia="仿宋_GB2312" w:cs="Times New Roman"/>
          <w:sz w:val="32"/>
          <w:szCs w:val="32"/>
        </w:rPr>
        <w:t>强火灾风险管理，落实消防管理工作网络化、标准化，</w:t>
      </w:r>
      <w:r>
        <w:rPr>
          <w:rFonts w:hint="eastAsia" w:ascii="仿宋_GB2312" w:hAnsi="宋体" w:eastAsia="仿宋_GB2312" w:cs="Times New Roman"/>
          <w:sz w:val="32"/>
          <w:szCs w:val="32"/>
          <w:lang w:eastAsia="zh-Hans"/>
        </w:rPr>
        <w:t>提升监督检查频次</w:t>
      </w:r>
      <w:r>
        <w:rPr>
          <w:rFonts w:hint="eastAsia" w:ascii="仿宋_GB2312" w:hAnsi="宋体" w:eastAsia="仿宋_GB2312" w:cs="Times New Roman"/>
          <w:sz w:val="32"/>
          <w:szCs w:val="32"/>
        </w:rPr>
        <w:t>。</w:t>
      </w:r>
      <w:r>
        <w:rPr>
          <w:rFonts w:hint="eastAsia" w:ascii="仿宋_GB2312" w:hAnsi="宋体" w:eastAsia="仿宋_GB2312" w:cs="Times New Roman"/>
          <w:sz w:val="32"/>
          <w:szCs w:val="32"/>
          <w:lang w:eastAsia="zh-Hans"/>
        </w:rPr>
        <w:t>安装消防物联网远程监控系统</w:t>
      </w:r>
      <w:r>
        <w:rPr>
          <w:rFonts w:ascii="仿宋_GB2312" w:hAnsi="宋体" w:eastAsia="仿宋_GB2312" w:cs="Times New Roman"/>
          <w:sz w:val="32"/>
          <w:szCs w:val="32"/>
          <w:lang w:eastAsia="zh-Hans"/>
        </w:rPr>
        <w:t>，</w:t>
      </w:r>
      <w:r>
        <w:rPr>
          <w:rFonts w:hint="eastAsia" w:ascii="仿宋_GB2312" w:hAnsi="宋体" w:eastAsia="仿宋_GB2312" w:cs="Times New Roman"/>
          <w:sz w:val="32"/>
          <w:szCs w:val="32"/>
          <w:lang w:eastAsia="zh-Hans"/>
        </w:rPr>
        <w:t>加大消防宣传教育培训力度</w:t>
      </w:r>
      <w:r>
        <w:rPr>
          <w:rFonts w:ascii="仿宋_GB2312" w:hAnsi="宋体" w:eastAsia="仿宋_GB2312" w:cs="Times New Roman"/>
          <w:sz w:val="32"/>
          <w:szCs w:val="32"/>
          <w:lang w:eastAsia="zh-Hans"/>
        </w:rPr>
        <w:t>，</w:t>
      </w:r>
      <w:r>
        <w:rPr>
          <w:rFonts w:hint="eastAsia" w:ascii="仿宋_GB2312" w:hAnsi="宋体" w:eastAsia="仿宋_GB2312" w:cs="Times New Roman"/>
          <w:sz w:val="32"/>
          <w:szCs w:val="32"/>
          <w:lang w:eastAsia="zh-Hans"/>
        </w:rPr>
        <w:t>辖区消防救援中队配置针对性的灭火救援装备</w:t>
      </w:r>
      <w:r>
        <w:rPr>
          <w:rFonts w:ascii="仿宋_GB2312" w:hAnsi="宋体" w:eastAsia="仿宋_GB2312" w:cs="Times New Roman"/>
          <w:sz w:val="32"/>
          <w:szCs w:val="32"/>
          <w:lang w:eastAsia="zh-Hans"/>
        </w:rPr>
        <w:t>，</w:t>
      </w:r>
      <w:r>
        <w:rPr>
          <w:rFonts w:hint="eastAsia" w:ascii="仿宋_GB2312" w:hAnsi="宋体" w:eastAsia="仿宋_GB2312" w:cs="Times New Roman"/>
          <w:sz w:val="32"/>
          <w:szCs w:val="32"/>
          <w:lang w:eastAsia="zh-Hans"/>
        </w:rPr>
        <w:t>完善灭火救援应急预案</w:t>
      </w:r>
      <w:r>
        <w:rPr>
          <w:rFonts w:ascii="仿宋_GB2312" w:hAnsi="宋体" w:eastAsia="仿宋_GB2312" w:cs="Times New Roman"/>
          <w:sz w:val="32"/>
          <w:szCs w:val="32"/>
          <w:lang w:eastAsia="zh-Hans"/>
        </w:rPr>
        <w:t>，</w:t>
      </w:r>
      <w:r>
        <w:rPr>
          <w:rFonts w:hint="eastAsia" w:ascii="仿宋_GB2312" w:hAnsi="宋体" w:eastAsia="仿宋_GB2312" w:cs="Times New Roman"/>
          <w:sz w:val="32"/>
          <w:szCs w:val="32"/>
          <w:lang w:eastAsia="zh-Hans"/>
        </w:rPr>
        <w:t>开展年度灭火救援实战演练等措施消除风险</w:t>
      </w:r>
      <w:r>
        <w:rPr>
          <w:rFonts w:ascii="仿宋_GB2312" w:hAnsi="宋体" w:eastAsia="仿宋_GB2312" w:cs="Times New Roman"/>
          <w:sz w:val="32"/>
          <w:szCs w:val="32"/>
          <w:lang w:eastAsia="zh-Hans"/>
        </w:rPr>
        <w:t>，</w:t>
      </w:r>
      <w:r>
        <w:rPr>
          <w:rFonts w:hint="eastAsia" w:ascii="仿宋_GB2312" w:hAnsi="Times New Roman" w:eastAsia="仿宋_GB2312" w:cs="Times New Roman"/>
          <w:sz w:val="32"/>
          <w:szCs w:val="32"/>
        </w:rPr>
        <w:t>全面提高火灾防控能力；</w:t>
      </w:r>
      <w:r>
        <w:rPr>
          <w:rFonts w:hint="eastAsia" w:ascii="仿宋_GB2312" w:hAnsi="Times New Roman" w:eastAsia="仿宋_GB2312" w:cs="Times New Roman"/>
          <w:sz w:val="32"/>
          <w:szCs w:val="32"/>
          <w:lang w:eastAsia="zh-Hans"/>
        </w:rPr>
        <w:t>将</w:t>
      </w:r>
      <w:r>
        <w:rPr>
          <w:rFonts w:hint="eastAsia" w:ascii="仿宋_GB2312" w:hAnsi="Times New Roman" w:eastAsia="仿宋_GB2312" w:cs="Times New Roman"/>
          <w:sz w:val="32"/>
          <w:szCs w:val="32"/>
        </w:rPr>
        <w:t>方庄、马家堡等</w:t>
      </w:r>
      <w:r>
        <w:rPr>
          <w:rFonts w:hint="eastAsia" w:ascii="仿宋_GB2312" w:hAnsi="Times New Roman" w:eastAsia="仿宋_GB2312" w:cs="Times New Roman"/>
          <w:sz w:val="32"/>
          <w:szCs w:val="32"/>
          <w:lang w:eastAsia="zh-Hans"/>
        </w:rPr>
        <w:t>中风险区域</w:t>
      </w:r>
      <w:r>
        <w:rPr>
          <w:rFonts w:ascii="仿宋_GB2312" w:hAnsi="Times New Roman" w:eastAsia="仿宋_GB2312" w:cs="Times New Roman"/>
          <w:sz w:val="32"/>
          <w:szCs w:val="32"/>
          <w:lang w:eastAsia="zh-Hans"/>
        </w:rPr>
        <w:t>、</w:t>
      </w:r>
      <w:r>
        <w:rPr>
          <w:rFonts w:hint="eastAsia" w:ascii="仿宋_GB2312" w:hAnsi="Times New Roman" w:eastAsia="仿宋_GB2312" w:cs="Times New Roman"/>
          <w:sz w:val="32"/>
          <w:szCs w:val="32"/>
          <w:lang w:eastAsia="zh-Hans"/>
        </w:rPr>
        <w:t>中风险行业确定为</w:t>
      </w:r>
      <w:r>
        <w:rPr>
          <w:rFonts w:hint="eastAsia" w:ascii="仿宋_GB2312" w:hAnsi="宋体" w:eastAsia="仿宋_GB2312" w:cs="Times New Roman"/>
          <w:sz w:val="32"/>
          <w:szCs w:val="32"/>
        </w:rPr>
        <w:t>二级重点消防保护区域</w:t>
      </w:r>
      <w:r>
        <w:rPr>
          <w:rFonts w:ascii="仿宋_GB2312" w:hAnsi="宋体" w:eastAsia="仿宋_GB2312" w:cs="Times New Roman"/>
          <w:sz w:val="32"/>
          <w:szCs w:val="32"/>
        </w:rPr>
        <w:t>，</w:t>
      </w:r>
      <w:r>
        <w:rPr>
          <w:rFonts w:hint="eastAsia" w:ascii="仿宋_GB2312" w:hAnsi="宋体" w:eastAsia="仿宋_GB2312" w:cs="Times New Roman"/>
          <w:sz w:val="32"/>
          <w:szCs w:val="32"/>
          <w:lang w:eastAsia="zh-Hans"/>
        </w:rPr>
        <w:t>属于街镇政府和行业主管部门重点管理区域</w:t>
      </w:r>
      <w:r>
        <w:rPr>
          <w:rFonts w:ascii="仿宋_GB2312" w:hAnsi="宋体" w:eastAsia="仿宋_GB2312" w:cs="Times New Roman"/>
          <w:sz w:val="32"/>
          <w:szCs w:val="32"/>
          <w:lang w:eastAsia="zh-Hans"/>
        </w:rPr>
        <w:t>，</w:t>
      </w:r>
      <w:r>
        <w:rPr>
          <w:rFonts w:hint="eastAsia" w:ascii="仿宋_GB2312" w:hAnsi="宋体" w:eastAsia="仿宋_GB2312" w:cs="Times New Roman"/>
          <w:sz w:val="32"/>
          <w:szCs w:val="32"/>
          <w:lang w:eastAsia="zh-Hans"/>
        </w:rPr>
        <w:t>采取与消防救援支队建立工作联系机制</w:t>
      </w:r>
      <w:r>
        <w:rPr>
          <w:rFonts w:ascii="仿宋_GB2312" w:hAnsi="宋体" w:eastAsia="仿宋_GB2312" w:cs="Times New Roman"/>
          <w:sz w:val="32"/>
          <w:szCs w:val="32"/>
          <w:lang w:eastAsia="zh-Hans"/>
        </w:rPr>
        <w:t>，</w:t>
      </w:r>
      <w:r>
        <w:rPr>
          <w:rFonts w:hint="eastAsia" w:ascii="仿宋_GB2312" w:hAnsi="宋体" w:eastAsia="仿宋_GB2312" w:cs="Times New Roman"/>
          <w:sz w:val="32"/>
          <w:szCs w:val="32"/>
          <w:lang w:eastAsia="zh-Hans"/>
        </w:rPr>
        <w:t>开展综合整治</w:t>
      </w:r>
      <w:r>
        <w:rPr>
          <w:rFonts w:ascii="仿宋_GB2312" w:hAnsi="宋体" w:eastAsia="仿宋_GB2312" w:cs="Times New Roman"/>
          <w:sz w:val="32"/>
          <w:szCs w:val="32"/>
          <w:lang w:eastAsia="zh-Hans"/>
        </w:rPr>
        <w:t>，</w:t>
      </w:r>
      <w:r>
        <w:rPr>
          <w:rFonts w:hint="eastAsia" w:ascii="仿宋_GB2312" w:hAnsi="宋体" w:eastAsia="仿宋_GB2312" w:cs="Times New Roman"/>
          <w:sz w:val="32"/>
          <w:szCs w:val="32"/>
          <w:lang w:eastAsia="zh-Hans"/>
        </w:rPr>
        <w:t>加强消防宣传力度</w:t>
      </w:r>
      <w:r>
        <w:rPr>
          <w:rFonts w:ascii="仿宋_GB2312" w:hAnsi="宋体" w:eastAsia="仿宋_GB2312" w:cs="Times New Roman"/>
          <w:sz w:val="32"/>
          <w:szCs w:val="32"/>
          <w:lang w:eastAsia="zh-Hans"/>
        </w:rPr>
        <w:t>，</w:t>
      </w:r>
      <w:r>
        <w:rPr>
          <w:rFonts w:hint="eastAsia" w:ascii="仿宋_GB2312" w:hAnsi="宋体" w:eastAsia="仿宋_GB2312" w:cs="Times New Roman"/>
          <w:sz w:val="32"/>
          <w:szCs w:val="32"/>
          <w:lang w:eastAsia="zh-Hans"/>
        </w:rPr>
        <w:t>建立政府专职消防队等措施化解风险</w:t>
      </w:r>
      <w:r>
        <w:rPr>
          <w:rFonts w:ascii="仿宋_GB2312" w:hAnsi="宋体" w:eastAsia="仿宋_GB2312" w:cs="Times New Roman"/>
          <w:sz w:val="32"/>
          <w:szCs w:val="32"/>
          <w:lang w:eastAsia="zh-Hans"/>
        </w:rPr>
        <w:t>，</w:t>
      </w:r>
      <w:r>
        <w:rPr>
          <w:rFonts w:hint="eastAsia" w:ascii="仿宋_GB2312" w:hAnsi="宋体" w:eastAsia="仿宋_GB2312" w:cs="Times New Roman"/>
          <w:sz w:val="32"/>
          <w:szCs w:val="32"/>
          <w:lang w:eastAsia="zh-Hans"/>
        </w:rPr>
        <w:t>提高消防安全水平</w:t>
      </w:r>
      <w:r>
        <w:rPr>
          <w:rFonts w:hint="eastAsia" w:ascii="仿宋_GB2312" w:hAnsi="宋体" w:eastAsia="仿宋_GB2312" w:cs="Times New Roman"/>
          <w:sz w:val="32"/>
          <w:szCs w:val="32"/>
        </w:rPr>
        <w:t>；</w:t>
      </w:r>
      <w:r>
        <w:rPr>
          <w:rFonts w:hint="eastAsia" w:ascii="仿宋_GB2312" w:hAnsi="Times New Roman" w:eastAsia="仿宋_GB2312" w:cs="Times New Roman"/>
          <w:sz w:val="32"/>
          <w:szCs w:val="32"/>
        </w:rPr>
        <w:t>将东高地、王佐等</w:t>
      </w:r>
      <w:r>
        <w:rPr>
          <w:rFonts w:hint="eastAsia" w:ascii="仿宋_GB2312" w:hAnsi="宋体" w:eastAsia="仿宋_GB2312" w:cs="Times New Roman"/>
          <w:sz w:val="32"/>
          <w:szCs w:val="32"/>
        </w:rPr>
        <w:t>其他区域</w:t>
      </w:r>
      <w:r>
        <w:rPr>
          <w:rFonts w:hint="eastAsia" w:ascii="仿宋_GB2312" w:hAnsi="宋体" w:eastAsia="仿宋_GB2312" w:cs="Times New Roman"/>
          <w:sz w:val="32"/>
          <w:szCs w:val="32"/>
          <w:lang w:eastAsia="zh-Hans"/>
        </w:rPr>
        <w:t>确定</w:t>
      </w:r>
      <w:r>
        <w:rPr>
          <w:rFonts w:hint="eastAsia" w:ascii="仿宋_GB2312" w:hAnsi="宋体" w:eastAsia="仿宋_GB2312" w:cs="Times New Roman"/>
          <w:sz w:val="32"/>
          <w:szCs w:val="32"/>
        </w:rPr>
        <w:t>为三级消防保护区域，</w:t>
      </w:r>
      <w:r>
        <w:rPr>
          <w:rFonts w:hint="eastAsia" w:ascii="仿宋_GB2312" w:hAnsi="宋体" w:eastAsia="仿宋_GB2312" w:cs="Times New Roman"/>
          <w:sz w:val="32"/>
          <w:szCs w:val="32"/>
          <w:lang w:eastAsia="zh-Hans"/>
        </w:rPr>
        <w:t>属于单位落实消防安全主体责任区域</w:t>
      </w:r>
      <w:r>
        <w:rPr>
          <w:rFonts w:ascii="仿宋_GB2312" w:hAnsi="宋体" w:eastAsia="仿宋_GB2312" w:cs="Times New Roman"/>
          <w:sz w:val="32"/>
          <w:szCs w:val="32"/>
          <w:lang w:eastAsia="zh-Hans"/>
        </w:rPr>
        <w:t>。</w:t>
      </w:r>
      <w:r>
        <w:rPr>
          <w:rFonts w:hint="eastAsia" w:ascii="仿宋_GB2312" w:hAnsi="宋体" w:eastAsia="仿宋_GB2312" w:cs="Times New Roman"/>
          <w:sz w:val="32"/>
          <w:szCs w:val="32"/>
          <w:lang w:eastAsia="zh-Hans"/>
        </w:rPr>
        <w:t>采取火灾隐患自查</w:t>
      </w:r>
      <w:r>
        <w:rPr>
          <w:rFonts w:ascii="仿宋_GB2312" w:hAnsi="宋体" w:eastAsia="仿宋_GB2312" w:cs="Times New Roman"/>
          <w:sz w:val="32"/>
          <w:szCs w:val="32"/>
          <w:lang w:eastAsia="zh-Hans"/>
        </w:rPr>
        <w:t>，</w:t>
      </w:r>
      <w:r>
        <w:rPr>
          <w:rFonts w:hint="eastAsia" w:ascii="仿宋_GB2312" w:hAnsi="宋体" w:eastAsia="仿宋_GB2312" w:cs="Times New Roman"/>
          <w:sz w:val="32"/>
          <w:szCs w:val="32"/>
          <w:lang w:eastAsia="zh-Hans"/>
        </w:rPr>
        <w:t>消防宣传多样</w:t>
      </w:r>
      <w:r>
        <w:rPr>
          <w:rFonts w:ascii="仿宋_GB2312" w:hAnsi="宋体" w:eastAsia="仿宋_GB2312" w:cs="Times New Roman"/>
          <w:sz w:val="32"/>
          <w:szCs w:val="32"/>
          <w:lang w:eastAsia="zh-Hans"/>
        </w:rPr>
        <w:t>，</w:t>
      </w:r>
      <w:r>
        <w:rPr>
          <w:rFonts w:hint="eastAsia" w:ascii="仿宋_GB2312" w:hAnsi="宋体" w:eastAsia="仿宋_GB2312" w:cs="Times New Roman"/>
          <w:sz w:val="32"/>
          <w:szCs w:val="32"/>
          <w:lang w:eastAsia="zh-Hans"/>
        </w:rPr>
        <w:t>建立微型消防站</w:t>
      </w:r>
      <w:r>
        <w:rPr>
          <w:rFonts w:ascii="仿宋_GB2312" w:hAnsi="宋体" w:eastAsia="仿宋_GB2312" w:cs="Times New Roman"/>
          <w:sz w:val="32"/>
          <w:szCs w:val="32"/>
          <w:lang w:eastAsia="zh-Hans"/>
        </w:rPr>
        <w:t>，</w:t>
      </w:r>
      <w:r>
        <w:rPr>
          <w:rFonts w:hint="eastAsia" w:ascii="仿宋_GB2312" w:hAnsi="宋体" w:eastAsia="仿宋_GB2312" w:cs="Times New Roman"/>
          <w:sz w:val="32"/>
          <w:szCs w:val="32"/>
          <w:lang w:eastAsia="zh-Hans"/>
        </w:rPr>
        <w:t>初期火灾有效处置等措施确保火灾形势平稳</w:t>
      </w:r>
      <w:r>
        <w:rPr>
          <w:rFonts w:ascii="仿宋_GB2312" w:hAnsi="宋体" w:eastAsia="仿宋_GB2312" w:cs="Times New Roman"/>
          <w:sz w:val="32"/>
          <w:szCs w:val="32"/>
          <w:lang w:eastAsia="zh-Hans"/>
        </w:rPr>
        <w:t>。</w:t>
      </w:r>
    </w:p>
    <w:p>
      <w:pPr>
        <w:snapToGrid w:val="0"/>
        <w:spacing w:line="600" w:lineRule="exact"/>
        <w:ind w:firstLine="643" w:firstLineChars="200"/>
        <w:rPr>
          <w:rFonts w:ascii="仿宋_GB2312" w:hAnsi="仿宋" w:eastAsia="仿宋_GB2312" w:cs="Times New Roman"/>
          <w:sz w:val="32"/>
          <w:szCs w:val="32"/>
        </w:rPr>
      </w:pPr>
      <w:r>
        <w:rPr>
          <w:rFonts w:hint="eastAsia" w:ascii="楷体" w:hAnsi="楷体" w:eastAsia="楷体" w:cs="楷体"/>
          <w:b/>
          <w:bCs/>
          <w:color w:val="000000"/>
          <w:sz w:val="32"/>
          <w:szCs w:val="32"/>
        </w:rPr>
        <w:t>（六）改善农村地区消防安全条件。</w:t>
      </w:r>
      <w:r>
        <w:rPr>
          <w:rFonts w:hint="eastAsia" w:ascii="仿宋_GB2312" w:hAnsi="仿宋" w:eastAsia="仿宋_GB2312" w:cs="宋体"/>
          <w:color w:val="000000"/>
          <w:sz w:val="32"/>
          <w:szCs w:val="32"/>
        </w:rPr>
        <w:t>强化农村地区落实消防安全管理责任，持续开展农村地区消防安全隐患排查治理，降低农村地区火灾风险，减少火灾事故。</w:t>
      </w:r>
      <w:r>
        <w:rPr>
          <w:rFonts w:ascii="仿宋_GB2312" w:hAnsi="Calibri" w:eastAsia="仿宋_GB2312" w:cs="Times New Roman"/>
          <w:sz w:val="32"/>
          <w:szCs w:val="32"/>
          <w:lang w:eastAsia="zh-Hans"/>
        </w:rPr>
        <w:t>充分发挥村委会的职能作用，</w:t>
      </w:r>
      <w:r>
        <w:rPr>
          <w:rFonts w:hint="eastAsia" w:ascii="仿宋_GB2312" w:hAnsi="Calibri" w:eastAsia="仿宋_GB2312" w:cs="Times New Roman"/>
          <w:sz w:val="32"/>
          <w:szCs w:val="32"/>
          <w:lang w:eastAsia="zh-Hans"/>
        </w:rPr>
        <w:t>摸清</w:t>
      </w:r>
      <w:r>
        <w:rPr>
          <w:rFonts w:ascii="仿宋_GB2312" w:hAnsi="Calibri" w:eastAsia="仿宋_GB2312" w:cs="Times New Roman"/>
          <w:sz w:val="32"/>
          <w:szCs w:val="32"/>
          <w:lang w:eastAsia="zh-Hans"/>
        </w:rPr>
        <w:t>农民宅基地出租房屋、</w:t>
      </w:r>
      <w:r>
        <w:rPr>
          <w:rFonts w:hint="eastAsia" w:ascii="仿宋_GB2312" w:hAnsi="Calibri" w:eastAsia="仿宋_GB2312" w:cs="Times New Roman"/>
          <w:sz w:val="32"/>
          <w:szCs w:val="32"/>
          <w:lang w:eastAsia="zh-Hans"/>
        </w:rPr>
        <w:t>民宿用房</w:t>
      </w:r>
      <w:r>
        <w:rPr>
          <w:rFonts w:ascii="仿宋_GB2312" w:hAnsi="Calibri" w:eastAsia="仿宋_GB2312" w:cs="Times New Roman"/>
          <w:sz w:val="32"/>
          <w:szCs w:val="32"/>
          <w:lang w:eastAsia="zh-Hans"/>
        </w:rPr>
        <w:t>、</w:t>
      </w:r>
      <w:r>
        <w:rPr>
          <w:rFonts w:hint="eastAsia" w:ascii="仿宋_GB2312" w:hAnsi="Calibri" w:eastAsia="仿宋_GB2312" w:cs="Times New Roman"/>
          <w:sz w:val="32"/>
          <w:szCs w:val="32"/>
          <w:lang w:eastAsia="zh-Hans"/>
        </w:rPr>
        <w:t>旅游接待场所</w:t>
      </w:r>
      <w:r>
        <w:rPr>
          <w:rFonts w:ascii="仿宋_GB2312" w:hAnsi="Calibri" w:eastAsia="仿宋_GB2312" w:cs="Times New Roman"/>
          <w:sz w:val="32"/>
          <w:szCs w:val="32"/>
          <w:lang w:eastAsia="zh-Hans"/>
        </w:rPr>
        <w:t>、</w:t>
      </w:r>
      <w:r>
        <w:rPr>
          <w:rFonts w:hint="eastAsia" w:ascii="仿宋_GB2312" w:hAnsi="Calibri" w:eastAsia="仿宋_GB2312" w:cs="Times New Roman"/>
          <w:sz w:val="32"/>
          <w:szCs w:val="32"/>
          <w:lang w:eastAsia="zh-Hans"/>
        </w:rPr>
        <w:t>工业大院等集体经济出租经营场所基本情况</w:t>
      </w:r>
      <w:r>
        <w:rPr>
          <w:rFonts w:ascii="仿宋_GB2312" w:hAnsi="Calibri" w:eastAsia="仿宋_GB2312" w:cs="Times New Roman"/>
          <w:sz w:val="32"/>
          <w:szCs w:val="32"/>
          <w:lang w:eastAsia="zh-Hans"/>
        </w:rPr>
        <w:t>，</w:t>
      </w:r>
      <w:r>
        <w:rPr>
          <w:rFonts w:hint="eastAsia" w:ascii="仿宋_GB2312" w:hAnsi="Calibri" w:eastAsia="仿宋_GB2312" w:cs="Times New Roman"/>
          <w:sz w:val="32"/>
          <w:szCs w:val="32"/>
          <w:lang w:eastAsia="zh-Hans"/>
        </w:rPr>
        <w:t>推行安装</w:t>
      </w:r>
      <w:r>
        <w:rPr>
          <w:rFonts w:hint="eastAsia" w:ascii="仿宋_GB2312" w:hAnsi="Times New Roman" w:eastAsia="仿宋_GB2312" w:cs="Times New Roman"/>
          <w:color w:val="000000"/>
          <w:spacing w:val="-2"/>
          <w:sz w:val="32"/>
          <w:szCs w:val="32"/>
        </w:rPr>
        <w:t>独立式</w:t>
      </w:r>
      <w:r>
        <w:rPr>
          <w:rFonts w:hint="eastAsia" w:ascii="仿宋_GB2312" w:hAnsi="Times New Roman" w:eastAsia="仿宋_GB2312" w:cs="Times New Roman"/>
          <w:color w:val="000000"/>
          <w:sz w:val="32"/>
          <w:szCs w:val="32"/>
        </w:rPr>
        <w:t>火灾报警探测器</w:t>
      </w:r>
      <w:r>
        <w:rPr>
          <w:rFonts w:ascii="仿宋_GB2312" w:hAnsi="Times New Roman" w:eastAsia="仿宋_GB2312" w:cs="Times New Roman"/>
          <w:color w:val="000000"/>
          <w:sz w:val="32"/>
          <w:szCs w:val="32"/>
        </w:rPr>
        <w:t>、</w:t>
      </w:r>
      <w:r>
        <w:rPr>
          <w:rFonts w:hint="eastAsia" w:ascii="仿宋_GB2312" w:hAnsi="Times New Roman" w:eastAsia="仿宋_GB2312" w:cs="Times New Roman"/>
          <w:color w:val="000000"/>
          <w:sz w:val="32"/>
          <w:szCs w:val="32"/>
          <w:lang w:eastAsia="zh-Hans"/>
        </w:rPr>
        <w:t>简易水喷淋系统</w:t>
      </w:r>
      <w:r>
        <w:rPr>
          <w:rFonts w:ascii="仿宋_GB2312" w:hAnsi="Times New Roman" w:eastAsia="仿宋_GB2312" w:cs="Times New Roman"/>
          <w:color w:val="000000"/>
          <w:sz w:val="32"/>
          <w:szCs w:val="32"/>
          <w:lang w:eastAsia="zh-Hans"/>
        </w:rPr>
        <w:t>、</w:t>
      </w:r>
      <w:r>
        <w:rPr>
          <w:rFonts w:hint="eastAsia" w:ascii="仿宋_GB2312" w:hAnsi="Times New Roman" w:eastAsia="仿宋_GB2312" w:cs="Times New Roman"/>
          <w:color w:val="000000"/>
          <w:sz w:val="32"/>
          <w:szCs w:val="32"/>
          <w:lang w:eastAsia="zh-Hans"/>
        </w:rPr>
        <w:t>简易消防水喉</w:t>
      </w:r>
      <w:r>
        <w:rPr>
          <w:rFonts w:ascii="仿宋_GB2312" w:hAnsi="Times New Roman" w:eastAsia="仿宋_GB2312" w:cs="Times New Roman"/>
          <w:color w:val="000000"/>
          <w:sz w:val="32"/>
          <w:szCs w:val="32"/>
          <w:lang w:eastAsia="zh-Hans"/>
        </w:rPr>
        <w:t>、</w:t>
      </w:r>
      <w:r>
        <w:rPr>
          <w:rFonts w:hint="eastAsia" w:ascii="仿宋_GB2312" w:hAnsi="Times New Roman" w:eastAsia="仿宋_GB2312" w:cs="Times New Roman"/>
          <w:color w:val="000000"/>
          <w:sz w:val="32"/>
          <w:szCs w:val="32"/>
          <w:lang w:eastAsia="zh-Hans"/>
        </w:rPr>
        <w:t>配置灭火器材等</w:t>
      </w:r>
      <w:r>
        <w:rPr>
          <w:rFonts w:hint="eastAsia" w:ascii="仿宋_GB2312" w:hAnsi="Calibri" w:eastAsia="仿宋_GB2312" w:cs="Times New Roman"/>
          <w:sz w:val="32"/>
          <w:szCs w:val="32"/>
          <w:lang w:eastAsia="zh-Hans"/>
        </w:rPr>
        <w:t>灵活多样的消防安全措施</w:t>
      </w:r>
      <w:r>
        <w:rPr>
          <w:rFonts w:ascii="仿宋_GB2312" w:hAnsi="Calibri" w:eastAsia="仿宋_GB2312" w:cs="Times New Roman"/>
          <w:sz w:val="32"/>
          <w:szCs w:val="32"/>
          <w:lang w:eastAsia="zh-Hans"/>
        </w:rPr>
        <w:t>，</w:t>
      </w:r>
      <w:r>
        <w:rPr>
          <w:rFonts w:hint="eastAsia" w:ascii="仿宋_GB2312" w:hAnsi="Calibri" w:eastAsia="仿宋_GB2312" w:cs="Times New Roman"/>
          <w:sz w:val="32"/>
          <w:szCs w:val="32"/>
          <w:lang w:eastAsia="zh-Hans"/>
        </w:rPr>
        <w:t>提升农村经营活动场所的消防安全条件</w:t>
      </w:r>
      <w:r>
        <w:rPr>
          <w:rFonts w:ascii="仿宋_GB2312" w:hAnsi="Calibri" w:eastAsia="仿宋_GB2312" w:cs="Times New Roman"/>
          <w:sz w:val="32"/>
          <w:szCs w:val="32"/>
          <w:lang w:eastAsia="zh-Hans"/>
        </w:rPr>
        <w:t>。</w:t>
      </w:r>
      <w:r>
        <w:rPr>
          <w:rFonts w:hint="eastAsia" w:ascii="仿宋_GB2312" w:hAnsi="Calibri" w:eastAsia="仿宋_GB2312" w:cs="Times New Roman"/>
          <w:sz w:val="32"/>
          <w:szCs w:val="32"/>
          <w:lang w:eastAsia="zh-Hans"/>
        </w:rPr>
        <w:t>持续开展农村地区人员消防安全意识提升行动</w:t>
      </w:r>
      <w:r>
        <w:rPr>
          <w:rFonts w:ascii="仿宋_GB2312" w:hAnsi="Calibri" w:eastAsia="仿宋_GB2312" w:cs="Times New Roman"/>
          <w:sz w:val="32"/>
          <w:szCs w:val="32"/>
          <w:lang w:eastAsia="zh-Hans"/>
        </w:rPr>
        <w:t>，</w:t>
      </w:r>
      <w:r>
        <w:rPr>
          <w:rFonts w:hint="eastAsia" w:ascii="仿宋_GB2312" w:hAnsi="Calibri" w:eastAsia="仿宋_GB2312" w:cs="Times New Roman"/>
          <w:sz w:val="32"/>
          <w:szCs w:val="32"/>
          <w:lang w:eastAsia="zh-Hans"/>
        </w:rPr>
        <w:t>多种形式进行用火用电用气安全知识教育培训</w:t>
      </w:r>
      <w:r>
        <w:rPr>
          <w:rFonts w:ascii="仿宋_GB2312" w:hAnsi="Calibri" w:eastAsia="仿宋_GB2312" w:cs="Times New Roman"/>
          <w:sz w:val="32"/>
          <w:szCs w:val="32"/>
          <w:lang w:eastAsia="zh-Hans"/>
        </w:rPr>
        <w:t>。</w:t>
      </w:r>
      <w:r>
        <w:rPr>
          <w:rFonts w:hint="eastAsia" w:ascii="仿宋_GB2312" w:hAnsi="Calibri" w:eastAsia="仿宋_GB2312" w:cs="Times New Roman"/>
          <w:sz w:val="32"/>
          <w:szCs w:val="32"/>
          <w:lang w:eastAsia="zh-Hans"/>
        </w:rPr>
        <w:t>要</w:t>
      </w:r>
      <w:r>
        <w:rPr>
          <w:rFonts w:ascii="仿宋_GB2312" w:hAnsi="Calibri" w:eastAsia="仿宋_GB2312" w:cs="Times New Roman"/>
          <w:sz w:val="32"/>
          <w:szCs w:val="32"/>
          <w:lang w:eastAsia="zh-Hans"/>
        </w:rPr>
        <w:t>加强</w:t>
      </w:r>
      <w:r>
        <w:rPr>
          <w:rFonts w:hint="eastAsia" w:ascii="仿宋_GB2312" w:hAnsi="Calibri" w:eastAsia="仿宋_GB2312" w:cs="Times New Roman"/>
          <w:sz w:val="32"/>
          <w:szCs w:val="32"/>
          <w:lang w:eastAsia="zh-Hans"/>
        </w:rPr>
        <w:t>针对</w:t>
      </w:r>
      <w:r>
        <w:rPr>
          <w:rFonts w:ascii="仿宋_GB2312" w:hAnsi="Calibri" w:eastAsia="仿宋_GB2312" w:cs="Times New Roman"/>
          <w:sz w:val="32"/>
          <w:szCs w:val="32"/>
          <w:lang w:eastAsia="zh-Hans"/>
        </w:rPr>
        <w:t>“六小单位”</w:t>
      </w:r>
      <w:r>
        <w:rPr>
          <w:rFonts w:hint="eastAsia" w:ascii="仿宋_GB2312" w:hAnsi="Calibri" w:eastAsia="仿宋_GB2312" w:cs="Times New Roman"/>
          <w:sz w:val="32"/>
          <w:szCs w:val="32"/>
          <w:lang w:eastAsia="zh-Hans"/>
        </w:rPr>
        <w:t>消防安全工作的综合管理</w:t>
      </w:r>
      <w:r>
        <w:rPr>
          <w:rFonts w:ascii="仿宋_GB2312" w:hAnsi="Calibri" w:eastAsia="仿宋_GB2312" w:cs="Times New Roman"/>
          <w:sz w:val="32"/>
          <w:szCs w:val="32"/>
          <w:lang w:eastAsia="zh-Hans"/>
        </w:rPr>
        <w:t>，</w:t>
      </w:r>
      <w:r>
        <w:rPr>
          <w:rFonts w:hint="eastAsia" w:ascii="仿宋_GB2312" w:hAnsi="Calibri" w:eastAsia="仿宋_GB2312" w:cs="Times New Roman"/>
          <w:sz w:val="32"/>
          <w:szCs w:val="32"/>
          <w:lang w:eastAsia="zh-Hans"/>
        </w:rPr>
        <w:t>充分发挥派出所</w:t>
      </w:r>
      <w:r>
        <w:rPr>
          <w:rFonts w:ascii="仿宋_GB2312" w:hAnsi="Calibri" w:eastAsia="仿宋_GB2312" w:cs="Times New Roman"/>
          <w:sz w:val="32"/>
          <w:szCs w:val="32"/>
          <w:lang w:eastAsia="zh-Hans"/>
        </w:rPr>
        <w:t>、</w:t>
      </w:r>
      <w:r>
        <w:rPr>
          <w:rFonts w:hint="eastAsia" w:ascii="仿宋_GB2312" w:hAnsi="Calibri" w:eastAsia="仿宋_GB2312" w:cs="Times New Roman"/>
          <w:sz w:val="32"/>
          <w:szCs w:val="32"/>
        </w:rPr>
        <w:t>应急</w:t>
      </w:r>
      <w:r>
        <w:rPr>
          <w:rFonts w:hint="eastAsia" w:ascii="仿宋_GB2312" w:hAnsi="Calibri" w:eastAsia="仿宋_GB2312" w:cs="Times New Roman"/>
          <w:sz w:val="32"/>
          <w:szCs w:val="32"/>
          <w:lang w:eastAsia="zh-Hans"/>
        </w:rPr>
        <w:t>人员的一线监管职能</w:t>
      </w:r>
      <w:r>
        <w:rPr>
          <w:rFonts w:ascii="仿宋_GB2312" w:hAnsi="Calibri" w:eastAsia="仿宋_GB2312" w:cs="Times New Roman"/>
          <w:sz w:val="32"/>
          <w:szCs w:val="32"/>
          <w:lang w:eastAsia="zh-Hans"/>
        </w:rPr>
        <w:t>，</w:t>
      </w:r>
      <w:r>
        <w:rPr>
          <w:rFonts w:hint="eastAsia" w:ascii="仿宋_GB2312" w:hAnsi="Calibri" w:eastAsia="仿宋_GB2312" w:cs="Times New Roman"/>
          <w:sz w:val="32"/>
          <w:szCs w:val="32"/>
          <w:lang w:eastAsia="zh-Hans"/>
        </w:rPr>
        <w:t>及时发现并消除突出火灾隐患</w:t>
      </w:r>
      <w:r>
        <w:rPr>
          <w:rFonts w:ascii="仿宋_GB2312" w:hAnsi="Calibri" w:eastAsia="仿宋_GB2312" w:cs="Times New Roman"/>
          <w:sz w:val="32"/>
          <w:szCs w:val="32"/>
          <w:lang w:eastAsia="zh-Hans"/>
        </w:rPr>
        <w:t>，</w:t>
      </w:r>
      <w:r>
        <w:rPr>
          <w:rFonts w:hint="eastAsia" w:ascii="仿宋_GB2312" w:hAnsi="Calibri" w:eastAsia="仿宋_GB2312" w:cs="Times New Roman"/>
          <w:sz w:val="32"/>
          <w:szCs w:val="32"/>
          <w:lang w:eastAsia="zh-Hans"/>
        </w:rPr>
        <w:t>通过“六小单位”的安全推进</w:t>
      </w:r>
      <w:r>
        <w:rPr>
          <w:rFonts w:ascii="仿宋_GB2312" w:hAnsi="Calibri" w:eastAsia="仿宋_GB2312" w:cs="Times New Roman"/>
          <w:sz w:val="32"/>
          <w:szCs w:val="32"/>
          <w:lang w:eastAsia="zh-Hans"/>
        </w:rPr>
        <w:t>农村地区火灾形势</w:t>
      </w:r>
      <w:r>
        <w:rPr>
          <w:rFonts w:hint="eastAsia" w:ascii="仿宋_GB2312" w:hAnsi="Calibri" w:eastAsia="仿宋_GB2312" w:cs="Times New Roman"/>
          <w:sz w:val="32"/>
          <w:szCs w:val="32"/>
          <w:lang w:eastAsia="zh-Hans"/>
        </w:rPr>
        <w:t>的</w:t>
      </w:r>
      <w:r>
        <w:rPr>
          <w:rFonts w:ascii="仿宋_GB2312" w:hAnsi="Calibri" w:eastAsia="仿宋_GB2312" w:cs="Times New Roman"/>
          <w:sz w:val="32"/>
          <w:szCs w:val="32"/>
          <w:lang w:eastAsia="zh-Hans"/>
        </w:rPr>
        <w:t>平稳</w:t>
      </w:r>
      <w:r>
        <w:rPr>
          <w:rFonts w:hint="eastAsia" w:ascii="仿宋_GB2312" w:hAnsi="Times New Roman" w:eastAsia="仿宋_GB2312" w:cs="宋体"/>
          <w:color w:val="000000"/>
          <w:sz w:val="32"/>
          <w:szCs w:val="32"/>
        </w:rPr>
        <w:t>。</w:t>
      </w:r>
    </w:p>
    <w:p>
      <w:pPr>
        <w:snapToGrid w:val="0"/>
        <w:spacing w:line="600" w:lineRule="exact"/>
        <w:ind w:firstLine="643" w:firstLineChars="200"/>
        <w:rPr>
          <w:rFonts w:ascii="仿宋_GB2312" w:hAnsi="Times New Roman" w:eastAsia="仿宋_GB2312" w:cs="Times New Roman"/>
          <w:sz w:val="32"/>
          <w:szCs w:val="32"/>
          <w:lang w:eastAsia="zh-Hans"/>
        </w:rPr>
      </w:pPr>
      <w:r>
        <w:rPr>
          <w:rFonts w:hint="eastAsia" w:ascii="楷体" w:hAnsi="楷体" w:eastAsia="楷体" w:cs="楷体"/>
          <w:b/>
          <w:bCs/>
          <w:color w:val="000000"/>
          <w:sz w:val="32"/>
          <w:szCs w:val="32"/>
        </w:rPr>
        <w:t>（七）</w:t>
      </w:r>
      <w:r>
        <w:rPr>
          <w:rFonts w:hint="eastAsia" w:ascii="楷体" w:hAnsi="楷体" w:eastAsia="楷体" w:cs="楷体"/>
          <w:b/>
          <w:bCs/>
          <w:color w:val="000000"/>
          <w:sz w:val="32"/>
          <w:szCs w:val="32"/>
          <w:lang w:eastAsia="zh-Hans"/>
        </w:rPr>
        <w:t>建立</w:t>
      </w:r>
      <w:r>
        <w:rPr>
          <w:rFonts w:hint="eastAsia" w:ascii="楷体" w:hAnsi="楷体" w:eastAsia="楷体" w:cs="楷体"/>
          <w:b/>
          <w:bCs/>
          <w:color w:val="000000"/>
          <w:sz w:val="32"/>
          <w:szCs w:val="32"/>
        </w:rPr>
        <w:t>新材料新业态火灾风险</w:t>
      </w:r>
      <w:r>
        <w:rPr>
          <w:rFonts w:hint="eastAsia" w:ascii="楷体" w:hAnsi="楷体" w:eastAsia="楷体" w:cs="楷体"/>
          <w:b/>
          <w:bCs/>
          <w:color w:val="000000"/>
          <w:sz w:val="32"/>
          <w:szCs w:val="32"/>
          <w:lang w:eastAsia="zh-Hans"/>
        </w:rPr>
        <w:t>防控机制</w:t>
      </w:r>
      <w:r>
        <w:rPr>
          <w:rFonts w:hint="eastAsia" w:ascii="楷体" w:hAnsi="楷体" w:eastAsia="楷体" w:cs="楷体"/>
          <w:b/>
          <w:bCs/>
          <w:color w:val="000000"/>
          <w:sz w:val="32"/>
          <w:szCs w:val="32"/>
        </w:rPr>
        <w:t>。</w:t>
      </w:r>
      <w:r>
        <w:rPr>
          <w:rFonts w:hint="eastAsia" w:ascii="仿宋_GB2312" w:hAnsi="Times New Roman" w:eastAsia="仿宋_GB2312" w:cs="Times New Roman"/>
          <w:sz w:val="32"/>
          <w:szCs w:val="32"/>
          <w:lang w:eastAsia="zh-Hans"/>
        </w:rPr>
        <w:t>依托科研机构</w:t>
      </w:r>
      <w:r>
        <w:rPr>
          <w:rFonts w:ascii="仿宋_GB2312" w:hAnsi="Times New Roman" w:eastAsia="仿宋_GB2312" w:cs="Times New Roman"/>
          <w:sz w:val="32"/>
          <w:szCs w:val="32"/>
          <w:lang w:eastAsia="zh-Hans"/>
        </w:rPr>
        <w:t>、</w:t>
      </w:r>
      <w:r>
        <w:rPr>
          <w:rFonts w:hint="eastAsia" w:ascii="仿宋_GB2312" w:hAnsi="Times New Roman" w:eastAsia="仿宋_GB2312" w:cs="Times New Roman"/>
          <w:sz w:val="32"/>
          <w:szCs w:val="32"/>
          <w:lang w:eastAsia="zh-Hans"/>
        </w:rPr>
        <w:t>消防专业技术服务机构开展由于经营模式和商业模式创新形成的电子商务</w:t>
      </w:r>
      <w:r>
        <w:rPr>
          <w:rFonts w:ascii="仿宋_GB2312" w:hAnsi="Times New Roman" w:eastAsia="仿宋_GB2312" w:cs="Times New Roman"/>
          <w:sz w:val="32"/>
          <w:szCs w:val="32"/>
          <w:lang w:eastAsia="zh-Hans"/>
        </w:rPr>
        <w:t>、</w:t>
      </w:r>
      <w:r>
        <w:rPr>
          <w:rFonts w:hint="eastAsia" w:ascii="仿宋_GB2312" w:hAnsi="Times New Roman" w:eastAsia="仿宋_GB2312" w:cs="Times New Roman"/>
          <w:sz w:val="32"/>
          <w:szCs w:val="32"/>
          <w:lang w:eastAsia="zh-Hans"/>
        </w:rPr>
        <w:t>现代物流</w:t>
      </w:r>
      <w:r>
        <w:rPr>
          <w:rFonts w:ascii="仿宋_GB2312" w:hAnsi="Times New Roman" w:eastAsia="仿宋_GB2312" w:cs="Times New Roman"/>
          <w:sz w:val="32"/>
          <w:szCs w:val="32"/>
          <w:lang w:eastAsia="zh-Hans"/>
        </w:rPr>
        <w:t>、</w:t>
      </w:r>
      <w:r>
        <w:rPr>
          <w:rFonts w:hint="eastAsia" w:ascii="仿宋_GB2312" w:hAnsi="Times New Roman" w:eastAsia="仿宋_GB2312" w:cs="Times New Roman"/>
          <w:sz w:val="32"/>
          <w:szCs w:val="32"/>
          <w:lang w:eastAsia="zh-Hans"/>
        </w:rPr>
        <w:t>新能源应用等新业态火灾风险源识别研究</w:t>
      </w:r>
      <w:r>
        <w:rPr>
          <w:rFonts w:ascii="仿宋_GB2312" w:hAnsi="Times New Roman" w:eastAsia="仿宋_GB2312" w:cs="Times New Roman"/>
          <w:sz w:val="32"/>
          <w:szCs w:val="32"/>
          <w:lang w:eastAsia="zh-Hans"/>
        </w:rPr>
        <w:t>，</w:t>
      </w:r>
      <w:r>
        <w:rPr>
          <w:rFonts w:hint="eastAsia" w:ascii="仿宋_GB2312" w:hAnsi="Times New Roman" w:eastAsia="仿宋_GB2312" w:cs="Times New Roman"/>
          <w:sz w:val="32"/>
          <w:szCs w:val="32"/>
          <w:lang w:eastAsia="zh-Hans"/>
        </w:rPr>
        <w:t>推动</w:t>
      </w:r>
      <w:r>
        <w:rPr>
          <w:rFonts w:hint="eastAsia" w:ascii="仿宋_GB2312" w:hAnsi="Times New Roman" w:eastAsia="仿宋_GB2312" w:cs="Times New Roman"/>
          <w:sz w:val="32"/>
          <w:szCs w:val="32"/>
        </w:rPr>
        <w:t>行业</w:t>
      </w:r>
      <w:r>
        <w:rPr>
          <w:rFonts w:hint="eastAsia" w:ascii="仿宋_GB2312" w:hAnsi="Times New Roman" w:eastAsia="仿宋_GB2312" w:cs="Times New Roman"/>
          <w:sz w:val="32"/>
          <w:szCs w:val="32"/>
          <w:lang w:eastAsia="zh-Hans"/>
        </w:rPr>
        <w:t>主管部门落实消防安全监管责任</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lang w:eastAsia="zh-Hans"/>
        </w:rPr>
        <w:t>加强新业态</w:t>
      </w:r>
      <w:r>
        <w:rPr>
          <w:rFonts w:hint="eastAsia" w:ascii="仿宋_GB2312" w:hAnsi="Times New Roman" w:eastAsia="仿宋_GB2312" w:cs="Times New Roman"/>
          <w:sz w:val="32"/>
          <w:szCs w:val="32"/>
        </w:rPr>
        <w:t>、新材料、新能源</w:t>
      </w:r>
      <w:r>
        <w:rPr>
          <w:rFonts w:hint="eastAsia" w:ascii="仿宋_GB2312" w:hAnsi="Times New Roman" w:eastAsia="仿宋_GB2312" w:cs="Times New Roman"/>
          <w:sz w:val="32"/>
          <w:szCs w:val="32"/>
          <w:lang w:eastAsia="zh-Hans"/>
        </w:rPr>
        <w:t>火灾风险源管理</w:t>
      </w:r>
      <w:r>
        <w:rPr>
          <w:rFonts w:ascii="仿宋_GB2312" w:hAnsi="Times New Roman" w:eastAsia="仿宋_GB2312" w:cs="Times New Roman"/>
          <w:sz w:val="32"/>
          <w:szCs w:val="32"/>
          <w:lang w:eastAsia="zh-Hans"/>
        </w:rPr>
        <w:t>，</w:t>
      </w:r>
      <w:r>
        <w:rPr>
          <w:rFonts w:hint="eastAsia" w:ascii="仿宋_GB2312" w:hAnsi="Times New Roman" w:eastAsia="仿宋_GB2312" w:cs="Times New Roman"/>
          <w:sz w:val="32"/>
          <w:szCs w:val="32"/>
          <w:lang w:eastAsia="zh-Hans"/>
        </w:rPr>
        <w:t>深化应急处置技战术研究及成果转化落地</w:t>
      </w:r>
      <w:r>
        <w:rPr>
          <w:rFonts w:hint="eastAsia" w:ascii="仿宋_GB2312" w:hAnsi="Times New Roman" w:eastAsia="仿宋_GB2312" w:cs="Times New Roman"/>
          <w:sz w:val="32"/>
          <w:szCs w:val="32"/>
        </w:rPr>
        <w:t>，完善</w:t>
      </w:r>
      <w:r>
        <w:rPr>
          <w:rFonts w:hint="eastAsia" w:ascii="仿宋_GB2312" w:hAnsi="Times New Roman" w:eastAsia="仿宋_GB2312" w:cs="Times New Roman"/>
          <w:sz w:val="32"/>
          <w:szCs w:val="32"/>
          <w:lang w:eastAsia="zh-Hans"/>
        </w:rPr>
        <w:t>火灾风险预估预判机制，降低其引发火灾的风险</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lang w:eastAsia="zh-Hans"/>
        </w:rPr>
        <w:t>提高风险防范及事故处置能力。推动开展电动汽车、电动自行车强制性国家标准宣贯，依法查处违法违规生产、销售新能源汽车、电动自行车以及改装电池行为。推动居住小区落实电动自行车集中管理措施，在居住小区设置电动自行车集中充电、停放场所；整治违规私拉电线、电缆为电动汽车、电动自行车、电动摩托车和电动三轮车等充电行为。</w:t>
      </w:r>
    </w:p>
    <w:p>
      <w:pPr>
        <w:snapToGrid w:val="0"/>
        <w:spacing w:line="600" w:lineRule="exact"/>
        <w:ind w:firstLine="643" w:firstLineChars="200"/>
        <w:rPr>
          <w:rFonts w:ascii="仿宋_GB2312" w:hAnsi="Calibri" w:eastAsia="仿宋_GB2312" w:cs="Times New Roman"/>
          <w:sz w:val="32"/>
          <w:szCs w:val="32"/>
        </w:rPr>
      </w:pPr>
      <w:r>
        <w:rPr>
          <w:rFonts w:hint="eastAsia" w:ascii="楷体" w:hAnsi="楷体" w:eastAsia="楷体" w:cs="楷体"/>
          <w:b/>
          <w:bCs/>
          <w:color w:val="000000"/>
          <w:sz w:val="32"/>
          <w:szCs w:val="32"/>
        </w:rPr>
        <w:t>（八）建立重大活动消防安全保障机制。</w:t>
      </w:r>
      <w:r>
        <w:rPr>
          <w:rFonts w:hint="eastAsia" w:ascii="仿宋_GB2312" w:hAnsi="等线" w:eastAsia="仿宋_GB2312" w:cs="Times New Roman"/>
          <w:color w:val="000000"/>
          <w:sz w:val="32"/>
          <w:szCs w:val="32"/>
        </w:rPr>
        <w:t>建立健全重大活动消防安全保障规程和技术规范</w:t>
      </w:r>
      <w:r>
        <w:rPr>
          <w:rFonts w:hint="eastAsia" w:ascii="仿宋_GB2312" w:hAnsi="Calibri" w:eastAsia="仿宋_GB2312" w:cs="Times New Roman"/>
          <w:sz w:val="32"/>
          <w:szCs w:val="32"/>
        </w:rPr>
        <w:t>，</w:t>
      </w:r>
      <w:r>
        <w:rPr>
          <w:rFonts w:hint="eastAsia" w:ascii="仿宋_GB2312" w:hAnsi="Calibri" w:eastAsia="仿宋_GB2312" w:cs="Times New Roman"/>
          <w:kern w:val="0"/>
          <w:sz w:val="32"/>
          <w:szCs w:val="32"/>
        </w:rPr>
        <w:t>分类分级制定重大活动消防安全保障实施方案和突发事件应急处置预案，科学安排消防安保力量。</w:t>
      </w:r>
      <w:r>
        <w:rPr>
          <w:rFonts w:hint="eastAsia" w:ascii="仿宋_GB2312" w:hAnsi="Calibri" w:eastAsia="仿宋_GB2312" w:cs="Times New Roman"/>
          <w:sz w:val="32"/>
          <w:szCs w:val="32"/>
        </w:rPr>
        <w:t>全力保障2022年冬奥会和冬残奥会等重大活动的消防安全，以数据挖掘、风险评估、可视指挥和图形展现等为切入点，进一步完善重大活动消防安保指挥系统。重大活动举办前开展高火灾风险场所的消防安全专项整治，最大化消除火灾隐患，最大化实施监管手段，实现重大活动期间全区不发生重大火灾的工作追求。</w:t>
      </w:r>
    </w:p>
    <w:p>
      <w:pPr>
        <w:adjustRightInd w:val="0"/>
        <w:snapToGrid w:val="0"/>
        <w:spacing w:line="600" w:lineRule="exact"/>
        <w:ind w:firstLine="643" w:firstLineChars="200"/>
        <w:rPr>
          <w:rFonts w:ascii="仿宋_GB2312" w:hAnsi="仿宋_GB2312" w:eastAsia="仿宋_GB2312" w:cs="仿宋_GB2312"/>
          <w:color w:val="000000"/>
          <w:sz w:val="32"/>
          <w:szCs w:val="32"/>
        </w:rPr>
      </w:pPr>
      <w:r>
        <w:rPr>
          <w:rFonts w:hint="eastAsia" w:ascii="楷体" w:hAnsi="楷体" w:eastAsia="楷体" w:cs="楷体"/>
          <w:b/>
          <w:bCs/>
          <w:color w:val="000000"/>
          <w:sz w:val="32"/>
          <w:szCs w:val="32"/>
        </w:rPr>
        <w:t>（</w:t>
      </w:r>
      <w:r>
        <w:rPr>
          <w:rFonts w:hint="eastAsia" w:ascii="楷体" w:hAnsi="楷体" w:eastAsia="楷体" w:cs="楷体"/>
          <w:b/>
          <w:bCs/>
          <w:color w:val="000000"/>
          <w:sz w:val="32"/>
          <w:szCs w:val="32"/>
          <w:lang w:eastAsia="zh-Hans"/>
        </w:rPr>
        <w:t>九</w:t>
      </w:r>
      <w:r>
        <w:rPr>
          <w:rFonts w:hint="eastAsia" w:ascii="楷体" w:hAnsi="楷体" w:eastAsia="楷体" w:cs="楷体"/>
          <w:b/>
          <w:bCs/>
          <w:color w:val="000000"/>
          <w:sz w:val="32"/>
          <w:szCs w:val="32"/>
        </w:rPr>
        <w:t>）建立火灾延伸调查追究机制。</w:t>
      </w:r>
      <w:r>
        <w:rPr>
          <w:rFonts w:hint="eastAsia" w:ascii="仿宋_GB2312" w:hAnsi="Calibri" w:eastAsia="仿宋_GB2312" w:cs="Times New Roman"/>
          <w:color w:val="000000"/>
          <w:sz w:val="32"/>
          <w:szCs w:val="32"/>
        </w:rPr>
        <w:t>完善</w:t>
      </w:r>
      <w:r>
        <w:rPr>
          <w:rFonts w:hint="eastAsia" w:ascii="Times New Roman" w:hAnsi="Times New Roman" w:eastAsia="仿宋_GB2312" w:cs="Times New Roman"/>
          <w:color w:val="000000"/>
          <w:sz w:val="32"/>
        </w:rPr>
        <w:t>火灾延伸调查追究制度</w:t>
      </w:r>
      <w:r>
        <w:rPr>
          <w:rFonts w:hint="eastAsia" w:ascii="仿宋_GB2312" w:hAnsi="黑体" w:eastAsia="仿宋_GB2312" w:cs="楷体_GB2312"/>
          <w:bCs/>
          <w:color w:val="000000"/>
          <w:sz w:val="32"/>
          <w:szCs w:val="32"/>
        </w:rPr>
        <w:t>，</w:t>
      </w:r>
      <w:r>
        <w:rPr>
          <w:rFonts w:hint="eastAsia" w:ascii="仿宋_GB2312" w:hAnsi="Calibri" w:eastAsia="仿宋_GB2312" w:cs="仿宋_GB2312"/>
          <w:color w:val="000000"/>
          <w:sz w:val="32"/>
          <w:szCs w:val="32"/>
        </w:rPr>
        <w:t>逐起组织调查造成人员死亡和重大社会影响的火灾，组织对工程建设、中介服务、消防产品质量、使用管理等情况开展延伸调查和责任倒查，</w:t>
      </w:r>
      <w:r>
        <w:rPr>
          <w:rFonts w:hint="eastAsia" w:ascii="仿宋_GB2312" w:hAnsi="仿宋_GB2312" w:eastAsia="仿宋_GB2312" w:cs="仿宋_GB2312"/>
          <w:color w:val="000000"/>
          <w:sz w:val="32"/>
          <w:szCs w:val="32"/>
        </w:rPr>
        <w:t>查实有关行业、部门及基层组织等安全监管职责落实情况，严肃追究责任，提出改进意见和措施</w:t>
      </w:r>
      <w:r>
        <w:rPr>
          <w:rFonts w:hint="eastAsia" w:ascii="仿宋_GB2312" w:hAnsi="Calibri" w:eastAsia="仿宋_GB2312" w:cs="仿宋_GB2312"/>
          <w:color w:val="000000"/>
          <w:sz w:val="32"/>
          <w:szCs w:val="32"/>
        </w:rPr>
        <w:t>。</w:t>
      </w:r>
      <w:r>
        <w:rPr>
          <w:rFonts w:hint="eastAsia" w:ascii="仿宋_GB2312" w:hAnsi="仿宋_GB2312" w:eastAsia="仿宋_GB2312" w:cs="仿宋_GB2312"/>
          <w:color w:val="000000"/>
          <w:sz w:val="32"/>
          <w:szCs w:val="32"/>
        </w:rPr>
        <w:t>落实较大及以上火灾事故调查处理信息通报和整改措施落实情况评估制度，向社会公开调查处理和评估情况，强化警示教育。</w:t>
      </w:r>
      <w:r>
        <w:rPr>
          <w:rFonts w:hint="eastAsia" w:ascii="华文仿宋" w:hAnsi="华文仿宋" w:eastAsia="华文仿宋" w:cs="华文仿宋"/>
          <w:sz w:val="32"/>
          <w:szCs w:val="32"/>
        </w:rPr>
        <w:t>凡发生亡人火灾的，将提级调查，向相关行业部门实施定向督办；发生较大以上亡人火灾事故的，追究相关行业部门、街道失职人员责任，对违纪违法问题线索移送纪检监察机关依法查处。</w:t>
      </w:r>
    </w:p>
    <w:p>
      <w:pPr>
        <w:snapToGrid w:val="0"/>
        <w:spacing w:line="600" w:lineRule="exact"/>
        <w:ind w:firstLine="643" w:firstLineChars="200"/>
        <w:rPr>
          <w:rFonts w:ascii="仿宋_GB2312" w:hAnsi="宋体" w:eastAsia="仿宋_GB2312" w:cs="Times New Roman"/>
          <w:b/>
          <w:color w:val="000000"/>
          <w:sz w:val="32"/>
          <w:szCs w:val="32"/>
        </w:rPr>
      </w:pPr>
      <w:r>
        <w:rPr>
          <w:rFonts w:hint="eastAsia" w:ascii="楷体" w:hAnsi="楷体" w:eastAsia="楷体" w:cs="楷体"/>
          <w:b/>
          <w:bCs/>
          <w:color w:val="000000"/>
          <w:sz w:val="32"/>
          <w:szCs w:val="32"/>
        </w:rPr>
        <w:t>（</w:t>
      </w:r>
      <w:r>
        <w:rPr>
          <w:rFonts w:hint="eastAsia" w:ascii="楷体" w:hAnsi="楷体" w:eastAsia="楷体" w:cs="楷体"/>
          <w:b/>
          <w:bCs/>
          <w:color w:val="000000"/>
          <w:sz w:val="32"/>
          <w:szCs w:val="32"/>
          <w:lang w:eastAsia="zh-Hans"/>
        </w:rPr>
        <w:t>十</w:t>
      </w:r>
      <w:r>
        <w:rPr>
          <w:rFonts w:hint="eastAsia" w:ascii="楷体" w:hAnsi="楷体" w:eastAsia="楷体" w:cs="楷体"/>
          <w:b/>
          <w:bCs/>
          <w:color w:val="000000"/>
          <w:sz w:val="32"/>
          <w:szCs w:val="32"/>
        </w:rPr>
        <w:t>）实施全民消防教育培训计划。</w:t>
      </w:r>
      <w:r>
        <w:rPr>
          <w:rFonts w:ascii="仿宋_GB2312" w:hAnsi="Calibri" w:eastAsia="仿宋_GB2312" w:cs="Times New Roman"/>
          <w:sz w:val="32"/>
          <w:szCs w:val="32"/>
        </w:rPr>
        <w:t>开展</w:t>
      </w:r>
      <w:r>
        <w:rPr>
          <w:rFonts w:hint="eastAsia" w:ascii="仿宋_GB2312" w:hAnsi="Calibri" w:eastAsia="仿宋_GB2312" w:cs="Times New Roman"/>
          <w:sz w:val="32"/>
          <w:szCs w:val="32"/>
        </w:rPr>
        <w:t>丰台区</w:t>
      </w:r>
      <w:r>
        <w:rPr>
          <w:rFonts w:ascii="仿宋_GB2312" w:hAnsi="Calibri" w:eastAsia="仿宋_GB2312" w:cs="Times New Roman"/>
          <w:sz w:val="32"/>
          <w:szCs w:val="32"/>
        </w:rPr>
        <w:t>全民消防宣传教育大培训</w:t>
      </w:r>
      <w:r>
        <w:rPr>
          <w:rFonts w:hint="eastAsia" w:ascii="仿宋_GB2312" w:hAnsi="Calibri" w:eastAsia="仿宋_GB2312" w:cs="Times New Roman"/>
          <w:sz w:val="32"/>
          <w:szCs w:val="32"/>
        </w:rPr>
        <w:t>，</w:t>
      </w:r>
      <w:r>
        <w:rPr>
          <w:rFonts w:hint="eastAsia" w:ascii="仿宋_GB2312" w:hAnsi="Times New Roman" w:eastAsia="仿宋_GB2312" w:cs="Times New Roman"/>
          <w:color w:val="000000"/>
          <w:sz w:val="32"/>
          <w:szCs w:val="32"/>
        </w:rPr>
        <w:t>开展消防宣传</w:t>
      </w:r>
      <w:r>
        <w:rPr>
          <w:rFonts w:hint="eastAsia" w:ascii="仿宋_GB2312" w:hAnsi="黑体" w:eastAsia="仿宋_GB2312" w:cs="Times New Roman"/>
          <w:sz w:val="32"/>
          <w:szCs w:val="32"/>
        </w:rPr>
        <w:t>“进企业、进农村、进社区、进学校、进家庭”</w:t>
      </w:r>
      <w:r>
        <w:rPr>
          <w:rFonts w:hint="eastAsia" w:ascii="仿宋_GB2312" w:hAnsi="Times New Roman" w:eastAsia="仿宋_GB2312" w:cs="Times New Roman"/>
          <w:color w:val="000000"/>
          <w:sz w:val="32"/>
          <w:szCs w:val="32"/>
        </w:rPr>
        <w:t>活动</w:t>
      </w:r>
      <w:r>
        <w:rPr>
          <w:rFonts w:hint="eastAsia" w:ascii="仿宋_GB2312" w:hAnsi="楷体_GB2312" w:eastAsia="仿宋_GB2312" w:cs="楷体_GB2312"/>
          <w:color w:val="000000"/>
          <w:sz w:val="32"/>
          <w:szCs w:val="32"/>
        </w:rPr>
        <w:t>，</w:t>
      </w:r>
      <w:r>
        <w:rPr>
          <w:rFonts w:hint="eastAsia" w:ascii="仿宋_GB2312" w:hAnsi="黑体" w:eastAsia="仿宋_GB2312" w:cs="Times New Roman"/>
          <w:sz w:val="32"/>
          <w:szCs w:val="32"/>
        </w:rPr>
        <w:t>根据不同受众和群体提供差异化教育培训</w:t>
      </w:r>
      <w:r>
        <w:rPr>
          <w:rFonts w:hint="eastAsia" w:ascii="仿宋_GB2312" w:hAnsi="楷体_GB2312" w:eastAsia="仿宋_GB2312" w:cs="楷体_GB2312"/>
          <w:color w:val="000000"/>
          <w:sz w:val="32"/>
          <w:szCs w:val="32"/>
        </w:rPr>
        <w:t>。</w:t>
      </w:r>
      <w:r>
        <w:rPr>
          <w:rFonts w:ascii="仿宋_GB2312" w:hAnsi="Calibri" w:eastAsia="仿宋_GB2312" w:cs="Times New Roman"/>
          <w:sz w:val="32"/>
          <w:szCs w:val="32"/>
        </w:rPr>
        <w:t>完善市民防灾教育馆，</w:t>
      </w:r>
      <w:r>
        <w:rPr>
          <w:rFonts w:hint="eastAsia" w:ascii="仿宋_GB2312" w:hAnsi="Calibri" w:eastAsia="仿宋_GB2312" w:cs="Times New Roman"/>
          <w:sz w:val="32"/>
          <w:szCs w:val="32"/>
        </w:rPr>
        <w:t>借用区级公园建设</w:t>
      </w:r>
      <w:r>
        <w:rPr>
          <w:rFonts w:ascii="仿宋_GB2312" w:hAnsi="Calibri" w:eastAsia="仿宋_GB2312" w:cs="Times New Roman"/>
          <w:sz w:val="32"/>
          <w:szCs w:val="32"/>
        </w:rPr>
        <w:t>消防宣传主题公园</w:t>
      </w:r>
      <w:r>
        <w:rPr>
          <w:rFonts w:hint="eastAsia" w:ascii="仿宋_GB2312" w:hAnsi="Calibri" w:eastAsia="仿宋_GB2312" w:cs="Times New Roman"/>
          <w:sz w:val="32"/>
          <w:szCs w:val="32"/>
        </w:rPr>
        <w:t>，</w:t>
      </w:r>
      <w:r>
        <w:rPr>
          <w:rFonts w:ascii="仿宋_GB2312" w:hAnsi="Calibri" w:eastAsia="仿宋_GB2312" w:cs="Times New Roman"/>
          <w:sz w:val="32"/>
          <w:szCs w:val="32"/>
        </w:rPr>
        <w:t>各街镇</w:t>
      </w:r>
      <w:r>
        <w:rPr>
          <w:rFonts w:hint="eastAsia" w:ascii="仿宋_GB2312" w:hAnsi="Calibri" w:eastAsia="仿宋_GB2312" w:cs="Times New Roman"/>
          <w:sz w:val="32"/>
          <w:szCs w:val="32"/>
        </w:rPr>
        <w:t>安排专项资金建设</w:t>
      </w:r>
      <w:r>
        <w:rPr>
          <w:rFonts w:ascii="仿宋_GB2312" w:hAnsi="Calibri" w:eastAsia="仿宋_GB2312" w:cs="Times New Roman"/>
          <w:sz w:val="32"/>
          <w:szCs w:val="32"/>
        </w:rPr>
        <w:t>消防科普教育基地</w:t>
      </w:r>
      <w:r>
        <w:rPr>
          <w:rFonts w:hint="eastAsia" w:ascii="仿宋_GB2312" w:hAnsi="仿宋_GB2312" w:eastAsia="仿宋_GB2312" w:cs="仿宋_GB2312"/>
          <w:sz w:val="32"/>
          <w:szCs w:val="32"/>
        </w:rPr>
        <w:t>。</w:t>
      </w:r>
      <w:r>
        <w:rPr>
          <w:rFonts w:ascii="仿宋_GB2312" w:hAnsi="黑体" w:eastAsia="仿宋_GB2312" w:cs="Times New Roman"/>
          <w:sz w:val="32"/>
          <w:szCs w:val="32"/>
        </w:rPr>
        <w:t>以安全生产月、119消防宣传周等重要时点为抓手，开放消防救援站、开展人员密集场所火灾扑救实战演练、举办大型公益宣传活动，发放群众喜闻乐见的消防宣传资料，全力宣传消防安全知识。</w:t>
      </w:r>
      <w:r>
        <w:rPr>
          <w:rFonts w:ascii="仿宋_GB2312" w:hAnsi="Calibri" w:eastAsia="仿宋_GB2312" w:cs="Times New Roman"/>
          <w:sz w:val="32"/>
          <w:szCs w:val="32"/>
        </w:rPr>
        <w:t>创新和拓展宣传推广平台和渠道</w:t>
      </w:r>
      <w:r>
        <w:rPr>
          <w:rFonts w:hint="eastAsia" w:ascii="仿宋_GB2312" w:hAnsi="Calibri" w:eastAsia="仿宋_GB2312" w:cs="Times New Roman"/>
          <w:sz w:val="32"/>
          <w:szCs w:val="32"/>
        </w:rPr>
        <w:t>，</w:t>
      </w:r>
      <w:r>
        <w:rPr>
          <w:rFonts w:ascii="仿宋_GB2312" w:hAnsi="Calibri" w:eastAsia="仿宋_GB2312" w:cs="Times New Roman"/>
          <w:sz w:val="32"/>
          <w:szCs w:val="32"/>
        </w:rPr>
        <w:t>借助政务微信号、抖音号、微博等信息平台来积极发布消防新闻，增强和消防宣传受众的互动与沟通。推动广播、报刊、互联网、户外大屏等开展消防公益宣传，定期发布防火安全提示。推动消防安全教育纳入文明城市创建、义务教育</w:t>
      </w:r>
      <w:r>
        <w:rPr>
          <w:rFonts w:hint="eastAsia" w:ascii="仿宋_GB2312" w:hAnsi="Calibri" w:eastAsia="仿宋_GB2312" w:cs="Times New Roman"/>
          <w:sz w:val="32"/>
          <w:szCs w:val="32"/>
        </w:rPr>
        <w:t>等</w:t>
      </w:r>
      <w:r>
        <w:rPr>
          <w:rFonts w:ascii="仿宋_GB2312" w:hAnsi="Calibri" w:eastAsia="仿宋_GB2312" w:cs="Times New Roman"/>
          <w:sz w:val="32"/>
          <w:szCs w:val="32"/>
        </w:rPr>
        <w:t>范畴，推动建立</w:t>
      </w:r>
      <w:r>
        <w:rPr>
          <w:rFonts w:hint="eastAsia" w:ascii="仿宋_GB2312" w:hAnsi="Calibri" w:eastAsia="仿宋_GB2312" w:cs="Times New Roman"/>
          <w:sz w:val="32"/>
          <w:szCs w:val="32"/>
        </w:rPr>
        <w:t>与民政等系统</w:t>
      </w:r>
      <w:r>
        <w:rPr>
          <w:rFonts w:ascii="仿宋_GB2312" w:hAnsi="Calibri" w:eastAsia="仿宋_GB2312" w:cs="Times New Roman"/>
          <w:sz w:val="32"/>
          <w:szCs w:val="32"/>
        </w:rPr>
        <w:t>实施行业消防培训机制。</w:t>
      </w:r>
      <w:r>
        <w:rPr>
          <w:rFonts w:hint="eastAsia" w:ascii="仿宋_GB2312" w:hAnsi="仿宋" w:eastAsia="仿宋_GB2312" w:cs="Times New Roman"/>
          <w:color w:val="000000"/>
          <w:sz w:val="32"/>
          <w:szCs w:val="32"/>
        </w:rPr>
        <w:t>支持和推动社会消防安全教育机构建设，</w:t>
      </w:r>
      <w:r>
        <w:rPr>
          <w:rFonts w:ascii="仿宋_GB2312" w:hAnsi="黑体" w:eastAsia="仿宋_GB2312" w:cs="Times New Roman"/>
          <w:sz w:val="32"/>
          <w:szCs w:val="32"/>
        </w:rPr>
        <w:t>开展</w:t>
      </w:r>
      <w:r>
        <w:rPr>
          <w:rFonts w:ascii="仿宋_GB2312" w:hAnsi="Calibri" w:eastAsia="仿宋_GB2312" w:cs="Times New Roman"/>
          <w:sz w:val="32"/>
          <w:szCs w:val="32"/>
        </w:rPr>
        <w:t>“一警六员”消防基本技能实操实训</w:t>
      </w:r>
      <w:r>
        <w:rPr>
          <w:rFonts w:hint="eastAsia" w:ascii="仿宋_GB2312" w:hAnsi="Calibri" w:eastAsia="仿宋_GB2312" w:cs="Times New Roman"/>
          <w:sz w:val="32"/>
          <w:szCs w:val="32"/>
        </w:rPr>
        <w:t>，</w:t>
      </w:r>
      <w:r>
        <w:rPr>
          <w:rFonts w:hint="eastAsia" w:ascii="仿宋_GB2312" w:hAnsi="仿宋" w:eastAsia="仿宋_GB2312" w:cs="Times New Roman"/>
          <w:color w:val="000000"/>
          <w:sz w:val="32"/>
          <w:szCs w:val="32"/>
        </w:rPr>
        <w:t>对</w:t>
      </w:r>
      <w:r>
        <w:rPr>
          <w:rFonts w:hint="eastAsia" w:ascii="仿宋_GB2312" w:hAnsi="仿宋" w:eastAsia="仿宋_GB2312" w:cs="仿宋_GB2312"/>
          <w:color w:val="000000"/>
          <w:sz w:val="32"/>
          <w:szCs w:val="32"/>
        </w:rPr>
        <w:t>单位消防安全责任人和管理人、消防专兼职人员、消防控制室操作人员、保安队伍等进行消防安全培训。</w:t>
      </w:r>
    </w:p>
    <w:p>
      <w:pPr>
        <w:keepNext/>
        <w:keepLines/>
        <w:spacing w:line="600" w:lineRule="exact"/>
        <w:ind w:firstLine="643" w:firstLineChars="200"/>
        <w:jc w:val="left"/>
        <w:outlineLvl w:val="1"/>
        <w:rPr>
          <w:rFonts w:ascii="Arial" w:hAnsi="Arial" w:eastAsia="黑体" w:cs="Times New Roman"/>
          <w:b/>
          <w:sz w:val="32"/>
          <w:szCs w:val="24"/>
        </w:rPr>
      </w:pPr>
      <w:bookmarkStart w:id="21" w:name="_Toc4142"/>
      <w:r>
        <w:rPr>
          <w:rFonts w:hint="eastAsia" w:ascii="Arial" w:hAnsi="Arial" w:eastAsia="黑体" w:cs="Times New Roman"/>
          <w:b/>
          <w:sz w:val="32"/>
          <w:szCs w:val="24"/>
        </w:rPr>
        <w:t>二、健全灾害事故应对处置体系</w:t>
      </w:r>
      <w:bookmarkEnd w:id="21"/>
    </w:p>
    <w:p>
      <w:pPr>
        <w:snapToGrid w:val="0"/>
        <w:spacing w:line="600" w:lineRule="exact"/>
        <w:ind w:firstLine="643" w:firstLineChars="200"/>
        <w:rPr>
          <w:rFonts w:ascii="仿宋_GB2312" w:hAnsi="Times" w:eastAsia="仿宋_GB2312" w:cs="Times New Roman"/>
          <w:sz w:val="32"/>
          <w:szCs w:val="32"/>
          <w:lang w:eastAsia="zh-Hans"/>
        </w:rPr>
      </w:pPr>
      <w:r>
        <w:rPr>
          <w:rFonts w:hint="eastAsia" w:ascii="楷体" w:hAnsi="楷体" w:eastAsia="楷体" w:cs="楷体"/>
          <w:b/>
          <w:bCs/>
          <w:color w:val="000000"/>
          <w:sz w:val="32"/>
          <w:szCs w:val="32"/>
        </w:rPr>
        <w:t>（一）完善消防救援指挥体系。</w:t>
      </w:r>
      <w:r>
        <w:rPr>
          <w:rFonts w:hint="eastAsia" w:ascii="仿宋_GB2312" w:hAnsi="Times" w:eastAsia="仿宋_GB2312" w:cs="Times New Roman"/>
          <w:sz w:val="32"/>
          <w:szCs w:val="32"/>
        </w:rPr>
        <w:t>按照“快速响应、机动高效、平战结合、专常兼备”原则，</w:t>
      </w:r>
      <w:r>
        <w:rPr>
          <w:rFonts w:hint="eastAsia" w:ascii="仿宋_GB2312" w:hAnsi="Times" w:eastAsia="仿宋_GB2312" w:cs="Times New Roman"/>
          <w:sz w:val="32"/>
          <w:szCs w:val="32"/>
          <w:lang w:eastAsia="zh-Hans"/>
        </w:rPr>
        <w:t>优化全勤指挥部值守</w:t>
      </w:r>
      <w:r>
        <w:rPr>
          <w:rFonts w:ascii="仿宋_GB2312" w:hAnsi="Times" w:eastAsia="仿宋_GB2312" w:cs="Times New Roman"/>
          <w:sz w:val="32"/>
          <w:szCs w:val="32"/>
          <w:lang w:eastAsia="zh-Hans"/>
        </w:rPr>
        <w:t>、</w:t>
      </w:r>
      <w:r>
        <w:rPr>
          <w:rFonts w:hint="eastAsia" w:ascii="仿宋_GB2312" w:hAnsi="Times" w:eastAsia="仿宋_GB2312" w:cs="Times New Roman"/>
          <w:sz w:val="32"/>
          <w:szCs w:val="32"/>
          <w:lang w:eastAsia="zh-Hans"/>
        </w:rPr>
        <w:t>出动</w:t>
      </w:r>
      <w:r>
        <w:rPr>
          <w:rFonts w:ascii="仿宋_GB2312" w:hAnsi="Times" w:eastAsia="仿宋_GB2312" w:cs="Times New Roman"/>
          <w:sz w:val="32"/>
          <w:szCs w:val="32"/>
          <w:lang w:eastAsia="zh-Hans"/>
        </w:rPr>
        <w:t>、</w:t>
      </w:r>
      <w:r>
        <w:rPr>
          <w:rFonts w:hint="eastAsia" w:ascii="仿宋_GB2312" w:hAnsi="Times" w:eastAsia="仿宋_GB2312" w:cs="Times New Roman"/>
          <w:sz w:val="32"/>
          <w:szCs w:val="32"/>
          <w:lang w:eastAsia="zh-Hans"/>
        </w:rPr>
        <w:t>指挥机制</w:t>
      </w:r>
      <w:r>
        <w:rPr>
          <w:rFonts w:ascii="仿宋_GB2312" w:hAnsi="Times" w:eastAsia="仿宋_GB2312" w:cs="Times New Roman"/>
          <w:sz w:val="32"/>
          <w:szCs w:val="32"/>
          <w:lang w:eastAsia="zh-Hans"/>
        </w:rPr>
        <w:t>，</w:t>
      </w:r>
      <w:r>
        <w:rPr>
          <w:rFonts w:hint="eastAsia" w:ascii="仿宋_GB2312" w:hAnsi="Times" w:eastAsia="仿宋_GB2312" w:cs="Times New Roman"/>
          <w:sz w:val="32"/>
          <w:szCs w:val="32"/>
          <w:lang w:eastAsia="zh-Hans"/>
        </w:rPr>
        <w:t>落实人员</w:t>
      </w:r>
      <w:r>
        <w:rPr>
          <w:rFonts w:ascii="仿宋_GB2312" w:hAnsi="Times" w:eastAsia="仿宋_GB2312" w:cs="Times New Roman"/>
          <w:sz w:val="32"/>
          <w:szCs w:val="32"/>
          <w:lang w:eastAsia="zh-Hans"/>
        </w:rPr>
        <w:t>、</w:t>
      </w:r>
      <w:r>
        <w:rPr>
          <w:rFonts w:hint="eastAsia" w:ascii="仿宋_GB2312" w:hAnsi="Times" w:eastAsia="仿宋_GB2312" w:cs="Times New Roman"/>
          <w:sz w:val="32"/>
          <w:szCs w:val="32"/>
          <w:lang w:eastAsia="zh-Hans"/>
        </w:rPr>
        <w:t>车辆</w:t>
      </w:r>
      <w:r>
        <w:rPr>
          <w:rFonts w:ascii="仿宋_GB2312" w:hAnsi="Times" w:eastAsia="仿宋_GB2312" w:cs="Times New Roman"/>
          <w:sz w:val="32"/>
          <w:szCs w:val="32"/>
          <w:lang w:eastAsia="zh-Hans"/>
        </w:rPr>
        <w:t>、</w:t>
      </w:r>
      <w:r>
        <w:rPr>
          <w:rFonts w:hint="eastAsia" w:ascii="仿宋_GB2312" w:hAnsi="Times" w:eastAsia="仿宋_GB2312" w:cs="Times New Roman"/>
          <w:sz w:val="32"/>
          <w:szCs w:val="32"/>
          <w:lang w:eastAsia="zh-Hans"/>
        </w:rPr>
        <w:t>装备</w:t>
      </w:r>
      <w:r>
        <w:rPr>
          <w:rFonts w:ascii="仿宋_GB2312" w:hAnsi="Times" w:eastAsia="仿宋_GB2312" w:cs="Times New Roman"/>
          <w:sz w:val="32"/>
          <w:szCs w:val="32"/>
          <w:lang w:eastAsia="zh-Hans"/>
        </w:rPr>
        <w:t>、</w:t>
      </w:r>
      <w:r>
        <w:rPr>
          <w:rFonts w:hint="eastAsia" w:ascii="仿宋_GB2312" w:hAnsi="Times" w:eastAsia="仿宋_GB2312" w:cs="Times New Roman"/>
          <w:sz w:val="32"/>
          <w:szCs w:val="32"/>
          <w:lang w:eastAsia="zh-Hans"/>
        </w:rPr>
        <w:t>器材保障</w:t>
      </w:r>
      <w:r>
        <w:rPr>
          <w:rFonts w:ascii="仿宋_GB2312" w:hAnsi="Times" w:eastAsia="仿宋_GB2312" w:cs="Times New Roman"/>
          <w:sz w:val="32"/>
          <w:szCs w:val="32"/>
          <w:lang w:eastAsia="zh-Hans"/>
        </w:rPr>
        <w:t>，</w:t>
      </w:r>
      <w:r>
        <w:rPr>
          <w:rFonts w:hint="eastAsia" w:ascii="仿宋_GB2312" w:hAnsi="Times" w:eastAsia="仿宋_GB2312" w:cs="Times New Roman"/>
          <w:sz w:val="32"/>
          <w:szCs w:val="32"/>
          <w:lang w:eastAsia="zh-Hans"/>
        </w:rPr>
        <w:t>依托科研院所</w:t>
      </w:r>
      <w:r>
        <w:rPr>
          <w:rFonts w:ascii="仿宋_GB2312" w:hAnsi="Times" w:eastAsia="仿宋_GB2312" w:cs="Times New Roman"/>
          <w:sz w:val="32"/>
          <w:szCs w:val="32"/>
          <w:lang w:eastAsia="zh-Hans"/>
        </w:rPr>
        <w:t>、</w:t>
      </w:r>
      <w:r>
        <w:rPr>
          <w:rFonts w:hint="eastAsia" w:ascii="仿宋_GB2312" w:hAnsi="Times" w:eastAsia="仿宋_GB2312" w:cs="Times New Roman"/>
          <w:sz w:val="32"/>
          <w:szCs w:val="32"/>
          <w:lang w:eastAsia="zh-Hans"/>
        </w:rPr>
        <w:t>大专学校</w:t>
      </w:r>
      <w:r>
        <w:rPr>
          <w:rFonts w:ascii="仿宋_GB2312" w:hAnsi="Times" w:eastAsia="仿宋_GB2312" w:cs="Times New Roman"/>
          <w:sz w:val="32"/>
          <w:szCs w:val="32"/>
          <w:lang w:eastAsia="zh-Hans"/>
        </w:rPr>
        <w:t>、</w:t>
      </w:r>
      <w:r>
        <w:rPr>
          <w:rFonts w:hint="eastAsia" w:ascii="仿宋_GB2312" w:hAnsi="Times" w:eastAsia="仿宋_GB2312" w:cs="Times New Roman"/>
          <w:sz w:val="32"/>
          <w:szCs w:val="32"/>
          <w:lang w:eastAsia="zh-Hans"/>
        </w:rPr>
        <w:t>消防技术服务机构建立灭火救援辅助决策专家库</w:t>
      </w:r>
      <w:r>
        <w:rPr>
          <w:rFonts w:ascii="仿宋_GB2312" w:hAnsi="Times" w:eastAsia="仿宋_GB2312" w:cs="Times New Roman"/>
          <w:sz w:val="32"/>
          <w:szCs w:val="32"/>
          <w:lang w:eastAsia="zh-Hans"/>
        </w:rPr>
        <w:t>，</w:t>
      </w:r>
      <w:r>
        <w:rPr>
          <w:rFonts w:hint="eastAsia" w:ascii="仿宋_GB2312" w:hAnsi="Times" w:eastAsia="仿宋_GB2312" w:cs="Times New Roman"/>
          <w:sz w:val="32"/>
          <w:szCs w:val="32"/>
          <w:lang w:eastAsia="zh-Hans"/>
        </w:rPr>
        <w:t>出台专家库管理办法</w:t>
      </w:r>
      <w:r>
        <w:rPr>
          <w:rFonts w:ascii="仿宋_GB2312" w:hAnsi="Times" w:eastAsia="仿宋_GB2312" w:cs="Times New Roman"/>
          <w:sz w:val="32"/>
          <w:szCs w:val="32"/>
          <w:lang w:eastAsia="zh-Hans"/>
        </w:rPr>
        <w:t>，</w:t>
      </w:r>
      <w:r>
        <w:rPr>
          <w:rFonts w:hint="eastAsia" w:ascii="仿宋_GB2312" w:hAnsi="Times" w:eastAsia="仿宋_GB2312" w:cs="Times New Roman"/>
          <w:sz w:val="32"/>
          <w:szCs w:val="32"/>
          <w:lang w:eastAsia="zh-Hans"/>
        </w:rPr>
        <w:t>有效提升全勤指挥部灭火救援指挥能力</w:t>
      </w:r>
      <w:r>
        <w:rPr>
          <w:rFonts w:ascii="仿宋_GB2312" w:hAnsi="Times" w:eastAsia="仿宋_GB2312" w:cs="Times New Roman"/>
          <w:sz w:val="32"/>
          <w:szCs w:val="32"/>
          <w:lang w:eastAsia="zh-Hans"/>
        </w:rPr>
        <w:t>。</w:t>
      </w:r>
      <w:r>
        <w:rPr>
          <w:rFonts w:hint="eastAsia" w:ascii="仿宋_GB2312" w:hAnsi="Times" w:eastAsia="仿宋_GB2312" w:cs="Times New Roman"/>
          <w:sz w:val="32"/>
          <w:szCs w:val="32"/>
          <w:lang w:eastAsia="zh-Hans"/>
        </w:rPr>
        <w:t>依托物联网</w:t>
      </w:r>
      <w:r>
        <w:rPr>
          <w:rFonts w:ascii="仿宋_GB2312" w:hAnsi="Times" w:eastAsia="仿宋_GB2312" w:cs="Times New Roman"/>
          <w:sz w:val="32"/>
          <w:szCs w:val="32"/>
          <w:lang w:eastAsia="zh-Hans"/>
        </w:rPr>
        <w:t>、5</w:t>
      </w:r>
      <w:r>
        <w:rPr>
          <w:rFonts w:hint="eastAsia" w:ascii="仿宋_GB2312" w:hAnsi="Times" w:eastAsia="仿宋_GB2312" w:cs="Times New Roman"/>
          <w:sz w:val="32"/>
          <w:szCs w:val="32"/>
          <w:lang w:eastAsia="zh-Hans"/>
        </w:rPr>
        <w:t>G应用技术，建立支队指挥中心与区政府、应急管理局、公安分局、交通支队、街镇政府信息沟通渠道，加强灭火救援综合协调、秩序维护、畅通道路、属地支撑等保障措施，全面提升灭火救援效能。建立消防救援中队对街镇政府专职消防队指挥调度机制，发挥政府专职消防队属地特点，提升火灾扑救的及时性和有效性</w:t>
      </w:r>
      <w:r>
        <w:rPr>
          <w:rFonts w:ascii="仿宋_GB2312" w:hAnsi="Times" w:eastAsia="仿宋_GB2312" w:cs="Times New Roman"/>
          <w:sz w:val="32"/>
          <w:szCs w:val="32"/>
          <w:lang w:eastAsia="zh-Hans"/>
        </w:rPr>
        <w:t>，</w:t>
      </w:r>
      <w:r>
        <w:rPr>
          <w:rFonts w:hint="eastAsia" w:ascii="仿宋_GB2312" w:hAnsi="Times" w:eastAsia="仿宋_GB2312" w:cs="Times New Roman"/>
          <w:sz w:val="32"/>
          <w:szCs w:val="32"/>
          <w:lang w:eastAsia="zh-Hans"/>
        </w:rPr>
        <w:t>同时建立政府专职消防队灭火救援损耗补偿机制</w:t>
      </w:r>
      <w:r>
        <w:rPr>
          <w:rFonts w:ascii="仿宋_GB2312" w:hAnsi="Times" w:eastAsia="仿宋_GB2312" w:cs="Times New Roman"/>
          <w:sz w:val="32"/>
          <w:szCs w:val="32"/>
          <w:lang w:eastAsia="zh-Hans"/>
        </w:rPr>
        <w:t>，</w:t>
      </w:r>
      <w:r>
        <w:rPr>
          <w:rFonts w:hint="eastAsia" w:ascii="仿宋_GB2312" w:hAnsi="Times" w:eastAsia="仿宋_GB2312" w:cs="Times New Roman"/>
          <w:sz w:val="32"/>
          <w:szCs w:val="32"/>
          <w:lang w:eastAsia="zh-Hans"/>
        </w:rPr>
        <w:t>及时补充灭火药剂</w:t>
      </w:r>
      <w:r>
        <w:rPr>
          <w:rFonts w:ascii="仿宋_GB2312" w:hAnsi="Times" w:eastAsia="仿宋_GB2312" w:cs="Times New Roman"/>
          <w:sz w:val="32"/>
          <w:szCs w:val="32"/>
          <w:lang w:eastAsia="zh-Hans"/>
        </w:rPr>
        <w:t>、</w:t>
      </w:r>
      <w:r>
        <w:rPr>
          <w:rFonts w:hint="eastAsia" w:ascii="仿宋_GB2312" w:hAnsi="Times" w:eastAsia="仿宋_GB2312" w:cs="Times New Roman"/>
          <w:sz w:val="32"/>
          <w:szCs w:val="32"/>
          <w:lang w:eastAsia="zh-Hans"/>
        </w:rPr>
        <w:t>油料等灭火救援过程中的消耗物品</w:t>
      </w:r>
      <w:r>
        <w:rPr>
          <w:rFonts w:ascii="仿宋_GB2312" w:hAnsi="Times" w:eastAsia="仿宋_GB2312" w:cs="Times New Roman"/>
          <w:sz w:val="32"/>
          <w:szCs w:val="32"/>
          <w:lang w:eastAsia="zh-Hans"/>
        </w:rPr>
        <w:t>。</w:t>
      </w:r>
    </w:p>
    <w:p>
      <w:pPr>
        <w:snapToGrid w:val="0"/>
        <w:spacing w:line="600" w:lineRule="exact"/>
        <w:ind w:firstLine="643" w:firstLineChars="200"/>
        <w:rPr>
          <w:rFonts w:ascii="仿宋_GB2312" w:hAnsi="Times" w:eastAsia="仿宋_GB2312" w:cs="Times New Roman"/>
          <w:sz w:val="32"/>
          <w:szCs w:val="32"/>
          <w:lang w:eastAsia="zh-Hans"/>
        </w:rPr>
      </w:pPr>
      <w:r>
        <w:rPr>
          <w:rFonts w:hint="eastAsia" w:ascii="楷体" w:hAnsi="楷体" w:eastAsia="楷体" w:cs="楷体"/>
          <w:b/>
          <w:bCs/>
          <w:color w:val="000000"/>
          <w:sz w:val="32"/>
          <w:szCs w:val="32"/>
          <w:lang w:eastAsia="zh-Hans"/>
        </w:rPr>
        <w:t>（二）完善类型灭火救援预案。</w:t>
      </w:r>
      <w:r>
        <w:rPr>
          <w:rFonts w:ascii="仿宋_GB2312" w:hAnsi="Times" w:eastAsia="仿宋_GB2312" w:cs="Times New Roman"/>
          <w:sz w:val="32"/>
          <w:szCs w:val="32"/>
          <w:lang w:eastAsia="zh-Hans"/>
        </w:rPr>
        <w:t>充分应用FDS人员疏散模型、BIM技术等空间建模技术，在全面深入调研的基础上，立足实践，以快速、有效、安全实施火灾扑救和抢险救援为主线，编制针对高层、地下、综合交通枢纽、大型商业综合体、大跨度厂库房、轨道交通车站、城镇结合部人员聚集区等各重要类型的数字化灭火救援预案，并逐一开展实战演练，不断提升处置各类型火灾事故的综合能力。</w:t>
      </w:r>
    </w:p>
    <w:p>
      <w:pPr>
        <w:snapToGrid w:val="0"/>
        <w:spacing w:line="600" w:lineRule="exact"/>
        <w:ind w:firstLine="643" w:firstLineChars="200"/>
        <w:rPr>
          <w:rFonts w:ascii="仿宋_GB2312" w:hAnsi="Times New Roman" w:eastAsia="仿宋_GB2312" w:cs="Times New Roman"/>
          <w:sz w:val="32"/>
          <w:szCs w:val="40"/>
        </w:rPr>
      </w:pPr>
      <w:r>
        <w:rPr>
          <w:rFonts w:hint="eastAsia" w:ascii="楷体" w:hAnsi="楷体" w:eastAsia="楷体" w:cs="楷体"/>
          <w:b/>
          <w:bCs/>
          <w:color w:val="000000"/>
          <w:sz w:val="32"/>
          <w:szCs w:val="32"/>
          <w:lang w:eastAsia="zh-Hans"/>
        </w:rPr>
        <w:t>（</w:t>
      </w:r>
      <w:r>
        <w:rPr>
          <w:rFonts w:hint="eastAsia" w:ascii="楷体" w:hAnsi="楷体" w:eastAsia="楷体" w:cs="楷体"/>
          <w:b/>
          <w:bCs/>
          <w:color w:val="000000"/>
          <w:sz w:val="32"/>
          <w:szCs w:val="32"/>
        </w:rPr>
        <w:t>三</w:t>
      </w:r>
      <w:r>
        <w:rPr>
          <w:rFonts w:hint="eastAsia" w:ascii="楷体" w:hAnsi="楷体" w:eastAsia="楷体" w:cs="楷体"/>
          <w:b/>
          <w:bCs/>
          <w:color w:val="000000"/>
          <w:sz w:val="32"/>
          <w:szCs w:val="32"/>
          <w:lang w:eastAsia="zh-Hans"/>
        </w:rPr>
        <w:t>）提升特种灾害综合救援能力。</w:t>
      </w:r>
      <w:r>
        <w:rPr>
          <w:rFonts w:hint="eastAsia" w:ascii="仿宋_GB2312" w:hAnsi="Times New Roman" w:eastAsia="仿宋_GB2312" w:cs="Times New Roman"/>
          <w:snapToGrid w:val="0"/>
          <w:kern w:val="0"/>
          <w:sz w:val="32"/>
          <w:szCs w:val="32"/>
        </w:rPr>
        <w:t>落实“两严两准”要求，打造“规范立队”工程，加强队伍规范化、标准化建设。立足区域灾害特点，深化高层、地下和供水灭火救援专业队和水域、地震抢险救援专业队建设，探索建立高空山岳和抗洪抢险救援、有限空间、应急通讯保障分队等专业队建设</w:t>
      </w:r>
      <w:r>
        <w:rPr>
          <w:rFonts w:hint="eastAsia" w:ascii="仿宋_GB2312" w:hAnsi="Times New Roman" w:eastAsia="仿宋_GB2312" w:cs="Times New Roman"/>
          <w:sz w:val="32"/>
          <w:szCs w:val="40"/>
        </w:rPr>
        <w:t>；完善专业队训练教学体系和人才队伍梯次培养体系，扩宽训练模式；根据灾情类别，制定、修订应急救援预案。</w:t>
      </w:r>
      <w:r>
        <w:rPr>
          <w:rFonts w:hint="eastAsia" w:ascii="仿宋_GB2312" w:hAnsi="Times New Roman" w:eastAsia="仿宋_GB2312" w:cs="Times New Roman"/>
          <w:sz w:val="32"/>
          <w:szCs w:val="32"/>
        </w:rPr>
        <w:t>整合政府应急联动部门信息资源，建立应急救援信息共享、救援队伍跨区域投送保障和专业能力交流委培机制，推动与政府直属专业队伍、培训机构等</w:t>
      </w:r>
      <w:r>
        <w:rPr>
          <w:rFonts w:hint="eastAsia" w:ascii="仿宋_GB2312" w:hAnsi="Times New Roman" w:eastAsia="仿宋_GB2312" w:cs="Times New Roman"/>
          <w:sz w:val="32"/>
          <w:szCs w:val="40"/>
        </w:rPr>
        <w:t>建立交流委培机制。</w:t>
      </w:r>
      <w:r>
        <w:rPr>
          <w:rFonts w:hint="eastAsia" w:ascii="仿宋_GB2312" w:hAnsi="Times New Roman" w:eastAsia="仿宋_GB2312" w:cs="Times New Roman"/>
          <w:bCs/>
          <w:sz w:val="32"/>
          <w:szCs w:val="40"/>
        </w:rPr>
        <w:t>与社会救援力量全领域合作，</w:t>
      </w:r>
      <w:r>
        <w:rPr>
          <w:rFonts w:hint="eastAsia" w:ascii="仿宋_GB2312" w:hAnsi="Times New Roman" w:eastAsia="仿宋_GB2312" w:cs="Times New Roman"/>
          <w:sz w:val="32"/>
          <w:szCs w:val="40"/>
        </w:rPr>
        <w:t>与民间救援队及志愿者队伍建立联勤联动、联防联控、会商制度、常态化技术交流机制，开展联合比武竞赛。</w:t>
      </w:r>
    </w:p>
    <w:p>
      <w:pPr>
        <w:snapToGrid w:val="0"/>
        <w:spacing w:line="600" w:lineRule="exact"/>
        <w:ind w:firstLine="643" w:firstLineChars="200"/>
        <w:rPr>
          <w:rFonts w:ascii="仿宋_GB2312" w:hAnsi="Times New Roman" w:eastAsia="仿宋_GB2312" w:cs="仿宋_GB2312"/>
          <w:color w:val="000000"/>
          <w:sz w:val="32"/>
          <w:szCs w:val="32"/>
        </w:rPr>
      </w:pPr>
      <w:r>
        <w:rPr>
          <w:rFonts w:hint="eastAsia" w:ascii="楷体" w:hAnsi="楷体" w:eastAsia="楷体" w:cs="楷体"/>
          <w:b/>
          <w:bCs/>
          <w:color w:val="000000"/>
          <w:sz w:val="32"/>
          <w:szCs w:val="32"/>
          <w:lang w:eastAsia="zh-Hans"/>
        </w:rPr>
        <w:t>（</w:t>
      </w:r>
      <w:r>
        <w:rPr>
          <w:rFonts w:hint="eastAsia" w:ascii="楷体" w:hAnsi="楷体" w:eastAsia="楷体" w:cs="楷体"/>
          <w:b/>
          <w:bCs/>
          <w:color w:val="000000"/>
          <w:sz w:val="32"/>
          <w:szCs w:val="32"/>
        </w:rPr>
        <w:t>四</w:t>
      </w:r>
      <w:r>
        <w:rPr>
          <w:rFonts w:hint="eastAsia" w:ascii="楷体" w:hAnsi="楷体" w:eastAsia="楷体" w:cs="楷体"/>
          <w:b/>
          <w:bCs/>
          <w:color w:val="000000"/>
          <w:sz w:val="32"/>
          <w:szCs w:val="32"/>
          <w:lang w:eastAsia="zh-Hans"/>
        </w:rPr>
        <w:t>）加强多种形式消防队伍建设。</w:t>
      </w:r>
      <w:r>
        <w:rPr>
          <w:rFonts w:hint="eastAsia" w:ascii="仿宋_GB2312" w:hAnsi="仿宋" w:eastAsia="仿宋_GB2312" w:cs="楷体_GB2312"/>
          <w:color w:val="000000"/>
          <w:sz w:val="32"/>
          <w:szCs w:val="32"/>
        </w:rPr>
        <w:t>落实市政府</w:t>
      </w:r>
      <w:r>
        <w:rPr>
          <w:rFonts w:hint="eastAsia" w:ascii="仿宋_GB2312" w:hAnsi="仿宋" w:eastAsia="仿宋_GB2312" w:cs="仿宋_GB2312"/>
          <w:color w:val="000000"/>
          <w:sz w:val="32"/>
          <w:szCs w:val="32"/>
        </w:rPr>
        <w:t>《关于加强多种形式消防队伍建设发展的意见》</w:t>
      </w:r>
      <w:r>
        <w:rPr>
          <w:rFonts w:hint="eastAsia" w:ascii="仿宋_GB2312" w:hAnsi="仿宋" w:eastAsia="仿宋_GB2312" w:cs="仿宋"/>
          <w:color w:val="000000"/>
          <w:sz w:val="32"/>
          <w:szCs w:val="32"/>
        </w:rPr>
        <w:t>，</w:t>
      </w:r>
      <w:r>
        <w:rPr>
          <w:rFonts w:hint="eastAsia" w:ascii="仿宋_GB2312" w:hAnsi="仿宋" w:eastAsia="仿宋_GB2312" w:cs="楷体_GB2312"/>
          <w:color w:val="000000"/>
          <w:sz w:val="32"/>
          <w:szCs w:val="32"/>
        </w:rPr>
        <w:t>继续加大区级政府专职消防员招录力度，</w:t>
      </w:r>
      <w:r>
        <w:rPr>
          <w:rFonts w:hint="eastAsia" w:ascii="仿宋_GB2312" w:hAnsi="Calibri" w:eastAsia="仿宋_GB2312" w:cs="仿宋_GB2312"/>
          <w:color w:val="000000"/>
          <w:sz w:val="32"/>
          <w:szCs w:val="32"/>
        </w:rPr>
        <w:t>按标准</w:t>
      </w:r>
      <w:r>
        <w:rPr>
          <w:rFonts w:hint="eastAsia" w:ascii="仿宋_GB2312" w:hAnsi="仿宋" w:eastAsia="仿宋_GB2312" w:cs="仿宋"/>
          <w:color w:val="000000"/>
          <w:sz w:val="32"/>
          <w:szCs w:val="32"/>
        </w:rPr>
        <w:t>为全区消防救援站配齐政府专职消防员，力争“十四五”时期专职消防员达到800人</w:t>
      </w:r>
      <w:r>
        <w:rPr>
          <w:rFonts w:hint="eastAsia" w:ascii="仿宋_GB2312" w:hAnsi="Calibri" w:eastAsia="仿宋_GB2312" w:cs="仿宋_GB2312"/>
          <w:color w:val="000000"/>
          <w:sz w:val="32"/>
          <w:szCs w:val="32"/>
        </w:rPr>
        <w:t>。</w:t>
      </w:r>
      <w:r>
        <w:rPr>
          <w:rFonts w:hint="eastAsia" w:ascii="仿宋_GB2312" w:hAnsi="仿宋" w:eastAsia="仿宋_GB2312" w:cs="楷体_GB2312"/>
          <w:color w:val="000000"/>
          <w:sz w:val="32"/>
          <w:szCs w:val="32"/>
        </w:rPr>
        <w:t>完善专职消防员日常管理、执勤训练、待遇保障等制度，与国家综合性消防救援队伍一体化管理、一体化训练、一体化作战、一体化保障。</w:t>
      </w:r>
      <w:r>
        <w:rPr>
          <w:rFonts w:hint="eastAsia" w:ascii="仿宋_GB2312" w:hAnsi="仿宋" w:eastAsia="仿宋_GB2312" w:cs="仿宋"/>
          <w:color w:val="000000"/>
          <w:sz w:val="32"/>
          <w:szCs w:val="32"/>
        </w:rPr>
        <w:t>继续推动街镇建立政府专职消防队，推动生产储存易燃易爆危险品的大型企业、重点文物保护单位等建设</w:t>
      </w:r>
      <w:r>
        <w:rPr>
          <w:rFonts w:hint="eastAsia" w:ascii="仿宋_GB2312" w:hAnsi="仿宋" w:eastAsia="仿宋_GB2312" w:cs="仿宋"/>
          <w:color w:val="000000"/>
          <w:sz w:val="32"/>
          <w:szCs w:val="32"/>
          <w:lang w:eastAsia="zh-Hans"/>
        </w:rPr>
        <w:t>企业</w:t>
      </w:r>
      <w:r>
        <w:rPr>
          <w:rFonts w:hint="eastAsia" w:ascii="仿宋_GB2312" w:hAnsi="仿宋" w:eastAsia="仿宋_GB2312" w:cs="仿宋"/>
          <w:color w:val="000000"/>
          <w:sz w:val="32"/>
          <w:szCs w:val="32"/>
        </w:rPr>
        <w:t>专职消防队。</w:t>
      </w:r>
      <w:r>
        <w:rPr>
          <w:rFonts w:hint="eastAsia" w:ascii="仿宋_GB2312" w:hAnsi="Times New Roman" w:eastAsia="仿宋_GB2312" w:cs="仿宋_GB2312"/>
          <w:color w:val="000000"/>
          <w:sz w:val="32"/>
          <w:szCs w:val="24"/>
        </w:rPr>
        <w:t>加强</w:t>
      </w:r>
      <w:r>
        <w:rPr>
          <w:rFonts w:hint="eastAsia" w:ascii="仿宋_GB2312" w:hAnsi="宋体" w:eastAsia="仿宋_GB2312" w:cs="仿宋_GB2312"/>
          <w:color w:val="000000"/>
          <w:sz w:val="32"/>
          <w:szCs w:val="32"/>
        </w:rPr>
        <w:t>对企业专职消防队、志愿消防队、微型消防站的业务指导和培训，</w:t>
      </w:r>
      <w:r>
        <w:rPr>
          <w:rFonts w:hint="eastAsia" w:ascii="仿宋_GB2312" w:hAnsi="Times New Roman" w:eastAsia="仿宋_GB2312" w:cs="Times New Roman"/>
          <w:color w:val="000000"/>
          <w:sz w:val="32"/>
          <w:szCs w:val="32"/>
        </w:rPr>
        <w:t>定期组织多种形式消防队伍业务竞赛和考核评比，</w:t>
      </w:r>
      <w:r>
        <w:rPr>
          <w:rFonts w:hint="eastAsia" w:ascii="仿宋_GB2312" w:hAnsi="宋体" w:eastAsia="仿宋_GB2312" w:cs="仿宋_GB2312"/>
          <w:color w:val="000000"/>
          <w:sz w:val="32"/>
          <w:szCs w:val="32"/>
        </w:rPr>
        <w:t>不断提高多种形式消防力量战斗力</w:t>
      </w:r>
      <w:r>
        <w:rPr>
          <w:rFonts w:hint="eastAsia" w:ascii="仿宋_GB2312" w:hAnsi="Times New Roman" w:eastAsia="仿宋_GB2312" w:cs="仿宋_GB2312"/>
          <w:color w:val="000000"/>
          <w:sz w:val="32"/>
          <w:szCs w:val="32"/>
        </w:rPr>
        <w:t>。将镇政府和企业专职消防队伍、微型消防站纳入区消防救援指挥调度体系，统一调度、综合使用。鼓励社会志愿力量与消防救援部门建立联勤、联训、联调、联战“四联”机制，切实做到“打早、灭小”。</w:t>
      </w:r>
    </w:p>
    <w:p>
      <w:pPr>
        <w:snapToGrid w:val="0"/>
        <w:spacing w:line="600" w:lineRule="exact"/>
        <w:ind w:firstLine="643" w:firstLineChars="200"/>
        <w:jc w:val="left"/>
        <w:rPr>
          <w:rFonts w:ascii="仿宋_GB2312" w:hAnsi="宋体" w:eastAsia="仿宋_GB2312" w:cs="宋体"/>
          <w:sz w:val="32"/>
          <w:szCs w:val="32"/>
        </w:rPr>
      </w:pPr>
      <w:r>
        <w:rPr>
          <w:rFonts w:hint="eastAsia" w:ascii="楷体" w:hAnsi="楷体" w:eastAsia="楷体" w:cs="楷体"/>
          <w:b/>
          <w:bCs/>
          <w:color w:val="000000"/>
          <w:sz w:val="32"/>
          <w:szCs w:val="32"/>
          <w:lang w:eastAsia="zh-Hans"/>
        </w:rPr>
        <w:t>（</w:t>
      </w:r>
      <w:r>
        <w:rPr>
          <w:rFonts w:hint="eastAsia" w:ascii="楷体" w:hAnsi="楷体" w:eastAsia="楷体" w:cs="楷体"/>
          <w:b/>
          <w:bCs/>
          <w:color w:val="000000"/>
          <w:sz w:val="32"/>
          <w:szCs w:val="32"/>
        </w:rPr>
        <w:t>五</w:t>
      </w:r>
      <w:r>
        <w:rPr>
          <w:rFonts w:hint="eastAsia" w:ascii="楷体" w:hAnsi="楷体" w:eastAsia="楷体" w:cs="楷体"/>
          <w:b/>
          <w:bCs/>
          <w:color w:val="000000"/>
          <w:sz w:val="32"/>
          <w:szCs w:val="32"/>
          <w:lang w:eastAsia="zh-Hans"/>
        </w:rPr>
        <w:t>）构建区域特色消防员训练体系。</w:t>
      </w:r>
      <w:r>
        <w:rPr>
          <w:rFonts w:hint="eastAsia" w:ascii="仿宋_GB2312" w:hAnsi="仿宋_GB2312" w:eastAsia="仿宋_GB2312" w:cs="仿宋_GB2312"/>
          <w:sz w:val="32"/>
          <w:szCs w:val="32"/>
        </w:rPr>
        <w:t>立足实战需要，探索覆盖专业训练、人才培训、考核认证、训练保障等方面的职业化训练体系。</w:t>
      </w:r>
      <w:r>
        <w:rPr>
          <w:rFonts w:hint="eastAsia" w:ascii="仿宋_GB2312" w:hAnsi="黑体" w:eastAsia="仿宋_GB2312" w:cs="Times New Roman"/>
          <w:bCs/>
          <w:color w:val="000000"/>
          <w:sz w:val="32"/>
          <w:szCs w:val="32"/>
        </w:rPr>
        <w:t>推进全员体能普训、岗实操练兵，</w:t>
      </w:r>
      <w:r>
        <w:rPr>
          <w:rFonts w:hint="eastAsia" w:ascii="仿宋_GB2312" w:hAnsi="Times New Roman" w:eastAsia="仿宋_GB2312" w:cs="Times New Roman"/>
          <w:color w:val="000000"/>
          <w:sz w:val="32"/>
          <w:szCs w:val="32"/>
        </w:rPr>
        <w:t>完善战训师资力量培训、初中级指挥员培训、新入职消防员岗前培训制度，逐步建立统一、成熟、规范的教育培训体系。</w:t>
      </w:r>
      <w:r>
        <w:rPr>
          <w:rFonts w:hint="eastAsia" w:ascii="Times New Roman" w:hAnsi="Times New Roman" w:eastAsia="仿宋_GB2312" w:cs="Times New Roman"/>
          <w:sz w:val="32"/>
          <w:szCs w:val="32"/>
        </w:rPr>
        <w:t>改进和完善消防救援调研熟悉工作，制定规范、统一、便于实战应用的作战信息卡。</w:t>
      </w:r>
      <w:r>
        <w:rPr>
          <w:rFonts w:hint="eastAsia" w:ascii="仿宋_GB2312" w:hAnsi="宋体" w:eastAsia="仿宋_GB2312" w:cs="宋体"/>
          <w:sz w:val="32"/>
          <w:szCs w:val="32"/>
        </w:rPr>
        <w:t>针对地下交通枢纽、石油化工场所、高层建筑、大跨度厂库房、人员密集场所等单位及典型森林火灾案例，通过桌面推演、复盘研讨等平台，</w:t>
      </w:r>
      <w:r>
        <w:rPr>
          <w:rFonts w:hint="eastAsia" w:ascii="Times New Roman" w:hAnsi="Times New Roman" w:eastAsia="仿宋_GB2312" w:cs="Times New Roman"/>
          <w:sz w:val="32"/>
          <w:szCs w:val="32"/>
        </w:rPr>
        <w:t>提炼技战术方法，</w:t>
      </w:r>
      <w:r>
        <w:rPr>
          <w:rFonts w:hint="eastAsia" w:ascii="仿宋_GB2312" w:hAnsi="Times New Roman" w:eastAsia="仿宋_GB2312" w:cs="Times New Roman"/>
          <w:sz w:val="32"/>
          <w:szCs w:val="32"/>
        </w:rPr>
        <w:t>锻炼指挥员指挥习惯和消防员行动记忆</w:t>
      </w:r>
      <w:r>
        <w:rPr>
          <w:rFonts w:hint="eastAsia" w:ascii="Times New Roman" w:hAnsi="Times New Roman" w:eastAsia="仿宋_GB2312" w:cs="Times New Roman"/>
          <w:sz w:val="32"/>
          <w:szCs w:val="32"/>
        </w:rPr>
        <w:t>，</w:t>
      </w:r>
      <w:r>
        <w:rPr>
          <w:rFonts w:hint="eastAsia" w:ascii="仿宋_GB2312" w:hAnsi="宋体" w:eastAsia="仿宋_GB2312" w:cs="宋体"/>
          <w:sz w:val="32"/>
          <w:szCs w:val="32"/>
        </w:rPr>
        <w:t>提升灭火救援综合实战能力。</w:t>
      </w:r>
    </w:p>
    <w:p>
      <w:pPr>
        <w:snapToGrid w:val="0"/>
        <w:spacing w:line="600" w:lineRule="exact"/>
        <w:ind w:firstLine="643" w:firstLineChars="200"/>
        <w:rPr>
          <w:rFonts w:ascii="仿宋_GB2312" w:hAnsi="仿宋" w:eastAsia="仿宋_GB2312" w:cs="Times New Roman"/>
          <w:color w:val="000000"/>
          <w:sz w:val="32"/>
          <w:szCs w:val="32"/>
        </w:rPr>
      </w:pPr>
      <w:r>
        <w:rPr>
          <w:rFonts w:hint="eastAsia" w:ascii="楷体" w:hAnsi="楷体" w:eastAsia="楷体" w:cs="楷体"/>
          <w:b/>
          <w:bCs/>
          <w:color w:val="000000"/>
          <w:sz w:val="32"/>
          <w:szCs w:val="32"/>
          <w:lang w:eastAsia="zh-Hans"/>
        </w:rPr>
        <w:t>（</w:t>
      </w:r>
      <w:r>
        <w:rPr>
          <w:rFonts w:hint="eastAsia" w:ascii="楷体" w:hAnsi="楷体" w:eastAsia="楷体" w:cs="楷体"/>
          <w:b/>
          <w:bCs/>
          <w:color w:val="000000"/>
          <w:sz w:val="32"/>
          <w:szCs w:val="32"/>
        </w:rPr>
        <w:t>六</w:t>
      </w:r>
      <w:r>
        <w:rPr>
          <w:rFonts w:hint="eastAsia" w:ascii="楷体" w:hAnsi="楷体" w:eastAsia="楷体" w:cs="楷体"/>
          <w:b/>
          <w:bCs/>
          <w:color w:val="000000"/>
          <w:sz w:val="32"/>
          <w:szCs w:val="32"/>
          <w:lang w:eastAsia="zh-Hans"/>
        </w:rPr>
        <w:t>）推进京津冀消防救援联动。</w:t>
      </w:r>
      <w:r>
        <w:rPr>
          <w:rFonts w:hint="eastAsia" w:ascii="仿宋_GB2312" w:hAnsi="仿宋" w:eastAsia="仿宋_GB2312" w:cs="楷体_GB2312"/>
          <w:color w:val="000000"/>
          <w:sz w:val="32"/>
          <w:szCs w:val="32"/>
        </w:rPr>
        <w:t>推动京津冀三地城市消防规划有机衔接，</w:t>
      </w:r>
      <w:r>
        <w:rPr>
          <w:rFonts w:hint="eastAsia" w:ascii="仿宋_GB2312" w:hAnsi="仿宋" w:eastAsia="仿宋_GB2312" w:cs="Times New Roman"/>
          <w:sz w:val="32"/>
          <w:szCs w:val="32"/>
        </w:rPr>
        <w:t>加强区域公共消防设施协同规划与建设，在交界地区配置消防救援站、消防供水等公共消防设施，共享公共消防设施、灭火救援信息等。</w:t>
      </w:r>
      <w:r>
        <w:rPr>
          <w:rFonts w:hint="eastAsia" w:ascii="仿宋_GB2312" w:hAnsi="仿宋" w:eastAsia="仿宋_GB2312" w:cs="宋体"/>
          <w:color w:val="000000"/>
          <w:sz w:val="32"/>
          <w:szCs w:val="32"/>
        </w:rPr>
        <w:t>推动</w:t>
      </w:r>
      <w:r>
        <w:rPr>
          <w:rFonts w:hint="eastAsia" w:ascii="仿宋_GB2312" w:hAnsi="仿宋" w:eastAsia="仿宋_GB2312" w:cs="Times New Roman"/>
          <w:color w:val="000000"/>
          <w:sz w:val="32"/>
          <w:szCs w:val="32"/>
        </w:rPr>
        <w:t>整合三地灭火救援力量应急资源，优化勤务统筹、指挥协同、力量配置、任务遂行、通信支持、战勤保障等，推动建立统一高效、响应迅速的京津冀应急联动机制</w:t>
      </w:r>
      <w:r>
        <w:rPr>
          <w:rFonts w:hint="eastAsia" w:ascii="仿宋_GB2312" w:hAnsi="仿宋" w:eastAsia="仿宋_GB2312" w:cs="宋体"/>
          <w:color w:val="000000"/>
          <w:sz w:val="32"/>
          <w:szCs w:val="32"/>
        </w:rPr>
        <w:t>，适时举行灭火救援联合实战演练</w:t>
      </w:r>
      <w:r>
        <w:rPr>
          <w:rFonts w:hint="eastAsia" w:ascii="仿宋_GB2312" w:hAnsi="仿宋" w:eastAsia="仿宋_GB2312" w:cs="Times New Roman"/>
          <w:color w:val="000000"/>
          <w:sz w:val="32"/>
          <w:szCs w:val="32"/>
        </w:rPr>
        <w:t>，全面提升京津冀地区应急救援能力。</w:t>
      </w:r>
    </w:p>
    <w:p>
      <w:pPr>
        <w:keepNext/>
        <w:keepLines/>
        <w:spacing w:line="600" w:lineRule="exact"/>
        <w:ind w:firstLine="643" w:firstLineChars="200"/>
        <w:jc w:val="left"/>
        <w:outlineLvl w:val="1"/>
        <w:rPr>
          <w:rFonts w:ascii="Arial" w:hAnsi="Arial" w:eastAsia="黑体" w:cs="Times New Roman"/>
          <w:b/>
          <w:sz w:val="32"/>
          <w:szCs w:val="24"/>
        </w:rPr>
      </w:pPr>
      <w:bookmarkStart w:id="22" w:name="_Toc9985"/>
      <w:r>
        <w:rPr>
          <w:rFonts w:hint="eastAsia" w:ascii="Arial" w:hAnsi="Arial" w:eastAsia="黑体" w:cs="Times New Roman"/>
          <w:b/>
          <w:sz w:val="32"/>
          <w:szCs w:val="24"/>
        </w:rPr>
        <w:t>三、优化筑牢消防救援保障体系</w:t>
      </w:r>
      <w:bookmarkEnd w:id="22"/>
    </w:p>
    <w:p>
      <w:pPr>
        <w:snapToGrid w:val="0"/>
        <w:spacing w:line="600" w:lineRule="exact"/>
        <w:ind w:firstLine="643" w:firstLineChars="200"/>
        <w:rPr>
          <w:rFonts w:ascii="仿宋_GB2312" w:hAnsi="黑体" w:eastAsia="仿宋_GB2312" w:cs="Times New Roman"/>
          <w:color w:val="000000"/>
          <w:sz w:val="32"/>
          <w:szCs w:val="32"/>
        </w:rPr>
      </w:pPr>
      <w:r>
        <w:rPr>
          <w:rFonts w:hint="eastAsia" w:ascii="楷体" w:hAnsi="楷体" w:eastAsia="楷体" w:cs="楷体"/>
          <w:b/>
          <w:bCs/>
          <w:color w:val="000000"/>
          <w:sz w:val="32"/>
          <w:szCs w:val="32"/>
          <w:lang w:eastAsia="zh-Hans"/>
        </w:rPr>
        <w:t>（一）强化战勤保障基地建设。</w:t>
      </w:r>
      <w:r>
        <w:rPr>
          <w:rFonts w:hint="eastAsia" w:ascii="仿宋_GB2312" w:hAnsi="黑体" w:eastAsia="仿宋_GB2312" w:cs="Times New Roman"/>
          <w:color w:val="000000"/>
          <w:sz w:val="32"/>
          <w:szCs w:val="32"/>
        </w:rPr>
        <w:t>随着“全灾种、大应急”工作职能的不断拓宽，现代应急救灾战勤保障体系的需求，推动</w:t>
      </w:r>
      <w:r>
        <w:rPr>
          <w:rFonts w:ascii="仿宋_GB2312" w:hAnsi="黑体" w:eastAsia="仿宋_GB2312" w:cs="Times New Roman"/>
          <w:color w:val="000000"/>
          <w:sz w:val="32"/>
          <w:szCs w:val="32"/>
        </w:rPr>
        <w:t>河西地区建设训练基地及战勤保障基地</w:t>
      </w:r>
      <w:r>
        <w:rPr>
          <w:rFonts w:hint="eastAsia" w:ascii="仿宋_GB2312" w:hAnsi="黑体" w:eastAsia="仿宋_GB2312" w:cs="Times New Roman"/>
          <w:color w:val="000000"/>
          <w:sz w:val="32"/>
          <w:szCs w:val="32"/>
        </w:rPr>
        <w:t>合</w:t>
      </w:r>
      <w:r>
        <w:rPr>
          <w:rFonts w:ascii="仿宋_GB2312" w:hAnsi="黑体" w:eastAsia="仿宋_GB2312" w:cs="Times New Roman"/>
          <w:color w:val="000000"/>
          <w:sz w:val="32"/>
          <w:szCs w:val="32"/>
        </w:rPr>
        <w:t>建项目</w:t>
      </w:r>
      <w:r>
        <w:rPr>
          <w:rFonts w:hint="eastAsia" w:ascii="仿宋_GB2312" w:hAnsi="黑体" w:eastAsia="仿宋_GB2312" w:cs="Times New Roman"/>
          <w:color w:val="000000"/>
          <w:sz w:val="32"/>
          <w:szCs w:val="32"/>
        </w:rPr>
        <w:t>，</w:t>
      </w:r>
      <w:r>
        <w:rPr>
          <w:rFonts w:hint="eastAsia" w:ascii="仿宋_GB2312" w:hAnsi="宋体" w:eastAsia="仿宋_GB2312" w:cs="Times New Roman"/>
          <w:sz w:val="32"/>
          <w:szCs w:val="32"/>
        </w:rPr>
        <w:t>使之具备物资储备、应急运输、油料供给、卫勤保障、技术服务等功能，</w:t>
      </w:r>
      <w:r>
        <w:rPr>
          <w:rFonts w:hint="eastAsia" w:ascii="仿宋_GB2312" w:hAnsi="黑体" w:eastAsia="仿宋_GB2312" w:cs="Times New Roman"/>
          <w:color w:val="000000"/>
          <w:sz w:val="32"/>
          <w:szCs w:val="32"/>
        </w:rPr>
        <w:t>提高丰台区救灾物资储备、综合防灾减灾与应急救援能力；并</w:t>
      </w:r>
      <w:r>
        <w:rPr>
          <w:rFonts w:hint="eastAsia" w:ascii="仿宋_GB2312" w:hAnsi="宋体" w:eastAsia="仿宋_GB2312" w:cs="仿宋_GB2312"/>
          <w:sz w:val="32"/>
          <w:szCs w:val="32"/>
        </w:rPr>
        <w:t>设立针对性专业训练设施，</w:t>
      </w:r>
      <w:r>
        <w:rPr>
          <w:rFonts w:hint="eastAsia" w:ascii="仿宋_GB2312" w:hAnsi="黑体" w:eastAsia="仿宋_GB2312" w:cs="Times New Roman"/>
          <w:color w:val="000000"/>
          <w:sz w:val="32"/>
          <w:szCs w:val="32"/>
        </w:rPr>
        <w:t>提供专业性训练。</w:t>
      </w:r>
    </w:p>
    <w:p>
      <w:pPr>
        <w:snapToGrid w:val="0"/>
        <w:spacing w:line="600" w:lineRule="exact"/>
        <w:ind w:firstLine="643" w:firstLineChars="200"/>
        <w:rPr>
          <w:rFonts w:ascii="仿宋_GB2312" w:hAnsi="仿宋" w:eastAsia="仿宋_GB2312" w:cs="楷体_GB2312"/>
          <w:b/>
          <w:color w:val="000000"/>
          <w:sz w:val="32"/>
          <w:szCs w:val="32"/>
        </w:rPr>
      </w:pPr>
      <w:r>
        <w:rPr>
          <w:rFonts w:hint="eastAsia" w:ascii="楷体" w:hAnsi="楷体" w:eastAsia="楷体" w:cs="楷体"/>
          <w:b/>
          <w:bCs/>
          <w:color w:val="000000"/>
          <w:sz w:val="32"/>
          <w:szCs w:val="32"/>
          <w:lang w:eastAsia="zh-Hans"/>
        </w:rPr>
        <w:t>（二）强化消防救援站建设改造。</w:t>
      </w:r>
      <w:r>
        <w:rPr>
          <w:rFonts w:hint="eastAsia" w:ascii="仿宋_GB2312" w:hAnsi="黑体" w:eastAsia="仿宋_GB2312" w:cs="Times New Roman"/>
          <w:color w:val="000000"/>
          <w:sz w:val="32"/>
          <w:szCs w:val="32"/>
        </w:rPr>
        <w:t>按照</w:t>
      </w:r>
      <w:r>
        <w:rPr>
          <w:rFonts w:hint="eastAsia" w:ascii="仿宋_GB2312" w:hAnsi="宋体" w:eastAsia="仿宋_GB2312" w:cs="宋体"/>
          <w:bCs/>
          <w:sz w:val="32"/>
          <w:szCs w:val="32"/>
        </w:rPr>
        <w:t xml:space="preserve"> “大站建强、小站建密、微站建广”思路，实施</w:t>
      </w:r>
      <w:r>
        <w:rPr>
          <w:rFonts w:hint="eastAsia" w:ascii="仿宋_GB2312" w:hAnsi="黑体" w:eastAsia="仿宋_GB2312" w:cs="Times New Roman"/>
          <w:color w:val="000000"/>
          <w:sz w:val="32"/>
          <w:szCs w:val="32"/>
        </w:rPr>
        <w:t>规划先行、科学布局、系统建设的发展理念和“城区出警5分钟到场，村镇出警10分钟到场”的原则，不断优化消防救援站布局，新建郑常庄、张郭庄、卢沟桥</w:t>
      </w:r>
      <w:r>
        <w:rPr>
          <w:rFonts w:ascii="仿宋_GB2312" w:hAnsi="黑体" w:eastAsia="仿宋_GB2312" w:cs="Times New Roman"/>
          <w:color w:val="000000"/>
          <w:sz w:val="32"/>
          <w:szCs w:val="32"/>
        </w:rPr>
        <w:t>等3</w:t>
      </w:r>
      <w:r>
        <w:rPr>
          <w:rFonts w:hint="eastAsia" w:ascii="仿宋_GB2312" w:hAnsi="黑体" w:eastAsia="仿宋_GB2312" w:cs="Times New Roman"/>
          <w:color w:val="000000"/>
          <w:sz w:val="32"/>
          <w:szCs w:val="32"/>
        </w:rPr>
        <w:t>座城市消防救援站，推动缺水地区和消防基础设施薄弱地区消防救援站建设，推动火灾危险性大、人员密集、历史街区、高层建筑密集区域小型消防站的建设。</w:t>
      </w:r>
    </w:p>
    <w:p>
      <w:pPr>
        <w:widowControl/>
        <w:snapToGrid w:val="0"/>
        <w:spacing w:line="600" w:lineRule="exact"/>
        <w:ind w:firstLine="643" w:firstLineChars="200"/>
        <w:rPr>
          <w:rFonts w:ascii="仿宋_GB2312" w:hAnsi="Times New Roman" w:eastAsia="仿宋_GB2312" w:cs="宋体"/>
          <w:color w:val="000000"/>
          <w:sz w:val="32"/>
          <w:szCs w:val="32"/>
        </w:rPr>
      </w:pPr>
      <w:r>
        <w:rPr>
          <w:rFonts w:hint="eastAsia" w:ascii="楷体" w:hAnsi="楷体" w:eastAsia="楷体" w:cs="楷体"/>
          <w:b/>
          <w:bCs/>
          <w:color w:val="000000"/>
          <w:sz w:val="32"/>
          <w:szCs w:val="32"/>
          <w:lang w:eastAsia="zh-Hans"/>
        </w:rPr>
        <w:t>（三）强化消防水源建设。</w:t>
      </w:r>
      <w:r>
        <w:rPr>
          <w:rFonts w:hint="eastAsia" w:ascii="仿宋_GB2312" w:hAnsi="Times New Roman" w:eastAsia="仿宋_GB2312" w:cs="Times New Roman"/>
          <w:sz w:val="32"/>
          <w:szCs w:val="32"/>
        </w:rPr>
        <w:t>将消防水源建设纳入市政建设发展总体规划，明确各类消防水源的建设责任主体。建立与市自来水集团及绿化隔离带基础公司的“消防+环卫”灭火救援联勤联动工作机制，厘清全区市政消火栓分布状况和具体数量。聘用第三方专业机构开展年度市政消火栓完好率测试评估，督促市自来水集团修复无法使用的市政消火栓，</w:t>
      </w:r>
      <w:r>
        <w:rPr>
          <w:rFonts w:hint="eastAsia" w:ascii="仿宋_GB2312" w:hAnsi="Times New Roman" w:eastAsia="仿宋_GB2312" w:cs="宋体"/>
          <w:color w:val="000000"/>
          <w:sz w:val="32"/>
          <w:szCs w:val="32"/>
        </w:rPr>
        <w:t>确保市政消火栓完好率</w:t>
      </w:r>
      <w:r>
        <w:rPr>
          <w:rFonts w:hint="eastAsia" w:ascii="仿宋_GB2312" w:hAnsi="Times New Roman" w:eastAsia="仿宋_GB2312" w:cs="宋体"/>
          <w:color w:val="000000"/>
          <w:sz w:val="32"/>
          <w:szCs w:val="32"/>
          <w:lang w:eastAsia="zh-Hans"/>
        </w:rPr>
        <w:t>达到</w:t>
      </w:r>
      <w:r>
        <w:rPr>
          <w:rFonts w:hint="eastAsia" w:ascii="仿宋_GB2312" w:hAnsi="Times New Roman" w:eastAsia="仿宋_GB2312" w:cs="宋体"/>
          <w:color w:val="000000"/>
          <w:sz w:val="32"/>
          <w:szCs w:val="32"/>
        </w:rPr>
        <w:t>9</w:t>
      </w:r>
      <w:r>
        <w:rPr>
          <w:rFonts w:ascii="仿宋_GB2312" w:hAnsi="Times New Roman" w:eastAsia="仿宋_GB2312" w:cs="宋体"/>
          <w:color w:val="000000"/>
          <w:sz w:val="32"/>
          <w:szCs w:val="32"/>
        </w:rPr>
        <w:t>8</w:t>
      </w:r>
      <w:r>
        <w:rPr>
          <w:rFonts w:hint="eastAsia" w:ascii="仿宋_GB2312" w:hAnsi="Times New Roman" w:eastAsia="仿宋_GB2312" w:cs="宋体"/>
          <w:color w:val="000000"/>
          <w:sz w:val="32"/>
          <w:szCs w:val="32"/>
        </w:rPr>
        <w:t>%以上。推动在消防供水不足的城市区域和消防水源匮乏的城镇结合部、农村地区，依托市政供水管网、机井</w:t>
      </w:r>
      <w:r>
        <w:rPr>
          <w:rFonts w:ascii="仿宋_GB2312" w:hAnsi="Times New Roman" w:eastAsia="仿宋_GB2312" w:cs="宋体"/>
          <w:color w:val="000000"/>
          <w:sz w:val="32"/>
          <w:szCs w:val="32"/>
        </w:rPr>
        <w:t>、</w:t>
      </w:r>
      <w:r>
        <w:rPr>
          <w:rFonts w:hint="eastAsia" w:ascii="仿宋_GB2312" w:hAnsi="Times New Roman" w:eastAsia="仿宋_GB2312" w:cs="宋体"/>
          <w:color w:val="000000"/>
          <w:sz w:val="32"/>
          <w:szCs w:val="32"/>
          <w:lang w:eastAsia="zh-Hans"/>
        </w:rPr>
        <w:t>移动水箱</w:t>
      </w:r>
      <w:r>
        <w:rPr>
          <w:rFonts w:hint="eastAsia" w:ascii="仿宋_GB2312" w:hAnsi="Times New Roman" w:eastAsia="仿宋_GB2312" w:cs="宋体"/>
          <w:color w:val="000000"/>
          <w:sz w:val="32"/>
          <w:szCs w:val="32"/>
        </w:rPr>
        <w:t>或天然水源设置消防水池、</w:t>
      </w:r>
      <w:r>
        <w:rPr>
          <w:rFonts w:hint="eastAsia" w:ascii="仿宋_GB2312" w:hAnsi="Times New Roman" w:eastAsia="仿宋_GB2312" w:cs="Times New Roman"/>
          <w:sz w:val="32"/>
          <w:szCs w:val="32"/>
        </w:rPr>
        <w:t>取水码头、</w:t>
      </w:r>
      <w:r>
        <w:rPr>
          <w:rFonts w:hint="eastAsia" w:ascii="仿宋_GB2312" w:hAnsi="Times New Roman" w:eastAsia="仿宋_GB2312" w:cs="宋体"/>
          <w:color w:val="000000"/>
          <w:sz w:val="32"/>
          <w:szCs w:val="32"/>
        </w:rPr>
        <w:t>消防水鹤。</w:t>
      </w:r>
      <w:r>
        <w:rPr>
          <w:rFonts w:hint="eastAsia" w:ascii="仿宋_GB2312" w:hAnsi="Times New Roman" w:eastAsia="仿宋_GB2312" w:cs="Times New Roman"/>
          <w:sz w:val="32"/>
          <w:szCs w:val="32"/>
        </w:rPr>
        <w:t>利用大数据、物联网、区块链等技术，建立消防水源信息化管理平台和数据库，开展消防水源普查录入工作，提高推动消防水源智慧管控，解决灭火救援现场找水难问题。</w:t>
      </w:r>
    </w:p>
    <w:p>
      <w:pPr>
        <w:snapToGrid w:val="0"/>
        <w:spacing w:line="600" w:lineRule="exact"/>
        <w:ind w:firstLine="643" w:firstLineChars="200"/>
        <w:rPr>
          <w:rFonts w:ascii="仿宋_GB2312" w:hAnsi="仿宋" w:eastAsia="仿宋_GB2312" w:cs="Times New Roman"/>
          <w:sz w:val="32"/>
          <w:szCs w:val="32"/>
        </w:rPr>
      </w:pPr>
      <w:r>
        <w:rPr>
          <w:rFonts w:hint="eastAsia" w:ascii="楷体" w:hAnsi="楷体" w:eastAsia="楷体" w:cs="楷体"/>
          <w:b/>
          <w:bCs/>
          <w:color w:val="000000"/>
          <w:sz w:val="32"/>
          <w:szCs w:val="32"/>
          <w:lang w:eastAsia="zh-Hans"/>
        </w:rPr>
        <w:t>（四）提升消防车道有效使用率。</w:t>
      </w:r>
      <w:r>
        <w:rPr>
          <w:rFonts w:hint="eastAsia" w:ascii="仿宋_GB2312" w:hAnsi="仿宋" w:eastAsia="仿宋_GB2312" w:cs="Times New Roman"/>
          <w:sz w:val="32"/>
          <w:szCs w:val="32"/>
        </w:rPr>
        <w:t>不断提高城市建成区道路网密度，推动消防车通道与城市建设协调发展。利用城市更新打通道路瓶颈和微循环系统，完善路网系统，逐步提高消防救援站出警速度。通过拆除道路、小街巷、胡同两侧违法建设，恢复、拓宽和打通部分城市消防车通道。推动加大公共停车设施建设，增加老旧小区周边公共停车设施，合理利用空间规划建设停车位，规范管理居民停车。持续推进消防车通道治理，整治占用、堵塞、封闭消防车通道行为，组织标注标识公共建筑以及居住小区对消防车通道和登高操作场地。</w:t>
      </w:r>
      <w:r>
        <w:rPr>
          <w:rFonts w:hint="eastAsia" w:ascii="仿宋_GB2312" w:hAnsi="仿宋" w:eastAsia="仿宋_GB2312" w:cs="宋体"/>
          <w:color w:val="000000"/>
          <w:sz w:val="32"/>
          <w:szCs w:val="32"/>
        </w:rPr>
        <w:t>针对</w:t>
      </w:r>
      <w:r>
        <w:rPr>
          <w:rFonts w:hint="eastAsia" w:ascii="仿宋_GB2312" w:hAnsi="仿宋" w:eastAsia="仿宋_GB2312" w:cs="宋体"/>
          <w:color w:val="000000"/>
          <w:sz w:val="32"/>
          <w:szCs w:val="32"/>
          <w:lang w:eastAsia="zh-Hans"/>
        </w:rPr>
        <w:t>居住小区</w:t>
      </w:r>
      <w:r>
        <w:rPr>
          <w:rFonts w:ascii="仿宋_GB2312" w:hAnsi="仿宋" w:eastAsia="仿宋_GB2312" w:cs="宋体"/>
          <w:color w:val="000000"/>
          <w:sz w:val="32"/>
          <w:szCs w:val="32"/>
          <w:lang w:eastAsia="zh-Hans"/>
        </w:rPr>
        <w:t>、</w:t>
      </w:r>
      <w:r>
        <w:rPr>
          <w:rFonts w:hint="eastAsia" w:ascii="仿宋_GB2312" w:hAnsi="仿宋" w:eastAsia="仿宋_GB2312" w:cs="宋体"/>
          <w:color w:val="000000"/>
          <w:sz w:val="32"/>
          <w:szCs w:val="32"/>
          <w:lang w:eastAsia="zh-Hans"/>
        </w:rPr>
        <w:t>公共建筑</w:t>
      </w:r>
      <w:r>
        <w:rPr>
          <w:rFonts w:ascii="仿宋_GB2312" w:hAnsi="仿宋" w:eastAsia="仿宋_GB2312" w:cs="宋体"/>
          <w:color w:val="000000"/>
          <w:sz w:val="32"/>
          <w:szCs w:val="32"/>
          <w:lang w:eastAsia="zh-Hans"/>
        </w:rPr>
        <w:t>、</w:t>
      </w:r>
      <w:r>
        <w:rPr>
          <w:rFonts w:hint="eastAsia" w:ascii="仿宋_GB2312" w:hAnsi="仿宋" w:eastAsia="仿宋_GB2312" w:cs="宋体"/>
          <w:color w:val="000000"/>
          <w:sz w:val="32"/>
          <w:szCs w:val="32"/>
          <w:lang w:eastAsia="zh-Hans"/>
        </w:rPr>
        <w:t>城镇结合部地区消防车道有效使用情况</w:t>
      </w:r>
      <w:r>
        <w:rPr>
          <w:rFonts w:ascii="仿宋_GB2312" w:hAnsi="仿宋" w:eastAsia="仿宋_GB2312" w:cs="宋体"/>
          <w:color w:val="000000"/>
          <w:sz w:val="32"/>
          <w:szCs w:val="32"/>
          <w:lang w:eastAsia="zh-Hans"/>
        </w:rPr>
        <w:t>，</w:t>
      </w:r>
      <w:r>
        <w:rPr>
          <w:rFonts w:hint="eastAsia" w:ascii="仿宋_GB2312" w:hAnsi="仿宋" w:eastAsia="仿宋_GB2312" w:cs="宋体"/>
          <w:color w:val="000000"/>
          <w:sz w:val="32"/>
          <w:szCs w:val="32"/>
          <w:lang w:eastAsia="zh-Hans"/>
        </w:rPr>
        <w:t>提出最大化不影响灭火救援的消防车道使用管理意见</w:t>
      </w:r>
      <w:r>
        <w:rPr>
          <w:rFonts w:ascii="仿宋_GB2312" w:hAnsi="仿宋" w:eastAsia="仿宋_GB2312" w:cs="宋体"/>
          <w:color w:val="000000"/>
          <w:sz w:val="32"/>
          <w:szCs w:val="32"/>
          <w:lang w:eastAsia="zh-Hans"/>
        </w:rPr>
        <w:t>，</w:t>
      </w:r>
      <w:r>
        <w:rPr>
          <w:rFonts w:hint="eastAsia" w:ascii="仿宋_GB2312" w:hAnsi="仿宋" w:eastAsia="仿宋_GB2312" w:cs="宋体"/>
          <w:color w:val="000000"/>
          <w:sz w:val="32"/>
          <w:szCs w:val="32"/>
          <w:lang w:eastAsia="zh-Hans"/>
        </w:rPr>
        <w:t>通过主责部门和主体单位的落实</w:t>
      </w:r>
      <w:r>
        <w:rPr>
          <w:rFonts w:ascii="仿宋_GB2312" w:hAnsi="仿宋" w:eastAsia="仿宋_GB2312" w:cs="宋体"/>
          <w:color w:val="000000"/>
          <w:sz w:val="32"/>
          <w:szCs w:val="32"/>
          <w:lang w:eastAsia="zh-Hans"/>
        </w:rPr>
        <w:t>，</w:t>
      </w:r>
      <w:r>
        <w:rPr>
          <w:rFonts w:hint="eastAsia" w:ascii="仿宋_GB2312" w:hAnsi="仿宋" w:eastAsia="仿宋_GB2312" w:cs="宋体"/>
          <w:color w:val="000000"/>
          <w:sz w:val="32"/>
          <w:szCs w:val="32"/>
          <w:lang w:eastAsia="zh-Hans"/>
        </w:rPr>
        <w:t>提升全区灭火救援的有效率</w:t>
      </w:r>
      <w:r>
        <w:rPr>
          <w:rFonts w:hint="eastAsia" w:ascii="仿宋_GB2312" w:hAnsi="仿宋" w:eastAsia="仿宋_GB2312" w:cs="Times New Roman"/>
          <w:sz w:val="32"/>
          <w:szCs w:val="32"/>
        </w:rPr>
        <w:t>。</w:t>
      </w:r>
    </w:p>
    <w:p>
      <w:pPr>
        <w:snapToGrid w:val="0"/>
        <w:spacing w:line="600" w:lineRule="exact"/>
        <w:ind w:firstLine="643" w:firstLineChars="200"/>
        <w:rPr>
          <w:rFonts w:ascii="仿宋_GB2312" w:hAnsi="楷体" w:eastAsia="仿宋_GB2312" w:cs="Times New Roman"/>
          <w:b/>
          <w:sz w:val="32"/>
          <w:szCs w:val="32"/>
        </w:rPr>
      </w:pPr>
      <w:r>
        <w:rPr>
          <w:rFonts w:hint="eastAsia" w:ascii="楷体" w:hAnsi="楷体" w:eastAsia="楷体" w:cs="楷体"/>
          <w:b/>
          <w:bCs/>
          <w:color w:val="000000"/>
          <w:sz w:val="32"/>
          <w:szCs w:val="32"/>
          <w:lang w:eastAsia="zh-Hans"/>
        </w:rPr>
        <w:t>（</w:t>
      </w:r>
      <w:r>
        <w:rPr>
          <w:rFonts w:hint="eastAsia" w:ascii="楷体" w:hAnsi="楷体" w:eastAsia="楷体" w:cs="楷体"/>
          <w:b/>
          <w:bCs/>
          <w:color w:val="000000"/>
          <w:sz w:val="32"/>
          <w:szCs w:val="32"/>
        </w:rPr>
        <w:t>五</w:t>
      </w:r>
      <w:r>
        <w:rPr>
          <w:rFonts w:hint="eastAsia" w:ascii="楷体" w:hAnsi="楷体" w:eastAsia="楷体" w:cs="楷体"/>
          <w:b/>
          <w:bCs/>
          <w:color w:val="000000"/>
          <w:sz w:val="32"/>
          <w:szCs w:val="32"/>
          <w:lang w:eastAsia="zh-Hans"/>
        </w:rPr>
        <w:t>）落实城市消防站装备达标建设。</w:t>
      </w:r>
      <w:r>
        <w:rPr>
          <w:rFonts w:hint="eastAsia" w:ascii="仿宋_GB2312" w:hAnsi="Times New Roman" w:eastAsia="仿宋_GB2312" w:cs="Times New Roman"/>
          <w:sz w:val="32"/>
          <w:szCs w:val="32"/>
        </w:rPr>
        <w:t>结合老旧车辆更新，统筹车辆配备结构、实战化需求、辖区特点及消防救援站基础设施，增加具有救援功能、便于展开的举高类消防车配备，以及专业救援、战勤保障、巡逻执勤车辆配备，进一步完善车辆标准化、模块化建设，提高单车作战水平。加强消防员防护装备达标统型建设，开展个人防护装备“科技建装、减负增效”工程，不断提高防护装备的安全舒适性能。</w:t>
      </w:r>
    </w:p>
    <w:p>
      <w:pPr>
        <w:snapToGrid w:val="0"/>
        <w:spacing w:line="600" w:lineRule="exact"/>
        <w:ind w:firstLine="643" w:firstLineChars="200"/>
        <w:rPr>
          <w:rFonts w:ascii="Times New Roman" w:hAnsi="Times New Roman" w:eastAsia="仿宋_GB2312" w:cs="Times New Roman"/>
          <w:sz w:val="32"/>
          <w:szCs w:val="32"/>
        </w:rPr>
      </w:pPr>
      <w:r>
        <w:rPr>
          <w:rFonts w:hint="eastAsia" w:ascii="楷体" w:hAnsi="楷体" w:eastAsia="楷体" w:cs="楷体"/>
          <w:b/>
          <w:bCs/>
          <w:color w:val="000000"/>
          <w:sz w:val="32"/>
          <w:szCs w:val="32"/>
          <w:lang w:eastAsia="zh-Hans"/>
        </w:rPr>
        <w:t>（</w:t>
      </w:r>
      <w:r>
        <w:rPr>
          <w:rFonts w:hint="eastAsia" w:ascii="楷体" w:hAnsi="楷体" w:eastAsia="楷体" w:cs="楷体"/>
          <w:b/>
          <w:bCs/>
          <w:color w:val="000000"/>
          <w:sz w:val="32"/>
          <w:szCs w:val="32"/>
        </w:rPr>
        <w:t>六</w:t>
      </w:r>
      <w:r>
        <w:rPr>
          <w:rFonts w:hint="eastAsia" w:ascii="楷体" w:hAnsi="楷体" w:eastAsia="楷体" w:cs="楷体"/>
          <w:b/>
          <w:bCs/>
          <w:color w:val="000000"/>
          <w:sz w:val="32"/>
          <w:szCs w:val="32"/>
          <w:lang w:eastAsia="zh-Hans"/>
        </w:rPr>
        <w:t>）强化专业</w:t>
      </w:r>
      <w:r>
        <w:rPr>
          <w:rFonts w:hint="eastAsia" w:ascii="楷体" w:hAnsi="楷体" w:eastAsia="楷体" w:cs="楷体"/>
          <w:b/>
          <w:bCs/>
          <w:color w:val="000000"/>
          <w:sz w:val="32"/>
          <w:szCs w:val="32"/>
        </w:rPr>
        <w:t>救援</w:t>
      </w:r>
      <w:r>
        <w:rPr>
          <w:rFonts w:hint="eastAsia" w:ascii="楷体" w:hAnsi="楷体" w:eastAsia="楷体" w:cs="楷体"/>
          <w:b/>
          <w:bCs/>
          <w:color w:val="000000"/>
          <w:sz w:val="32"/>
          <w:szCs w:val="32"/>
          <w:lang w:eastAsia="zh-Hans"/>
        </w:rPr>
        <w:t>装备配备。</w:t>
      </w:r>
      <w:r>
        <w:rPr>
          <w:rFonts w:hint="eastAsia" w:ascii="仿宋_GB2312" w:hAnsi="Times New Roman" w:eastAsia="仿宋_GB2312" w:cs="Times New Roman"/>
          <w:sz w:val="32"/>
          <w:szCs w:val="32"/>
        </w:rPr>
        <w:t>重点针对高层建筑、地下空间、石油化工、轨道交通、文物古建、老旧城区及城镇结合部、重大活动保卫、城市内涝、水上、绳索救援等灾害特点及任务需要，强化专业救援装备配备。</w:t>
      </w:r>
      <w:r>
        <w:rPr>
          <w:rFonts w:hint="eastAsia" w:ascii="Times New Roman" w:hAnsi="Times New Roman" w:eastAsia="仿宋_GB2312" w:cs="Times New Roman"/>
          <w:sz w:val="32"/>
          <w:szCs w:val="32"/>
        </w:rPr>
        <w:t>针对水域、地震等多种灾害救援，加强专用车辆、生活保障、专业搜救、破拆、顶撑支护、卫星通讯设备、无人机、水面救援船艇等专业救援装备配备；加强用于人员搜救的侦检设备、专业顶撑设备、巡查无人机、卫星通讯等设备配备。推进防护装备清理及维保装备建设。加强消防员职业健康发展，推进专业清洗、消毒设备建设，提升灭火、化学防护服专业清洗、维护保养水平。建立支队级装备器材维修站，定期开展常规装备的性能检查、测试。</w:t>
      </w:r>
    </w:p>
    <w:p>
      <w:pPr>
        <w:snapToGrid w:val="0"/>
        <w:spacing w:line="600" w:lineRule="exact"/>
        <w:ind w:firstLine="643" w:firstLineChars="200"/>
        <w:rPr>
          <w:rFonts w:ascii="仿宋_GB2312" w:hAnsi="Times New Roman" w:eastAsia="仿宋_GB2312" w:cs="Times New Roman"/>
          <w:sz w:val="32"/>
          <w:szCs w:val="32"/>
        </w:rPr>
      </w:pPr>
      <w:r>
        <w:rPr>
          <w:rFonts w:hint="eastAsia" w:ascii="楷体" w:hAnsi="楷体" w:eastAsia="楷体" w:cs="楷体"/>
          <w:b/>
          <w:bCs/>
          <w:color w:val="000000"/>
          <w:sz w:val="32"/>
          <w:szCs w:val="32"/>
          <w:lang w:eastAsia="zh-Hans"/>
        </w:rPr>
        <w:t>（</w:t>
      </w:r>
      <w:r>
        <w:rPr>
          <w:rFonts w:hint="eastAsia" w:ascii="楷体" w:hAnsi="楷体" w:eastAsia="楷体" w:cs="楷体"/>
          <w:b/>
          <w:bCs/>
          <w:color w:val="000000"/>
          <w:sz w:val="32"/>
          <w:szCs w:val="32"/>
        </w:rPr>
        <w:t>七</w:t>
      </w:r>
      <w:r>
        <w:rPr>
          <w:rFonts w:hint="eastAsia" w:ascii="楷体" w:hAnsi="楷体" w:eastAsia="楷体" w:cs="楷体"/>
          <w:b/>
          <w:bCs/>
          <w:color w:val="000000"/>
          <w:sz w:val="32"/>
          <w:szCs w:val="32"/>
          <w:lang w:eastAsia="zh-Hans"/>
        </w:rPr>
        <w:t>）建立人才</w:t>
      </w:r>
      <w:r>
        <w:rPr>
          <w:rFonts w:hint="eastAsia" w:ascii="楷体" w:hAnsi="楷体" w:eastAsia="楷体" w:cs="楷体"/>
          <w:b/>
          <w:bCs/>
          <w:color w:val="000000"/>
          <w:sz w:val="32"/>
          <w:szCs w:val="32"/>
        </w:rPr>
        <w:t>培养储备机制</w:t>
      </w:r>
      <w:r>
        <w:rPr>
          <w:rFonts w:hint="eastAsia" w:ascii="楷体" w:hAnsi="楷体" w:eastAsia="楷体" w:cs="楷体"/>
          <w:b/>
          <w:bCs/>
          <w:color w:val="000000"/>
          <w:sz w:val="32"/>
          <w:szCs w:val="32"/>
          <w:lang w:eastAsia="zh-Hans"/>
        </w:rPr>
        <w:t>。</w:t>
      </w:r>
      <w:r>
        <w:rPr>
          <w:rFonts w:hint="eastAsia" w:ascii="仿宋_GB2312" w:hAnsi="Times New Roman" w:eastAsia="仿宋_GB2312" w:cs="Times New Roman"/>
          <w:sz w:val="32"/>
          <w:szCs w:val="32"/>
        </w:rPr>
        <w:t>建立健全人才储备和培养机制，加快消防救援急需紧缺人才培养，构建多岗位、多层次专业人才发展体系，加快形成多层次专业人才梯队。从消防员训练、战训师资力量培训、初中级指挥员培训、新入职消防员岗前培训等方面建立“训练标准、人才培训、考评认证、训练保障”四位一体的体系。组建包含消防监督、作战指挥、消防技术等专业的丰台区消防救援专业人才库。从“选、训、用、考、调、保”六个方面打造一支政治过硬、业务娴熟、技能突出的消防救援和消防工程专业技术人才队伍。</w:t>
      </w:r>
    </w:p>
    <w:p>
      <w:pPr>
        <w:keepNext/>
        <w:keepLines/>
        <w:spacing w:line="600" w:lineRule="exact"/>
        <w:ind w:firstLine="643" w:firstLineChars="200"/>
        <w:jc w:val="left"/>
        <w:outlineLvl w:val="1"/>
        <w:rPr>
          <w:rFonts w:ascii="Arial" w:hAnsi="Arial" w:eastAsia="黑体" w:cs="Times New Roman"/>
          <w:b/>
          <w:sz w:val="32"/>
          <w:szCs w:val="24"/>
        </w:rPr>
      </w:pPr>
      <w:bookmarkStart w:id="23" w:name="_Toc32569"/>
      <w:r>
        <w:rPr>
          <w:rFonts w:hint="eastAsia" w:ascii="Arial" w:hAnsi="Arial" w:eastAsia="黑体" w:cs="Times New Roman"/>
          <w:b/>
          <w:sz w:val="32"/>
          <w:szCs w:val="24"/>
        </w:rPr>
        <w:t>四、完善提升消防</w:t>
      </w:r>
      <w:r>
        <w:rPr>
          <w:rFonts w:ascii="Arial" w:hAnsi="Arial" w:eastAsia="黑体" w:cs="Times New Roman"/>
          <w:b/>
          <w:sz w:val="32"/>
          <w:szCs w:val="24"/>
        </w:rPr>
        <w:t>信息化支撑体系</w:t>
      </w:r>
      <w:bookmarkEnd w:id="23"/>
    </w:p>
    <w:p>
      <w:pPr>
        <w:snapToGrid w:val="0"/>
        <w:spacing w:line="600" w:lineRule="exact"/>
        <w:ind w:firstLine="482" w:firstLineChars="150"/>
        <w:rPr>
          <w:rFonts w:ascii="仿宋_GB2312" w:hAnsi="Times New Roman" w:eastAsia="仿宋_GB2312" w:cs="Times New Roman"/>
          <w:kern w:val="0"/>
          <w:sz w:val="32"/>
          <w:szCs w:val="32"/>
          <w:lang w:eastAsia="zh-Hans"/>
        </w:rPr>
      </w:pPr>
      <w:r>
        <w:rPr>
          <w:rFonts w:hint="eastAsia" w:ascii="楷体_GB2312" w:hAnsi="楷体" w:eastAsia="楷体_GB2312" w:cs="Times New Roman"/>
          <w:b/>
          <w:sz w:val="32"/>
          <w:szCs w:val="32"/>
          <w:lang w:eastAsia="zh-Hans"/>
        </w:rPr>
        <w:t>（一）规范消防监督执法行为。</w:t>
      </w:r>
      <w:r>
        <w:rPr>
          <w:rFonts w:hint="eastAsia" w:ascii="仿宋_GB2312" w:hAnsi="Times New Roman" w:eastAsia="仿宋_GB2312" w:cs="Times New Roman"/>
          <w:color w:val="3F3939"/>
          <w:sz w:val="32"/>
          <w:szCs w:val="32"/>
          <w:lang w:eastAsia="zh-Hans"/>
        </w:rPr>
        <w:t>深化消防执法改革，全面实施消防执法全过程记录制度，配齐配强一线消防执法力量</w:t>
      </w:r>
      <w:r>
        <w:rPr>
          <w:rFonts w:hint="eastAsia" w:ascii="仿宋_GB2312" w:hAnsi="Times New Roman" w:eastAsia="仿宋_GB2312" w:cs="Times New Roman"/>
          <w:sz w:val="32"/>
          <w:szCs w:val="32"/>
        </w:rPr>
        <w:t>与执法记录仪</w:t>
      </w:r>
      <w:r>
        <w:rPr>
          <w:rFonts w:hint="eastAsia" w:ascii="仿宋_GB2312" w:hAnsi="Times New Roman" w:eastAsia="仿宋_GB2312" w:cs="Times New Roman"/>
          <w:color w:val="3F3939"/>
          <w:sz w:val="32"/>
          <w:szCs w:val="32"/>
          <w:lang w:eastAsia="zh-Hans"/>
        </w:rPr>
        <w:t>，</w:t>
      </w:r>
      <w:r>
        <w:rPr>
          <w:rFonts w:hint="eastAsia" w:ascii="仿宋_GB2312" w:hAnsi="Times New Roman" w:eastAsia="仿宋_GB2312" w:cs="Times New Roman"/>
          <w:kern w:val="0"/>
          <w:sz w:val="32"/>
          <w:szCs w:val="32"/>
          <w:lang w:eastAsia="zh-Hans"/>
        </w:rPr>
        <w:t>以及与之配套的信息存储管理系统</w:t>
      </w:r>
      <w:r>
        <w:rPr>
          <w:rFonts w:hint="eastAsia" w:ascii="仿宋_GB2312" w:hAnsi="Times New Roman" w:eastAsia="仿宋_GB2312" w:cs="Times New Roman"/>
          <w:kern w:val="0"/>
          <w:sz w:val="32"/>
          <w:szCs w:val="32"/>
        </w:rPr>
        <w:t>，</w:t>
      </w:r>
      <w:r>
        <w:rPr>
          <w:rFonts w:hint="eastAsia" w:ascii="仿宋_GB2312" w:hAnsi="Times New Roman" w:eastAsia="仿宋_GB2312" w:cs="Times New Roman"/>
          <w:kern w:val="0"/>
          <w:sz w:val="32"/>
          <w:szCs w:val="32"/>
          <w:lang w:eastAsia="zh-Hans"/>
        </w:rPr>
        <w:t>如实记录消防监督检查、火灾现场勘查、举报投诉核查、实施行政强制等执法过程，实现远程传输执法信息、同步采集上传执法数据</w:t>
      </w:r>
      <w:r>
        <w:rPr>
          <w:rFonts w:hint="eastAsia" w:ascii="仿宋_GB2312" w:hAnsi="Times New Roman" w:eastAsia="仿宋_GB2312" w:cs="Times New Roman"/>
          <w:kern w:val="0"/>
          <w:sz w:val="32"/>
          <w:szCs w:val="32"/>
        </w:rPr>
        <w:t>，</w:t>
      </w:r>
      <w:r>
        <w:rPr>
          <w:rFonts w:hint="eastAsia" w:ascii="仿宋_GB2312" w:hAnsi="Times New Roman" w:eastAsia="仿宋_GB2312" w:cs="Times New Roman"/>
          <w:kern w:val="0"/>
          <w:sz w:val="32"/>
          <w:szCs w:val="32"/>
          <w:lang w:eastAsia="zh-Hans"/>
        </w:rPr>
        <w:t>确保消防监督执法全过程数字化记录</w:t>
      </w:r>
      <w:r>
        <w:rPr>
          <w:rFonts w:hint="eastAsia" w:ascii="仿宋_GB2312" w:hAnsi="Times New Roman" w:eastAsia="仿宋_GB2312" w:cs="Times New Roman"/>
          <w:kern w:val="0"/>
          <w:sz w:val="32"/>
          <w:szCs w:val="32"/>
        </w:rPr>
        <w:t>，</w:t>
      </w:r>
      <w:r>
        <w:rPr>
          <w:rFonts w:hint="eastAsia" w:ascii="仿宋_GB2312" w:hAnsi="Times New Roman" w:eastAsia="仿宋_GB2312" w:cs="Times New Roman"/>
          <w:kern w:val="0"/>
          <w:sz w:val="32"/>
          <w:szCs w:val="32"/>
          <w:lang w:eastAsia="zh-Hans"/>
        </w:rPr>
        <w:t>规范消防监督人员执法行为</w:t>
      </w:r>
      <w:r>
        <w:rPr>
          <w:rFonts w:ascii="仿宋_GB2312" w:hAnsi="Times New Roman" w:eastAsia="仿宋_GB2312" w:cs="Times New Roman"/>
          <w:kern w:val="0"/>
          <w:sz w:val="32"/>
          <w:szCs w:val="32"/>
          <w:lang w:eastAsia="zh-Hans"/>
        </w:rPr>
        <w:t>。</w:t>
      </w:r>
    </w:p>
    <w:p>
      <w:pPr>
        <w:snapToGrid w:val="0"/>
        <w:spacing w:line="600" w:lineRule="exact"/>
        <w:ind w:firstLine="482" w:firstLineChars="150"/>
        <w:rPr>
          <w:rFonts w:ascii="仿宋_GB2312" w:hAnsi="宋体" w:eastAsia="仿宋_GB2312" w:cs="Times New Roman"/>
          <w:sz w:val="32"/>
          <w:szCs w:val="32"/>
        </w:rPr>
      </w:pPr>
      <w:r>
        <w:rPr>
          <w:rFonts w:hint="eastAsia" w:ascii="楷体_GB2312" w:hAnsi="楷体" w:eastAsia="楷体_GB2312" w:cs="Times New Roman"/>
          <w:b/>
          <w:sz w:val="32"/>
          <w:szCs w:val="32"/>
          <w:lang w:eastAsia="zh-Hans"/>
        </w:rPr>
        <w:t>（</w:t>
      </w:r>
      <w:r>
        <w:rPr>
          <w:rFonts w:hint="eastAsia" w:ascii="楷体_GB2312" w:hAnsi="楷体" w:eastAsia="楷体_GB2312" w:cs="Times New Roman"/>
          <w:b/>
          <w:sz w:val="32"/>
          <w:szCs w:val="32"/>
        </w:rPr>
        <w:t>二</w:t>
      </w:r>
      <w:r>
        <w:rPr>
          <w:rFonts w:hint="eastAsia" w:ascii="楷体_GB2312" w:hAnsi="楷体" w:eastAsia="楷体_GB2312" w:cs="Times New Roman"/>
          <w:b/>
          <w:sz w:val="32"/>
          <w:szCs w:val="32"/>
          <w:lang w:eastAsia="zh-Hans"/>
        </w:rPr>
        <w:t>）加强灭火救援组织指挥能力。</w:t>
      </w:r>
      <w:r>
        <w:rPr>
          <w:rFonts w:hint="eastAsia" w:ascii="仿宋_GB2312" w:hAnsi="Times New Roman" w:eastAsia="仿宋_GB2312" w:cs="Times New Roman"/>
          <w:kern w:val="0"/>
          <w:sz w:val="32"/>
          <w:szCs w:val="32"/>
        </w:rPr>
        <w:t>建设覆盖丰台区满足接警、调度、指挥、信息收集发布的消防通信指挥系统,实现区域内统一调度指挥。建立灭火救援辅助决策情报信息系统，强化作战指挥中心灭火救援辅助决策和情报信息收集处理能力，强化信息化对灭火救援作战指挥的支撑作用。建立消防视频警务应用平台，实现与区内所有交通、治安等视频监控信息互联互通。建设4G单兵图传系统，配备适合单兵、车载、地下空间等多种佩戴方式和作战环境要求的视频传输设备。配备高层、地下、大跨度空间灭火救援配套的高精尖通信装备，提升火灾通信保障能力。</w:t>
      </w:r>
      <w:r>
        <w:rPr>
          <w:rFonts w:hint="eastAsia" w:ascii="仿宋_GB2312" w:hAnsi="Times New Roman" w:eastAsia="仿宋_GB2312" w:cs="Times New Roman"/>
          <w:sz w:val="32"/>
          <w:szCs w:val="32"/>
        </w:rPr>
        <w:t>建设</w:t>
      </w:r>
      <w:r>
        <w:rPr>
          <w:rFonts w:hint="eastAsia" w:ascii="仿宋_GB2312" w:hAnsi="宋体" w:eastAsia="仿宋_GB2312" w:cs="Times New Roman"/>
          <w:sz w:val="32"/>
          <w:szCs w:val="32"/>
        </w:rPr>
        <w:t>公共消防资源</w:t>
      </w:r>
      <w:r>
        <w:rPr>
          <w:rFonts w:hint="eastAsia" w:ascii="仿宋_GB2312" w:hAnsi="Times New Roman" w:eastAsia="仿宋_GB2312" w:cs="Times New Roman"/>
          <w:sz w:val="32"/>
          <w:szCs w:val="32"/>
        </w:rPr>
        <w:t>远程监控系统</w:t>
      </w:r>
      <w:r>
        <w:rPr>
          <w:rFonts w:hint="eastAsia" w:ascii="仿宋_GB2312" w:hAnsi="宋体" w:eastAsia="仿宋_GB2312" w:cs="Times New Roman"/>
          <w:sz w:val="32"/>
          <w:szCs w:val="32"/>
        </w:rPr>
        <w:t>，</w:t>
      </w:r>
      <w:r>
        <w:rPr>
          <w:rFonts w:hint="eastAsia" w:ascii="仿宋_GB2312" w:hAnsi="Times New Roman" w:eastAsia="仿宋_GB2312" w:cs="Times New Roman"/>
          <w:sz w:val="32"/>
          <w:szCs w:val="32"/>
        </w:rPr>
        <w:t>集成消防力量、消防水源、</w:t>
      </w:r>
      <w:r>
        <w:rPr>
          <w:rFonts w:hint="eastAsia" w:ascii="仿宋_GB2312" w:hAnsi="宋体" w:eastAsia="仿宋_GB2312" w:cs="Times New Roman"/>
          <w:sz w:val="32"/>
          <w:szCs w:val="32"/>
        </w:rPr>
        <w:t>消防车道、</w:t>
      </w:r>
      <w:r>
        <w:rPr>
          <w:rFonts w:hint="eastAsia" w:ascii="仿宋_GB2312" w:hAnsi="Times New Roman" w:eastAsia="仿宋_GB2312" w:cs="Times New Roman"/>
          <w:sz w:val="32"/>
          <w:szCs w:val="32"/>
        </w:rPr>
        <w:t>地理信息、路况信息等数据</w:t>
      </w:r>
      <w:r>
        <w:rPr>
          <w:rFonts w:hint="eastAsia" w:ascii="仿宋_GB2312" w:hAnsi="宋体" w:eastAsia="仿宋_GB2312" w:cs="Times New Roman"/>
          <w:sz w:val="32"/>
          <w:szCs w:val="32"/>
        </w:rPr>
        <w:t>，实现公共消防资源的智能化管理，</w:t>
      </w:r>
      <w:r>
        <w:rPr>
          <w:rFonts w:hint="eastAsia" w:ascii="仿宋_GB2312" w:hAnsi="仿宋" w:eastAsia="仿宋_GB2312" w:cs="仿宋"/>
          <w:sz w:val="32"/>
          <w:szCs w:val="32"/>
        </w:rPr>
        <w:t>加强</w:t>
      </w:r>
      <w:r>
        <w:rPr>
          <w:rFonts w:hint="eastAsia" w:ascii="仿宋_GB2312" w:hAnsi="Times New Roman" w:eastAsia="仿宋_GB2312" w:cs="Times New Roman"/>
          <w:sz w:val="32"/>
          <w:szCs w:val="32"/>
        </w:rPr>
        <w:t>灭火救援</w:t>
      </w:r>
      <w:r>
        <w:rPr>
          <w:rFonts w:hint="eastAsia" w:ascii="仿宋_GB2312" w:hAnsi="仿宋" w:eastAsia="仿宋_GB2312" w:cs="仿宋"/>
          <w:sz w:val="32"/>
          <w:szCs w:val="32"/>
        </w:rPr>
        <w:t>的情报信息支持</w:t>
      </w:r>
      <w:r>
        <w:rPr>
          <w:rFonts w:hint="eastAsia" w:ascii="仿宋_GB2312" w:hAnsi="宋体" w:eastAsia="仿宋_GB2312" w:cs="Times New Roman"/>
          <w:sz w:val="32"/>
          <w:szCs w:val="32"/>
        </w:rPr>
        <w:t>。利用三维动态、地理遥感等技术手段，建立灭火救援数字化预案系统。</w:t>
      </w:r>
    </w:p>
    <w:p>
      <w:pPr>
        <w:snapToGrid w:val="0"/>
        <w:spacing w:line="600" w:lineRule="exact"/>
        <w:ind w:firstLine="482" w:firstLineChars="150"/>
        <w:rPr>
          <w:rFonts w:ascii="仿宋_GB2312" w:hAnsi="Times New Roman" w:eastAsia="仿宋_GB2312" w:cs="Times New Roman"/>
          <w:kern w:val="0"/>
          <w:sz w:val="32"/>
          <w:szCs w:val="32"/>
          <w:lang w:eastAsia="zh-Hans"/>
        </w:rPr>
      </w:pPr>
      <w:r>
        <w:rPr>
          <w:rFonts w:hint="eastAsia" w:ascii="楷体_GB2312" w:hAnsi="楷体" w:eastAsia="楷体_GB2312" w:cs="Times New Roman"/>
          <w:b/>
          <w:sz w:val="32"/>
          <w:szCs w:val="32"/>
          <w:lang w:eastAsia="zh-Hans"/>
        </w:rPr>
        <w:t>（</w:t>
      </w:r>
      <w:r>
        <w:rPr>
          <w:rFonts w:hint="eastAsia" w:ascii="楷体_GB2312" w:hAnsi="楷体" w:eastAsia="楷体_GB2312" w:cs="Times New Roman"/>
          <w:b/>
          <w:sz w:val="32"/>
          <w:szCs w:val="32"/>
        </w:rPr>
        <w:t>三</w:t>
      </w:r>
      <w:r>
        <w:rPr>
          <w:rFonts w:hint="eastAsia" w:ascii="楷体_GB2312" w:hAnsi="楷体" w:eastAsia="楷体_GB2312" w:cs="Times New Roman"/>
          <w:b/>
          <w:sz w:val="32"/>
          <w:szCs w:val="32"/>
          <w:lang w:eastAsia="zh-Hans"/>
        </w:rPr>
        <w:t>）提升建筑消防设施有效率。</w:t>
      </w:r>
      <w:r>
        <w:rPr>
          <w:rFonts w:hint="eastAsia" w:ascii="仿宋_GB2312" w:hAnsi="Times New Roman" w:eastAsia="仿宋_GB2312" w:cs="Times New Roman"/>
          <w:kern w:val="0"/>
          <w:sz w:val="32"/>
          <w:szCs w:val="32"/>
          <w:lang w:eastAsia="zh-Hans"/>
        </w:rPr>
        <w:t>完善支队级物联网远程监控系统功能</w:t>
      </w:r>
      <w:r>
        <w:rPr>
          <w:rFonts w:ascii="仿宋_GB2312" w:hAnsi="Times New Roman" w:eastAsia="仿宋_GB2312" w:cs="Times New Roman"/>
          <w:kern w:val="0"/>
          <w:sz w:val="32"/>
          <w:szCs w:val="32"/>
          <w:lang w:eastAsia="zh-Hans"/>
        </w:rPr>
        <w:t>，</w:t>
      </w:r>
      <w:r>
        <w:rPr>
          <w:rFonts w:hint="eastAsia" w:ascii="仿宋_GB2312" w:hAnsi="Times New Roman" w:eastAsia="仿宋_GB2312" w:cs="Times New Roman"/>
          <w:kern w:val="0"/>
          <w:sz w:val="32"/>
          <w:szCs w:val="32"/>
          <w:lang w:eastAsia="zh-Hans"/>
        </w:rPr>
        <w:t>配置初期火灾处置机动车</w:t>
      </w:r>
      <w:r>
        <w:rPr>
          <w:rFonts w:ascii="仿宋_GB2312" w:hAnsi="Times New Roman" w:eastAsia="仿宋_GB2312" w:cs="Times New Roman"/>
          <w:kern w:val="0"/>
          <w:sz w:val="32"/>
          <w:szCs w:val="32"/>
          <w:lang w:eastAsia="zh-Hans"/>
        </w:rPr>
        <w:t>，</w:t>
      </w:r>
      <w:r>
        <w:rPr>
          <w:rFonts w:hint="eastAsia" w:ascii="仿宋_GB2312" w:hAnsi="Times New Roman" w:eastAsia="仿宋_GB2312" w:cs="Times New Roman"/>
          <w:kern w:val="0"/>
          <w:sz w:val="32"/>
          <w:szCs w:val="32"/>
          <w:lang w:eastAsia="zh-Hans"/>
        </w:rPr>
        <w:t>督促指导具有固定消防设施场所联入支队级物联网远程监控系统</w:t>
      </w:r>
      <w:r>
        <w:rPr>
          <w:rFonts w:ascii="仿宋_GB2312" w:hAnsi="Times New Roman" w:eastAsia="仿宋_GB2312" w:cs="Times New Roman"/>
          <w:kern w:val="0"/>
          <w:sz w:val="32"/>
          <w:szCs w:val="32"/>
          <w:lang w:eastAsia="zh-Hans"/>
        </w:rPr>
        <w:t>，</w:t>
      </w:r>
      <w:r>
        <w:rPr>
          <w:rFonts w:hint="eastAsia" w:ascii="仿宋_GB2312" w:hAnsi="Times New Roman" w:eastAsia="仿宋_GB2312" w:cs="Times New Roman"/>
          <w:kern w:val="0"/>
          <w:sz w:val="32"/>
          <w:szCs w:val="32"/>
          <w:lang w:eastAsia="zh-Hans"/>
        </w:rPr>
        <w:t>确保支队</w:t>
      </w:r>
      <w:r>
        <w:rPr>
          <w:rFonts w:ascii="仿宋_GB2312" w:hAnsi="Times New Roman" w:eastAsia="仿宋_GB2312" w:cs="Times New Roman"/>
          <w:kern w:val="0"/>
          <w:sz w:val="32"/>
          <w:szCs w:val="32"/>
          <w:lang w:eastAsia="zh-Hans"/>
        </w:rPr>
        <w:t>119</w:t>
      </w:r>
      <w:r>
        <w:rPr>
          <w:rFonts w:hint="eastAsia" w:ascii="仿宋_GB2312" w:hAnsi="Times New Roman" w:eastAsia="仿宋_GB2312" w:cs="Times New Roman"/>
          <w:kern w:val="0"/>
          <w:sz w:val="32"/>
          <w:szCs w:val="32"/>
          <w:lang w:eastAsia="zh-Hans"/>
        </w:rPr>
        <w:t>接警平台通过物联网远程监控系统第一时间发现火警</w:t>
      </w:r>
      <w:r>
        <w:rPr>
          <w:rFonts w:ascii="仿宋_GB2312" w:hAnsi="Times New Roman" w:eastAsia="仿宋_GB2312" w:cs="Times New Roman"/>
          <w:kern w:val="0"/>
          <w:sz w:val="32"/>
          <w:szCs w:val="32"/>
          <w:lang w:eastAsia="zh-Hans"/>
        </w:rPr>
        <w:t>、</w:t>
      </w:r>
      <w:r>
        <w:rPr>
          <w:rFonts w:hint="eastAsia" w:ascii="仿宋_GB2312" w:hAnsi="Times New Roman" w:eastAsia="仿宋_GB2312" w:cs="Times New Roman"/>
          <w:kern w:val="0"/>
          <w:sz w:val="32"/>
          <w:szCs w:val="32"/>
          <w:lang w:eastAsia="zh-Hans"/>
        </w:rPr>
        <w:t>第一时间出动</w:t>
      </w:r>
      <w:r>
        <w:rPr>
          <w:rFonts w:ascii="仿宋_GB2312" w:hAnsi="Times New Roman" w:eastAsia="仿宋_GB2312" w:cs="Times New Roman"/>
          <w:kern w:val="0"/>
          <w:sz w:val="32"/>
          <w:szCs w:val="32"/>
          <w:lang w:eastAsia="zh-Hans"/>
        </w:rPr>
        <w:t>、</w:t>
      </w:r>
      <w:r>
        <w:rPr>
          <w:rFonts w:hint="eastAsia" w:ascii="仿宋_GB2312" w:hAnsi="Times New Roman" w:eastAsia="仿宋_GB2312" w:cs="Times New Roman"/>
          <w:kern w:val="0"/>
          <w:sz w:val="32"/>
          <w:szCs w:val="32"/>
          <w:lang w:eastAsia="zh-Hans"/>
        </w:rPr>
        <w:t>第一时间有效处置火灾</w:t>
      </w:r>
      <w:r>
        <w:rPr>
          <w:rFonts w:ascii="仿宋_GB2312" w:hAnsi="Times New Roman" w:eastAsia="仿宋_GB2312" w:cs="Times New Roman"/>
          <w:kern w:val="0"/>
          <w:sz w:val="32"/>
          <w:szCs w:val="32"/>
          <w:lang w:eastAsia="zh-Hans"/>
        </w:rPr>
        <w:t>，</w:t>
      </w:r>
      <w:r>
        <w:rPr>
          <w:rFonts w:hint="eastAsia" w:ascii="仿宋_GB2312" w:hAnsi="Times New Roman" w:eastAsia="仿宋_GB2312" w:cs="Times New Roman"/>
          <w:kern w:val="0"/>
          <w:sz w:val="32"/>
          <w:szCs w:val="32"/>
          <w:lang w:eastAsia="zh-Hans"/>
        </w:rPr>
        <w:t>避免小火蔓延成大火</w:t>
      </w:r>
      <w:r>
        <w:rPr>
          <w:rFonts w:ascii="仿宋_GB2312" w:hAnsi="Times New Roman" w:eastAsia="仿宋_GB2312" w:cs="Times New Roman"/>
          <w:kern w:val="0"/>
          <w:sz w:val="32"/>
          <w:szCs w:val="32"/>
          <w:lang w:eastAsia="zh-Hans"/>
        </w:rPr>
        <w:t>。</w:t>
      </w:r>
    </w:p>
    <w:p>
      <w:pPr>
        <w:snapToGrid w:val="0"/>
        <w:spacing w:line="600" w:lineRule="exact"/>
        <w:ind w:firstLine="482" w:firstLineChars="150"/>
        <w:rPr>
          <w:rFonts w:ascii="仿宋_GB2312" w:hAnsi="Times New Roman" w:eastAsia="仿宋_GB2312" w:cs="Times New Roman"/>
          <w:kern w:val="0"/>
          <w:sz w:val="32"/>
          <w:szCs w:val="32"/>
        </w:rPr>
      </w:pPr>
      <w:r>
        <w:rPr>
          <w:rFonts w:hint="eastAsia" w:ascii="楷体" w:hAnsi="楷体" w:eastAsia="楷体" w:cs="楷体"/>
          <w:b/>
          <w:bCs/>
          <w:sz w:val="32"/>
          <w:szCs w:val="32"/>
        </w:rPr>
        <w:t>（四）</w:t>
      </w:r>
      <w:r>
        <w:rPr>
          <w:rFonts w:hint="eastAsia" w:ascii="楷体" w:hAnsi="楷体" w:eastAsia="楷体" w:cs="楷体"/>
          <w:b/>
          <w:bCs/>
          <w:kern w:val="0"/>
          <w:sz w:val="32"/>
          <w:szCs w:val="32"/>
        </w:rPr>
        <w:t>加快推进“智慧消防”建设。</w:t>
      </w:r>
      <w:r>
        <w:rPr>
          <w:rFonts w:hint="eastAsia" w:ascii="仿宋_GB2312" w:hAnsi="Times New Roman" w:eastAsia="仿宋_GB2312" w:cs="Times New Roman"/>
          <w:kern w:val="0"/>
          <w:sz w:val="32"/>
          <w:szCs w:val="32"/>
        </w:rPr>
        <w:t>按照“智慧丰台”的统一部署，扎实开展丰台区消防指挥中心的“二期”建设，推动运用物联网、大数据、移动终端APP等“互联网+”技术，全时段、可视化监测消防安全状况，实时化、智能化评估消防安全风险，精准推送预警信息和防范措施。围绕消防救援实战需求，建设统一的消防救援大数据库和“智慧消防”一张图系统，推动消防工作科技化、信息化、智能化。开发建设消防设备管理、动态火灾救援、综合态势分析、消防大舆情等七大平台。建设消防综合数据库，推动“智慧消防”嵌入“智慧丰台”建设，实现城市运行感知数据与应急指挥数据的深度融合和互联互通，打造政府、部门、单位和消防共享共治平台。在深化应用上下功夫，推动了社会火灾防控、灭火救援能力和部队管理水平的全面提升。</w:t>
      </w:r>
    </w:p>
    <w:p>
      <w:pPr>
        <w:snapToGrid w:val="0"/>
        <w:spacing w:line="600" w:lineRule="exact"/>
        <w:ind w:firstLine="482" w:firstLineChars="150"/>
        <w:rPr>
          <w:rFonts w:ascii="仿宋_GB2312" w:hAnsi="宋体" w:eastAsia="仿宋_GB2312" w:cs="Times New Roman"/>
          <w:sz w:val="32"/>
          <w:szCs w:val="32"/>
        </w:rPr>
      </w:pPr>
      <w:r>
        <w:rPr>
          <w:rFonts w:hint="eastAsia" w:ascii="楷体" w:hAnsi="楷体" w:eastAsia="楷体" w:cs="楷体"/>
          <w:b/>
          <w:bCs/>
          <w:sz w:val="32"/>
          <w:szCs w:val="32"/>
        </w:rPr>
        <w:t>（五）开展社会化消防指挥的网格建设。</w:t>
      </w:r>
      <w:r>
        <w:rPr>
          <w:rFonts w:hint="eastAsia" w:ascii="仿宋_GB2312" w:hAnsi="宋体" w:eastAsia="仿宋_GB2312" w:cs="Times New Roman"/>
          <w:sz w:val="32"/>
          <w:szCs w:val="32"/>
        </w:rPr>
        <w:t>建立全区“区——街道（镇）——网格单元”的三级消防指挥和责任体系，对全区消防救援力量分布、重点单位、场所、人员活动进行网格化管理，充分利用物联网、智能感知、网络视频传输等技术和装备，提升基础网格的自防自救和灭火救援指挥能力。</w:t>
      </w:r>
    </w:p>
    <w:p>
      <w:pPr>
        <w:snapToGrid w:val="0"/>
        <w:spacing w:line="600" w:lineRule="exact"/>
        <w:ind w:firstLine="482" w:firstLineChars="150"/>
        <w:rPr>
          <w:rFonts w:ascii="仿宋_GB2312" w:hAnsi="宋体" w:eastAsia="仿宋_GB2312" w:cs="Times New Roman"/>
          <w:sz w:val="32"/>
          <w:szCs w:val="32"/>
        </w:rPr>
      </w:pPr>
      <w:r>
        <w:rPr>
          <w:rFonts w:hint="eastAsia" w:ascii="楷体" w:hAnsi="楷体" w:eastAsia="楷体" w:cs="楷体"/>
          <w:b/>
          <w:bCs/>
          <w:sz w:val="32"/>
          <w:szCs w:val="32"/>
        </w:rPr>
        <w:t>（六）推进消防移动通信指挥中心建设。</w:t>
      </w:r>
      <w:r>
        <w:rPr>
          <w:rFonts w:hint="eastAsia" w:ascii="仿宋_GB2312" w:hAnsi="宋体" w:eastAsia="仿宋_GB2312" w:cs="Times New Roman"/>
          <w:sz w:val="32"/>
          <w:szCs w:val="32"/>
        </w:rPr>
        <w:t>根据全区消防指挥任务的需要，建设移动通信指挥中心和移动（车载、便捷）卫星站。集成卫星通信、有线通信、无线通信、广播扩音、计算机数据通信等通信技术和设备，与区消防指挥中心以及上级指挥机关互联互通，实现对火灾及其他灾害事故现场的通信指挥。</w:t>
      </w:r>
    </w:p>
    <w:p>
      <w:pPr>
        <w:snapToGrid w:val="0"/>
        <w:spacing w:line="600" w:lineRule="exact"/>
        <w:ind w:firstLine="482" w:firstLineChars="150"/>
        <w:rPr>
          <w:rFonts w:ascii="宋体" w:hAnsi="宋体" w:eastAsia="宋体" w:cs="宋体"/>
          <w:b/>
          <w:color w:val="000000"/>
          <w:kern w:val="0"/>
          <w:sz w:val="44"/>
          <w:szCs w:val="44"/>
        </w:rPr>
      </w:pPr>
      <w:r>
        <w:rPr>
          <w:rFonts w:hint="eastAsia" w:ascii="楷体" w:hAnsi="楷体" w:eastAsia="楷体" w:cs="楷体"/>
          <w:b/>
          <w:bCs/>
          <w:sz w:val="32"/>
          <w:szCs w:val="32"/>
        </w:rPr>
        <w:t>（七）推进应急通信保障队伍建设。</w:t>
      </w:r>
      <w:r>
        <w:rPr>
          <w:rFonts w:hint="eastAsia" w:ascii="仿宋_GB2312" w:hAnsi="宋体" w:eastAsia="仿宋_GB2312" w:cs="Times New Roman"/>
          <w:sz w:val="32"/>
          <w:szCs w:val="32"/>
        </w:rPr>
        <w:t>组建高层、地下建筑消防救援应急通信专业队，在运营商信号不能覆盖或对无线信号通信影响较大的区域架设图像中继和语音中继，上传救援图像，完成高层、地下建筑消防救援中现场无线通信组网的任务。同时组建无人机专业队，承担航拍、侦察、照明、制图、测绘、载重等任务。配齐配强 “高精尖”应急通信装备，加强应急通信训练演练，打造一支适应“全灾种、大应急”需要的消防救援应急通信保障队伍，提升复杂场所、恶劣环境、极端条件等情况下的应急通信保障能力。</w:t>
      </w:r>
    </w:p>
    <w:p>
      <w:pPr>
        <w:keepNext/>
        <w:keepLines/>
        <w:pageBreakBefore/>
        <w:spacing w:line="600" w:lineRule="exact"/>
        <w:jc w:val="center"/>
        <w:outlineLvl w:val="0"/>
        <w:rPr>
          <w:rFonts w:ascii="Calibri" w:hAnsi="Calibri" w:eastAsia="黑体" w:cs="Times New Roman"/>
          <w:b/>
          <w:kern w:val="44"/>
          <w:sz w:val="44"/>
          <w:szCs w:val="24"/>
        </w:rPr>
      </w:pPr>
      <w:bookmarkStart w:id="24" w:name="_Toc23402"/>
      <w:r>
        <w:rPr>
          <w:rFonts w:hint="eastAsia" w:ascii="Calibri" w:hAnsi="Calibri" w:eastAsia="黑体" w:cs="Times New Roman"/>
          <w:b/>
          <w:kern w:val="44"/>
          <w:sz w:val="44"/>
          <w:szCs w:val="24"/>
        </w:rPr>
        <w:t>第四章 重大项目</w:t>
      </w:r>
      <w:bookmarkEnd w:id="24"/>
    </w:p>
    <w:p>
      <w:pPr>
        <w:keepNext/>
        <w:keepLines/>
        <w:spacing w:line="600" w:lineRule="exact"/>
        <w:jc w:val="left"/>
        <w:outlineLvl w:val="1"/>
        <w:rPr>
          <w:rFonts w:ascii="Arial" w:hAnsi="Arial" w:eastAsia="黑体" w:cs="Times New Roman"/>
          <w:b/>
          <w:sz w:val="32"/>
          <w:szCs w:val="24"/>
        </w:rPr>
      </w:pPr>
      <w:r>
        <w:rPr>
          <w:rFonts w:hint="eastAsia" w:ascii="Arial" w:hAnsi="Arial" w:eastAsia="黑体" w:cs="Times New Roman"/>
          <w:b/>
          <w:sz w:val="32"/>
          <w:szCs w:val="24"/>
        </w:rPr>
        <w:t xml:space="preserve">  </w:t>
      </w:r>
      <w:r>
        <w:rPr>
          <w:rFonts w:ascii="Arial" w:hAnsi="Arial" w:eastAsia="黑体" w:cs="Times New Roman"/>
          <w:b/>
          <w:sz w:val="32"/>
          <w:szCs w:val="24"/>
        </w:rPr>
        <w:t xml:space="preserve">  </w:t>
      </w:r>
      <w:bookmarkStart w:id="25" w:name="_Toc10106"/>
      <w:r>
        <w:rPr>
          <w:rFonts w:hint="eastAsia" w:ascii="Arial" w:hAnsi="Arial" w:eastAsia="黑体" w:cs="Times New Roman"/>
          <w:b/>
          <w:sz w:val="32"/>
          <w:szCs w:val="24"/>
        </w:rPr>
        <w:t>一、训练基地及战勤保障基地合建项目</w:t>
      </w:r>
      <w:bookmarkEnd w:id="25"/>
    </w:p>
    <w:p>
      <w:pPr>
        <w:snapToGrid w:val="0"/>
        <w:spacing w:line="600" w:lineRule="exact"/>
        <w:ind w:firstLine="640" w:firstLineChars="200"/>
        <w:rPr>
          <w:rFonts w:ascii="仿宋_GB2312" w:hAnsi="黑体" w:eastAsia="仿宋_GB2312" w:cs="Times New Roman"/>
          <w:color w:val="000000"/>
          <w:sz w:val="32"/>
          <w:szCs w:val="32"/>
        </w:rPr>
      </w:pPr>
      <w:r>
        <w:rPr>
          <w:rFonts w:hint="eastAsia" w:ascii="仿宋_GB2312" w:hAnsi="黑体" w:eastAsia="仿宋_GB2312" w:cs="Times New Roman"/>
          <w:color w:val="000000"/>
          <w:sz w:val="32"/>
          <w:szCs w:val="32"/>
        </w:rPr>
        <w:t>推动</w:t>
      </w:r>
      <w:r>
        <w:rPr>
          <w:rFonts w:ascii="仿宋_GB2312" w:hAnsi="黑体" w:eastAsia="仿宋_GB2312" w:cs="Times New Roman"/>
          <w:color w:val="000000"/>
          <w:sz w:val="32"/>
          <w:szCs w:val="32"/>
        </w:rPr>
        <w:t>河西地区建设训练基地及战勤保障基地</w:t>
      </w:r>
      <w:r>
        <w:rPr>
          <w:rFonts w:hint="eastAsia" w:ascii="仿宋_GB2312" w:hAnsi="黑体" w:eastAsia="仿宋_GB2312" w:cs="Times New Roman"/>
          <w:color w:val="000000"/>
          <w:sz w:val="32"/>
          <w:szCs w:val="32"/>
        </w:rPr>
        <w:t>合</w:t>
      </w:r>
      <w:r>
        <w:rPr>
          <w:rFonts w:ascii="仿宋_GB2312" w:hAnsi="黑体" w:eastAsia="仿宋_GB2312" w:cs="Times New Roman"/>
          <w:color w:val="000000"/>
          <w:sz w:val="32"/>
          <w:szCs w:val="32"/>
        </w:rPr>
        <w:t>建项目</w:t>
      </w:r>
      <w:r>
        <w:rPr>
          <w:rFonts w:hint="eastAsia" w:ascii="仿宋_GB2312" w:hAnsi="黑体" w:eastAsia="仿宋_GB2312" w:cs="Times New Roman"/>
          <w:color w:val="000000"/>
          <w:sz w:val="32"/>
          <w:szCs w:val="32"/>
        </w:rPr>
        <w:t>，依托市级综合性训练基地与本区专业性救援基地，提升消防指战员综合训练水平与处置重大灾害事故能力。</w:t>
      </w:r>
    </w:p>
    <w:p>
      <w:pPr>
        <w:keepNext/>
        <w:keepLines/>
        <w:spacing w:line="600" w:lineRule="exact"/>
        <w:jc w:val="left"/>
        <w:outlineLvl w:val="1"/>
        <w:rPr>
          <w:rFonts w:ascii="楷体" w:hAnsi="楷体" w:eastAsia="楷体" w:cs="楷体"/>
          <w:b/>
          <w:bCs/>
          <w:color w:val="000000"/>
          <w:sz w:val="32"/>
          <w:szCs w:val="32"/>
          <w:lang w:eastAsia="zh-Hans"/>
        </w:rPr>
      </w:pPr>
      <w:r>
        <w:rPr>
          <w:rFonts w:hint="eastAsia" w:ascii="Arial" w:hAnsi="Arial" w:eastAsia="黑体" w:cs="Times New Roman"/>
          <w:b/>
          <w:sz w:val="32"/>
          <w:szCs w:val="24"/>
        </w:rPr>
        <w:t xml:space="preserve"> </w:t>
      </w:r>
      <w:r>
        <w:rPr>
          <w:rFonts w:ascii="Arial" w:hAnsi="Arial" w:eastAsia="黑体" w:cs="Times New Roman"/>
          <w:b/>
          <w:sz w:val="32"/>
          <w:szCs w:val="24"/>
        </w:rPr>
        <w:t xml:space="preserve">   </w:t>
      </w:r>
      <w:bookmarkStart w:id="26" w:name="_Toc13268"/>
      <w:r>
        <w:rPr>
          <w:rFonts w:hint="eastAsia" w:ascii="Arial" w:hAnsi="Arial" w:eastAsia="黑体" w:cs="Times New Roman"/>
          <w:b/>
          <w:sz w:val="32"/>
          <w:szCs w:val="24"/>
        </w:rPr>
        <w:t>二、消防救援站建设改造项目</w:t>
      </w:r>
      <w:bookmarkEnd w:id="26"/>
    </w:p>
    <w:p>
      <w:pPr>
        <w:widowControl/>
        <w:spacing w:line="600" w:lineRule="exact"/>
        <w:ind w:firstLine="640" w:firstLineChars="200"/>
        <w:rPr>
          <w:rFonts w:ascii="仿宋_GB2312" w:hAnsi="Times New Roman" w:eastAsia="仿宋_GB2312" w:cs="Times New Roman"/>
          <w:sz w:val="32"/>
          <w:szCs w:val="28"/>
        </w:rPr>
      </w:pPr>
      <w:r>
        <w:rPr>
          <w:rFonts w:hint="eastAsia" w:ascii="仿宋_GB2312" w:hAnsi="Times New Roman" w:eastAsia="仿宋_GB2312" w:cs="Times New Roman"/>
          <w:sz w:val="32"/>
          <w:szCs w:val="28"/>
        </w:rPr>
        <w:t>新建郑常庄、张郭庄、卢沟桥</w:t>
      </w:r>
      <w:r>
        <w:rPr>
          <w:rFonts w:ascii="仿宋_GB2312" w:hAnsi="Times New Roman" w:eastAsia="仿宋_GB2312" w:cs="Times New Roman"/>
          <w:sz w:val="32"/>
          <w:szCs w:val="28"/>
        </w:rPr>
        <w:t>等3</w:t>
      </w:r>
      <w:r>
        <w:rPr>
          <w:rFonts w:hint="eastAsia" w:ascii="仿宋_GB2312" w:hAnsi="Times New Roman" w:eastAsia="仿宋_GB2312" w:cs="Times New Roman"/>
          <w:sz w:val="32"/>
          <w:szCs w:val="28"/>
        </w:rPr>
        <w:t>座城市消防救援站。推动老旧消防救援站的改造。全力推进在火灾危险性大、人员密集、历史街区、高层建筑密集区域、城镇结合部地区小型消防站的建设。在现有6</w:t>
      </w:r>
      <w:r>
        <w:rPr>
          <w:rFonts w:ascii="仿宋_GB2312" w:hAnsi="Times New Roman" w:eastAsia="仿宋_GB2312" w:cs="Times New Roman"/>
          <w:sz w:val="32"/>
          <w:szCs w:val="28"/>
        </w:rPr>
        <w:t>84</w:t>
      </w:r>
      <w:r>
        <w:rPr>
          <w:rFonts w:hint="eastAsia" w:ascii="仿宋_GB2312" w:hAnsi="Times New Roman" w:eastAsia="仿宋_GB2312" w:cs="Times New Roman"/>
          <w:sz w:val="32"/>
          <w:szCs w:val="28"/>
        </w:rPr>
        <w:t>个微型消防站的基础上推动有条件的农村、社区、单位新建微型消防站。</w:t>
      </w:r>
    </w:p>
    <w:p>
      <w:pPr>
        <w:keepNext/>
        <w:keepLines/>
        <w:spacing w:line="600" w:lineRule="exact"/>
        <w:ind w:firstLine="643" w:firstLineChars="200"/>
        <w:jc w:val="left"/>
        <w:outlineLvl w:val="1"/>
        <w:rPr>
          <w:rFonts w:ascii="Arial" w:hAnsi="Arial" w:eastAsia="黑体" w:cs="Times New Roman"/>
          <w:b/>
          <w:sz w:val="32"/>
          <w:szCs w:val="24"/>
        </w:rPr>
      </w:pPr>
      <w:bookmarkStart w:id="27" w:name="_Toc17877"/>
      <w:r>
        <w:rPr>
          <w:rFonts w:hint="eastAsia" w:ascii="Arial" w:hAnsi="Arial" w:eastAsia="黑体" w:cs="Times New Roman"/>
          <w:b/>
          <w:sz w:val="32"/>
          <w:szCs w:val="24"/>
        </w:rPr>
        <w:t>三、消防水源建设项目</w:t>
      </w:r>
      <w:bookmarkEnd w:id="27"/>
    </w:p>
    <w:p>
      <w:pPr>
        <w:widowControl/>
        <w:snapToGrid w:val="0"/>
        <w:spacing w:line="600" w:lineRule="exact"/>
        <w:ind w:firstLine="640" w:firstLineChars="200"/>
        <w:rPr>
          <w:rFonts w:ascii="仿宋_GB2312" w:hAnsi="Times New Roman" w:eastAsia="仿宋_GB2312" w:cs="宋体"/>
          <w:color w:val="000000"/>
          <w:sz w:val="32"/>
          <w:szCs w:val="32"/>
        </w:rPr>
      </w:pPr>
      <w:r>
        <w:rPr>
          <w:rFonts w:hint="eastAsia" w:ascii="仿宋_GB2312" w:hAnsi="Times New Roman" w:eastAsia="仿宋_GB2312" w:cs="宋体"/>
          <w:color w:val="000000"/>
          <w:sz w:val="32"/>
          <w:szCs w:val="32"/>
        </w:rPr>
        <w:t>在河西等消防供水不足的平房胡同区、工业园区、仓储物流连片区、城镇结合部、农村等缺水或水源不足地区，由属地政府依托市政供水管网、机井</w:t>
      </w:r>
      <w:r>
        <w:rPr>
          <w:rFonts w:ascii="仿宋_GB2312" w:hAnsi="Times New Roman" w:eastAsia="仿宋_GB2312" w:cs="宋体"/>
          <w:color w:val="000000"/>
          <w:sz w:val="32"/>
          <w:szCs w:val="32"/>
        </w:rPr>
        <w:t>、</w:t>
      </w:r>
      <w:r>
        <w:rPr>
          <w:rFonts w:hint="eastAsia" w:ascii="仿宋_GB2312" w:hAnsi="Times New Roman" w:eastAsia="仿宋_GB2312" w:cs="宋体"/>
          <w:color w:val="000000"/>
          <w:sz w:val="32"/>
          <w:szCs w:val="32"/>
          <w:lang w:eastAsia="zh-Hans"/>
        </w:rPr>
        <w:t>移动水箱</w:t>
      </w:r>
      <w:r>
        <w:rPr>
          <w:rFonts w:hint="eastAsia" w:ascii="仿宋_GB2312" w:hAnsi="Times New Roman" w:eastAsia="仿宋_GB2312" w:cs="宋体"/>
          <w:color w:val="000000"/>
          <w:sz w:val="32"/>
          <w:szCs w:val="32"/>
        </w:rPr>
        <w:t>或天然水源设置消防水池、</w:t>
      </w:r>
      <w:r>
        <w:rPr>
          <w:rFonts w:hint="eastAsia" w:ascii="仿宋_GB2312" w:hAnsi="Times New Roman" w:eastAsia="仿宋_GB2312" w:cs="Times New Roman"/>
          <w:sz w:val="32"/>
          <w:szCs w:val="32"/>
        </w:rPr>
        <w:t>取水码头、</w:t>
      </w:r>
      <w:r>
        <w:rPr>
          <w:rFonts w:hint="eastAsia" w:ascii="仿宋_GB2312" w:hAnsi="Times New Roman" w:eastAsia="仿宋_GB2312" w:cs="宋体"/>
          <w:color w:val="000000"/>
          <w:sz w:val="32"/>
          <w:szCs w:val="32"/>
        </w:rPr>
        <w:t>消防水鹤。推动</w:t>
      </w:r>
      <w:r>
        <w:rPr>
          <w:rFonts w:hint="eastAsia" w:ascii="仿宋_GB2312" w:hAnsi="Times New Roman" w:eastAsia="仿宋_GB2312" w:cs="宋体"/>
          <w:color w:val="000000"/>
          <w:sz w:val="32"/>
          <w:szCs w:val="32"/>
          <w:lang w:eastAsia="zh-Hans"/>
        </w:rPr>
        <w:t>市自来水公司</w:t>
      </w:r>
      <w:r>
        <w:rPr>
          <w:rFonts w:hint="eastAsia" w:ascii="仿宋_GB2312" w:hAnsi="Times New Roman" w:eastAsia="仿宋_GB2312" w:cs="宋体"/>
          <w:color w:val="000000"/>
          <w:sz w:val="32"/>
          <w:szCs w:val="32"/>
        </w:rPr>
        <w:t>市政消火栓与城市供水、道路、老旧城区改造等基础设施同步规划、同步建设，确保市政消火栓维护完好率</w:t>
      </w:r>
      <w:r>
        <w:rPr>
          <w:rFonts w:hint="eastAsia" w:ascii="仿宋_GB2312" w:hAnsi="Times New Roman" w:eastAsia="仿宋_GB2312" w:cs="宋体"/>
          <w:color w:val="000000"/>
          <w:sz w:val="32"/>
          <w:szCs w:val="32"/>
          <w:lang w:eastAsia="zh-Hans"/>
        </w:rPr>
        <w:t>达到</w:t>
      </w:r>
      <w:r>
        <w:rPr>
          <w:rFonts w:hint="eastAsia" w:ascii="仿宋_GB2312" w:hAnsi="Times New Roman" w:eastAsia="仿宋_GB2312" w:cs="宋体"/>
          <w:color w:val="000000"/>
          <w:sz w:val="32"/>
          <w:szCs w:val="32"/>
        </w:rPr>
        <w:t>9</w:t>
      </w:r>
      <w:r>
        <w:rPr>
          <w:rFonts w:ascii="仿宋_GB2312" w:hAnsi="Times New Roman" w:eastAsia="仿宋_GB2312" w:cs="宋体"/>
          <w:color w:val="000000"/>
          <w:sz w:val="32"/>
          <w:szCs w:val="32"/>
        </w:rPr>
        <w:t>8</w:t>
      </w:r>
      <w:r>
        <w:rPr>
          <w:rFonts w:hint="eastAsia" w:ascii="仿宋_GB2312" w:hAnsi="Times New Roman" w:eastAsia="仿宋_GB2312" w:cs="宋体"/>
          <w:color w:val="000000"/>
          <w:sz w:val="32"/>
          <w:szCs w:val="32"/>
        </w:rPr>
        <w:t>%以上。</w:t>
      </w:r>
    </w:p>
    <w:p>
      <w:pPr>
        <w:keepNext/>
        <w:keepLines/>
        <w:spacing w:line="600" w:lineRule="exact"/>
        <w:ind w:firstLine="643" w:firstLineChars="200"/>
        <w:jc w:val="left"/>
        <w:outlineLvl w:val="1"/>
        <w:rPr>
          <w:rFonts w:ascii="Arial" w:hAnsi="Arial" w:eastAsia="黑体" w:cs="Times New Roman"/>
          <w:b/>
          <w:sz w:val="32"/>
          <w:szCs w:val="24"/>
        </w:rPr>
      </w:pPr>
      <w:bookmarkStart w:id="28" w:name="_Toc4241"/>
      <w:r>
        <w:rPr>
          <w:rFonts w:hint="eastAsia" w:ascii="Arial" w:hAnsi="Arial" w:eastAsia="黑体" w:cs="Times New Roman"/>
          <w:b/>
          <w:sz w:val="32"/>
          <w:szCs w:val="24"/>
        </w:rPr>
        <w:t>四、消防救援装备转型升级项目</w:t>
      </w:r>
      <w:bookmarkEnd w:id="28"/>
    </w:p>
    <w:p>
      <w:pPr>
        <w:widowControl/>
        <w:snapToGrid w:val="0"/>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结合各类灾害特点，加强消防装备配置与革新，进一步改善消防装备结构，进一步提升消防装备效能，统筹升级配备举高类、专业救援类、灾害救援类、战勤保障类、巡逻执勤类车辆。</w:t>
      </w:r>
      <w:r>
        <w:rPr>
          <w:rFonts w:hint="eastAsia" w:ascii="仿宋_GB2312" w:hAnsi="Times New Roman" w:eastAsia="仿宋_GB2312" w:cs="宋体"/>
          <w:color w:val="000000"/>
          <w:sz w:val="32"/>
          <w:szCs w:val="32"/>
        </w:rPr>
        <w:t>加强灭火药剂、防护装备、抢险救援器材、灭火器材、生活保障等专业储备，强化</w:t>
      </w:r>
      <w:r>
        <w:rPr>
          <w:rFonts w:hint="eastAsia" w:ascii="仿宋_GB2312" w:hAnsi="Times New Roman" w:eastAsia="仿宋_GB2312" w:cs="Times New Roman"/>
          <w:sz w:val="32"/>
          <w:szCs w:val="32"/>
        </w:rPr>
        <w:t>个人专业防护装备，配备通信设备。为“十四五”期间新建达到备防条件的规划消防救援站配备消防车辆装备及通信设备。</w:t>
      </w:r>
    </w:p>
    <w:p>
      <w:pPr>
        <w:keepNext/>
        <w:keepLines/>
        <w:spacing w:line="600" w:lineRule="exact"/>
        <w:ind w:firstLine="643" w:firstLineChars="200"/>
        <w:jc w:val="left"/>
        <w:outlineLvl w:val="1"/>
        <w:rPr>
          <w:rFonts w:ascii="Arial" w:hAnsi="Arial" w:eastAsia="黑体" w:cs="Times New Roman"/>
          <w:b/>
          <w:sz w:val="32"/>
          <w:szCs w:val="24"/>
        </w:rPr>
      </w:pPr>
      <w:bookmarkStart w:id="29" w:name="_Toc31828"/>
      <w:r>
        <w:rPr>
          <w:rFonts w:hint="eastAsia" w:ascii="Arial" w:hAnsi="Arial" w:eastAsia="黑体" w:cs="Times New Roman"/>
          <w:b/>
          <w:sz w:val="32"/>
          <w:szCs w:val="24"/>
        </w:rPr>
        <w:t>五、提升消防</w:t>
      </w:r>
      <w:r>
        <w:rPr>
          <w:rFonts w:ascii="Arial" w:hAnsi="Arial" w:eastAsia="黑体" w:cs="Times New Roman"/>
          <w:b/>
          <w:sz w:val="32"/>
          <w:szCs w:val="24"/>
        </w:rPr>
        <w:t>信息化</w:t>
      </w:r>
      <w:r>
        <w:rPr>
          <w:rFonts w:hint="eastAsia" w:ascii="Arial" w:hAnsi="Arial" w:eastAsia="黑体" w:cs="Times New Roman"/>
          <w:b/>
          <w:sz w:val="32"/>
          <w:szCs w:val="24"/>
        </w:rPr>
        <w:t>项目</w:t>
      </w:r>
      <w:bookmarkEnd w:id="29"/>
    </w:p>
    <w:p>
      <w:pPr>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按照北京市1.4GHz宽带集群专网建设规划，将现有800MHz无线通信应用逐步更换为1.4GHz宽带集群电台。建设5G单兵图像采集传输平台，配发5G单兵图传设备和执法记录仪。升级改造支队、消防站视频会议系统和视频监控系统。</w:t>
      </w:r>
    </w:p>
    <w:p>
      <w:pPr>
        <w:keepNext/>
        <w:keepLines/>
        <w:pageBreakBefore/>
        <w:spacing w:line="600" w:lineRule="exact"/>
        <w:jc w:val="center"/>
        <w:outlineLvl w:val="0"/>
        <w:rPr>
          <w:rFonts w:ascii="Calibri" w:hAnsi="Calibri" w:eastAsia="黑体" w:cs="Times New Roman"/>
          <w:b/>
          <w:kern w:val="44"/>
          <w:sz w:val="44"/>
          <w:szCs w:val="24"/>
        </w:rPr>
      </w:pPr>
      <w:bookmarkStart w:id="30" w:name="_Toc10904"/>
      <w:r>
        <w:rPr>
          <w:rFonts w:hint="eastAsia" w:ascii="Calibri" w:hAnsi="Calibri" w:eastAsia="黑体" w:cs="Times New Roman"/>
          <w:b/>
          <w:kern w:val="44"/>
          <w:sz w:val="44"/>
          <w:szCs w:val="24"/>
        </w:rPr>
        <w:t>第五章 规划实施保障</w:t>
      </w:r>
      <w:bookmarkEnd w:id="30"/>
    </w:p>
    <w:p>
      <w:pPr>
        <w:keepNext/>
        <w:keepLines/>
        <w:spacing w:line="600" w:lineRule="exact"/>
        <w:ind w:firstLine="643" w:firstLineChars="200"/>
        <w:jc w:val="left"/>
        <w:outlineLvl w:val="1"/>
        <w:rPr>
          <w:rFonts w:ascii="Arial" w:hAnsi="Arial" w:eastAsia="黑体" w:cs="Times New Roman"/>
          <w:b/>
          <w:sz w:val="32"/>
          <w:szCs w:val="24"/>
        </w:rPr>
      </w:pPr>
      <w:bookmarkStart w:id="31" w:name="_Toc2775"/>
      <w:r>
        <w:rPr>
          <w:rFonts w:hint="eastAsia" w:ascii="Arial" w:hAnsi="Arial" w:eastAsia="黑体" w:cs="Times New Roman"/>
          <w:b/>
          <w:sz w:val="32"/>
          <w:szCs w:val="24"/>
        </w:rPr>
        <w:t>一、加强组织领导</w:t>
      </w:r>
      <w:bookmarkEnd w:id="31"/>
    </w:p>
    <w:p>
      <w:pPr>
        <w:widowControl/>
        <w:snapToGrid w:val="0"/>
        <w:spacing w:line="600" w:lineRule="exact"/>
        <w:ind w:firstLine="640" w:firstLineChars="200"/>
        <w:rPr>
          <w:rFonts w:ascii="仿宋_GB2312" w:hAnsi="Times New Roman" w:eastAsia="仿宋_GB2312" w:cs="Times New Roman"/>
          <w:kern w:val="0"/>
          <w:sz w:val="32"/>
          <w:szCs w:val="32"/>
        </w:rPr>
      </w:pPr>
      <w:r>
        <w:rPr>
          <w:rFonts w:hint="eastAsia" w:ascii="仿宋_GB2312" w:hAnsi="Times New Roman" w:eastAsia="仿宋_GB2312" w:cs="宋体"/>
          <w:kern w:val="0"/>
          <w:sz w:val="32"/>
          <w:szCs w:val="32"/>
        </w:rPr>
        <w:t>区政府将</w:t>
      </w:r>
      <w:r>
        <w:rPr>
          <w:rFonts w:hint="eastAsia" w:ascii="仿宋_GB2312" w:hAnsi="仿宋" w:eastAsia="仿宋_GB2312" w:cs="Times New Roman"/>
          <w:kern w:val="0"/>
          <w:sz w:val="32"/>
          <w:szCs w:val="32"/>
        </w:rPr>
        <w:t>《“十四五”时期丰台区消防事业发展建设规划》</w:t>
      </w:r>
      <w:r>
        <w:rPr>
          <w:rFonts w:hint="eastAsia" w:ascii="仿宋_GB2312" w:hAnsi="Times New Roman" w:eastAsia="仿宋_GB2312" w:cs="宋体"/>
          <w:kern w:val="0"/>
          <w:sz w:val="32"/>
          <w:szCs w:val="32"/>
        </w:rPr>
        <w:t>的落实列入重要议事日程，推进本规划的实施；</w:t>
      </w:r>
      <w:r>
        <w:rPr>
          <w:rFonts w:hint="eastAsia" w:ascii="仿宋_GB2312" w:hAnsi="仿宋" w:eastAsia="仿宋_GB2312" w:cs="Times New Roman"/>
          <w:kern w:val="0"/>
          <w:sz w:val="32"/>
          <w:szCs w:val="32"/>
        </w:rPr>
        <w:t>充分发挥区防火安全委员会的职能作用，定期召开</w:t>
      </w:r>
      <w:r>
        <w:rPr>
          <w:rFonts w:hint="eastAsia" w:ascii="仿宋_GB2312" w:hAnsi="Times New Roman" w:eastAsia="仿宋_GB2312" w:cs="宋体"/>
          <w:kern w:val="0"/>
          <w:sz w:val="32"/>
          <w:szCs w:val="32"/>
        </w:rPr>
        <w:t>防火工作联席会，</w:t>
      </w:r>
      <w:r>
        <w:rPr>
          <w:rFonts w:hint="eastAsia" w:ascii="仿宋_GB2312" w:hAnsi="仿宋" w:eastAsia="仿宋_GB2312" w:cs="Times New Roman"/>
          <w:kern w:val="0"/>
          <w:sz w:val="32"/>
          <w:szCs w:val="32"/>
        </w:rPr>
        <w:t>加强规划实施工作的统筹协调、组织领导，</w:t>
      </w:r>
      <w:r>
        <w:rPr>
          <w:rFonts w:hint="eastAsia" w:ascii="仿宋_GB2312" w:hAnsi="Times New Roman" w:eastAsia="仿宋_GB2312" w:cs="宋体"/>
          <w:kern w:val="0"/>
          <w:sz w:val="32"/>
          <w:szCs w:val="32"/>
        </w:rPr>
        <w:t>加强对消防重大问题的研究，</w:t>
      </w:r>
      <w:r>
        <w:rPr>
          <w:rFonts w:hint="eastAsia" w:ascii="仿宋_GB2312" w:hAnsi="仿宋" w:eastAsia="仿宋_GB2312" w:cs="Times New Roman"/>
          <w:kern w:val="0"/>
          <w:sz w:val="32"/>
          <w:szCs w:val="32"/>
        </w:rPr>
        <w:t>调动各方力量，形成工作合力。</w:t>
      </w:r>
      <w:r>
        <w:rPr>
          <w:rFonts w:hint="eastAsia" w:ascii="仿宋_GB2312" w:hAnsi="Times New Roman" w:eastAsia="仿宋_GB2312" w:cs="Times New Roman"/>
          <w:kern w:val="0"/>
          <w:sz w:val="32"/>
          <w:szCs w:val="32"/>
        </w:rPr>
        <w:t>将规划实施进展纳入各级政府、各职能部门消防工作责任制落实工作考评，定期对相关职能部门和各区落实规划情况进行督促检查，</w:t>
      </w:r>
      <w:r>
        <w:rPr>
          <w:rFonts w:hint="eastAsia" w:ascii="仿宋_GB2312" w:hAnsi="仿宋" w:eastAsia="仿宋_GB2312" w:cs="Times New Roman"/>
          <w:kern w:val="0"/>
          <w:sz w:val="32"/>
          <w:szCs w:val="32"/>
        </w:rPr>
        <w:t>推动规划落实</w:t>
      </w:r>
      <w:r>
        <w:rPr>
          <w:rFonts w:hint="eastAsia" w:ascii="仿宋_GB2312" w:hAnsi="Times New Roman" w:eastAsia="仿宋_GB2312" w:cs="Times New Roman"/>
          <w:kern w:val="0"/>
          <w:sz w:val="32"/>
          <w:szCs w:val="32"/>
        </w:rPr>
        <w:t>。</w:t>
      </w:r>
    </w:p>
    <w:p>
      <w:pPr>
        <w:keepNext/>
        <w:keepLines/>
        <w:spacing w:line="600" w:lineRule="exact"/>
        <w:ind w:firstLine="643" w:firstLineChars="200"/>
        <w:jc w:val="left"/>
        <w:outlineLvl w:val="1"/>
        <w:rPr>
          <w:rFonts w:ascii="Arial" w:hAnsi="Arial" w:eastAsia="黑体" w:cs="Times New Roman"/>
          <w:b/>
          <w:sz w:val="32"/>
          <w:szCs w:val="24"/>
        </w:rPr>
      </w:pPr>
      <w:bookmarkStart w:id="32" w:name="_Toc10726"/>
      <w:r>
        <w:rPr>
          <w:rFonts w:hint="eastAsia" w:ascii="Arial" w:hAnsi="Arial" w:eastAsia="黑体" w:cs="Times New Roman"/>
          <w:b/>
          <w:sz w:val="32"/>
          <w:szCs w:val="24"/>
        </w:rPr>
        <w:t>二、明确职责任务</w:t>
      </w:r>
      <w:bookmarkEnd w:id="32"/>
    </w:p>
    <w:p>
      <w:pPr>
        <w:widowControl/>
        <w:snapToGrid w:val="0"/>
        <w:spacing w:line="600" w:lineRule="exact"/>
        <w:ind w:firstLine="640" w:firstLineChars="200"/>
        <w:rPr>
          <w:rFonts w:ascii="仿宋_GB2312" w:hAnsi="Times New Roman" w:eastAsia="仿宋_GB2312" w:cs="Times New Roman"/>
          <w:kern w:val="0"/>
          <w:sz w:val="32"/>
          <w:szCs w:val="32"/>
        </w:rPr>
      </w:pPr>
      <w:r>
        <w:rPr>
          <w:rFonts w:hint="eastAsia" w:ascii="仿宋_GB2312" w:hAnsi="Times New Roman" w:eastAsia="仿宋_GB2312" w:cs="宋体"/>
          <w:kern w:val="0"/>
          <w:sz w:val="32"/>
          <w:szCs w:val="32"/>
        </w:rPr>
        <w:t>各相关政府职能部门要按照职责任务，各负其责、齐抓共管，推动落实消防规划具体工作，协调解决消防规划在建设过程中的有关问题，推动工程项目建设。</w:t>
      </w:r>
      <w:r>
        <w:rPr>
          <w:rFonts w:hint="eastAsia" w:ascii="仿宋_GB2312" w:hAnsi="Times New Roman" w:eastAsia="仿宋_GB2312" w:cs="Times New Roman"/>
          <w:kern w:val="0"/>
          <w:sz w:val="32"/>
          <w:szCs w:val="32"/>
        </w:rPr>
        <w:t>区发展和改革委员会加快权限内消防基础设施建设项目的审批，并按工程进度拨付资金；规自分局为战勤保障基地、消防救援站等项目加快办理用地手续、预留规划建设用地，保障消防救援站建设落地；区财政局根据北京市经济社会发展实际，加强对全区消防事业发展经费投入，加快对消防车辆以及消防装备的更新。区人民政府要落实规划确定的消防救援站等消防基础设施建设主体责任，完成消防救援站消防基础设施建设用地拆迁以及市政条件提供，协调办理消防基础设施建设所需各种手续，加快建设步</w:t>
      </w:r>
      <w:r>
        <w:rPr>
          <w:rFonts w:hint="eastAsia" w:ascii="仿宋_GB2312" w:hAnsi="仿宋" w:eastAsia="仿宋_GB2312" w:cs="Times New Roman"/>
          <w:kern w:val="0"/>
          <w:sz w:val="32"/>
          <w:szCs w:val="32"/>
        </w:rPr>
        <w:t>伐。各街、镇政府履行消防工作职责，将消防安全纳入基层政权建设和社区治理工作。明确消防安全行业监管、属地分级监管责任，加强行业部门消防安全管理。</w:t>
      </w:r>
    </w:p>
    <w:p>
      <w:pPr>
        <w:keepNext/>
        <w:keepLines/>
        <w:spacing w:line="600" w:lineRule="exact"/>
        <w:ind w:firstLine="643" w:firstLineChars="200"/>
        <w:jc w:val="left"/>
        <w:outlineLvl w:val="1"/>
        <w:rPr>
          <w:rFonts w:ascii="Arial" w:hAnsi="Arial" w:eastAsia="黑体" w:cs="Times New Roman"/>
          <w:b/>
          <w:sz w:val="32"/>
          <w:szCs w:val="24"/>
        </w:rPr>
      </w:pPr>
      <w:bookmarkStart w:id="33" w:name="_Toc19073"/>
      <w:r>
        <w:rPr>
          <w:rFonts w:hint="eastAsia" w:ascii="Arial" w:hAnsi="Arial" w:eastAsia="黑体" w:cs="Times New Roman"/>
          <w:b/>
          <w:sz w:val="32"/>
          <w:szCs w:val="24"/>
        </w:rPr>
        <w:t>三、强化政策保障</w:t>
      </w:r>
      <w:bookmarkEnd w:id="33"/>
    </w:p>
    <w:p>
      <w:pPr>
        <w:widowControl/>
        <w:snapToGrid w:val="0"/>
        <w:spacing w:line="600" w:lineRule="exact"/>
        <w:ind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区政府要加强资金保障力度，</w:t>
      </w:r>
      <w:r>
        <w:rPr>
          <w:rFonts w:hint="eastAsia" w:ascii="仿宋_GB2312" w:hAnsi="Times New Roman" w:eastAsia="仿宋_GB2312" w:cs="宋体"/>
          <w:color w:val="000000"/>
          <w:kern w:val="0"/>
          <w:sz w:val="32"/>
          <w:szCs w:val="32"/>
        </w:rPr>
        <w:t>将消防工作经费纳入各级政府预算，在资金上保障“十四五”消防规划的实施，使消防规划落到实处。建立保障规划实施的政策体系，制定相应政策，吸引城市建设资金，多渠道筹集落实经费，增加消防规划建设投资渠道。</w:t>
      </w:r>
      <w:r>
        <w:rPr>
          <w:rFonts w:hint="eastAsia" w:ascii="仿宋_GB2312" w:hAnsi="仿宋" w:eastAsia="仿宋_GB2312" w:cs="Times New Roman"/>
          <w:kern w:val="0"/>
          <w:sz w:val="32"/>
          <w:szCs w:val="32"/>
        </w:rPr>
        <w:t>相关职能部门要在法规、政策方面予以支持，同步出台相配套的规划、标准和管理规定，研究解决规划实施过程中存在的突出问题，建立重大项目建设动态更新机制，确保规划任务有效执行；相关职能部门要广泛采取多种形式和渠道，加强对规划的宣传，增强公众对规划和消防工作的认识和了解，引导发动公众参与规划的实施和监督，形成关心、支持、参与规划实施的浓厚氛围，推进规划落到实处。</w:t>
      </w:r>
    </w:p>
    <w:p>
      <w:pPr>
        <w:snapToGrid w:val="0"/>
        <w:spacing w:line="600" w:lineRule="exact"/>
        <w:ind w:firstLine="800" w:firstLineChars="250"/>
        <w:rPr>
          <w:rFonts w:ascii="仿宋_GB2312" w:hAnsi="Calibri" w:eastAsia="仿宋_GB2312" w:cs="Times New Roman"/>
          <w:color w:val="000000"/>
          <w:sz w:val="32"/>
          <w:szCs w:val="32"/>
        </w:rPr>
      </w:pPr>
    </w:p>
    <w:p>
      <w:pPr>
        <w:spacing w:line="600" w:lineRule="exact"/>
        <w:ind w:right="704" w:firstLine="704" w:firstLineChars="200"/>
        <w:jc w:val="left"/>
        <w:rPr>
          <w:rFonts w:ascii="黑体" w:hAnsi="黑体" w:eastAsia="黑体" w:cs="Times New Roman"/>
          <w:spacing w:val="-4"/>
          <w:sz w:val="36"/>
          <w:szCs w:val="36"/>
        </w:rPr>
      </w:pPr>
    </w:p>
    <w:p/>
    <w:sectPr>
      <w:footerReference r:id="rId4" w:type="default"/>
      <w:footerReference r:id="rId5" w:type="even"/>
      <w:pgSz w:w="11906" w:h="16838"/>
      <w:pgMar w:top="2098" w:right="1531" w:bottom="1985" w:left="1531" w:header="851" w:footer="992" w:gutter="0"/>
      <w:pgNumType w:start="1"/>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Arial Unicode MS"/>
    <w:panose1 w:val="03000509000000000000"/>
    <w:charset w:val="86"/>
    <w:family w:val="script"/>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algun Gothic Semilight">
    <w:panose1 w:val="020B0502040204020203"/>
    <w:charset w:val="86"/>
    <w:family w:val="swiss"/>
    <w:pitch w:val="default"/>
    <w:sig w:usb0="900002AF" w:usb1="01D77CFB" w:usb2="00000012" w:usb3="00000000" w:csb0="203E01BD" w:csb1="D7FF0000"/>
  </w:font>
  <w:font w:name="΢���ź�">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Times">
    <w:altName w:val="Times New Roman"/>
    <w:panose1 w:val="02020603050405020304"/>
    <w:charset w:val="00"/>
    <w:family w:val="roman"/>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jc w:val="center"/>
    </w:pPr>
    <w:r>
      <w:fldChar w:fldCharType="begin"/>
    </w:r>
    <w:r>
      <w:instrText xml:space="preserve">PAGE   \* MERGEFORMAT</w:instrText>
    </w:r>
    <w:r>
      <w:fldChar w:fldCharType="separate"/>
    </w:r>
    <w:r>
      <w:rPr>
        <w:lang w:val="zh-CN"/>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jc w:val="right"/>
    </w:pPr>
    <w:r>
      <w:fldChar w:fldCharType="begin"/>
    </w:r>
    <w:r>
      <w:instrText xml:space="preserve">PAGE   \* MERGEFORMAT</w:instrText>
    </w:r>
    <w:r>
      <w:fldChar w:fldCharType="separate"/>
    </w:r>
    <w:r>
      <w:rPr>
        <w:lang w:val="zh-CN"/>
      </w:rPr>
      <w:t>35</w:t>
    </w:r>
    <w:r>
      <w:fldChar w:fldCharType="end"/>
    </w:r>
  </w:p>
  <w:p>
    <w:pPr>
      <w:pStyle w:val="1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r>
      <w:fldChar w:fldCharType="begin"/>
    </w:r>
    <w:r>
      <w:instrText xml:space="preserve">PAGE   \* MERGEFORMAT</w:instrText>
    </w:r>
    <w:r>
      <w:fldChar w:fldCharType="separate"/>
    </w:r>
    <w:r>
      <w:rPr>
        <w:lang w:val="zh-CN"/>
      </w:rPr>
      <w:t>36</w:t>
    </w:r>
    <w:r>
      <w:fldChar w:fldCharType="end"/>
    </w:r>
  </w:p>
  <w:p>
    <w:pPr>
      <w:pStyle w:val="14"/>
      <w:ind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52E2BE"/>
    <w:multiLevelType w:val="singleLevel"/>
    <w:tmpl w:val="CA52E2BE"/>
    <w:lvl w:ilvl="0" w:tentative="0">
      <w:start w:val="1"/>
      <w:numFmt w:val="chineseCounting"/>
      <w:suff w:val="space"/>
      <w:lvlText w:val="第%1章"/>
      <w:lvlJc w:val="left"/>
      <w:rPr>
        <w:rFonts w:hint="eastAsia"/>
      </w:rPr>
    </w:lvl>
  </w:abstractNum>
  <w:abstractNum w:abstractNumId="1">
    <w:nsid w:val="4F9AFC57"/>
    <w:multiLevelType w:val="singleLevel"/>
    <w:tmpl w:val="4F9AFC57"/>
    <w:lvl w:ilvl="0" w:tentative="0">
      <w:start w:val="1"/>
      <w:numFmt w:val="chineseCounting"/>
      <w:suff w:val="nothing"/>
      <w:lvlText w:val="（%1）"/>
      <w:lvlJc w:val="left"/>
      <w:rPr>
        <w:rFonts w:hint="eastAsia"/>
      </w:rPr>
    </w:lvl>
  </w:abstractNum>
  <w:abstractNum w:abstractNumId="2">
    <w:nsid w:val="592712B9"/>
    <w:multiLevelType w:val="singleLevel"/>
    <w:tmpl w:val="592712B9"/>
    <w:lvl w:ilvl="0" w:tentative="0">
      <w:start w:val="2"/>
      <w:numFmt w:val="chineseCounting"/>
      <w:suff w:val="nothing"/>
      <w:lvlText w:val="（%1）"/>
      <w:lvlJc w:val="left"/>
      <w:pPr>
        <w:ind w:left="-13"/>
      </w:pPr>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5Y2RkNmI2NjVkYzVhYjIxOGEwOWRkNGIyMzUzY2UifQ=="/>
  </w:docVars>
  <w:rsids>
    <w:rsidRoot w:val="00D65144"/>
    <w:rsid w:val="000B0C6A"/>
    <w:rsid w:val="000E6C73"/>
    <w:rsid w:val="0013431D"/>
    <w:rsid w:val="001358ED"/>
    <w:rsid w:val="001919E8"/>
    <w:rsid w:val="001A5C71"/>
    <w:rsid w:val="001C04DC"/>
    <w:rsid w:val="00293BC3"/>
    <w:rsid w:val="00331B2E"/>
    <w:rsid w:val="003367AC"/>
    <w:rsid w:val="00395A8F"/>
    <w:rsid w:val="003E58B5"/>
    <w:rsid w:val="00453916"/>
    <w:rsid w:val="004B2B4E"/>
    <w:rsid w:val="004D3C34"/>
    <w:rsid w:val="00576DE5"/>
    <w:rsid w:val="0058302A"/>
    <w:rsid w:val="0060281E"/>
    <w:rsid w:val="00631D78"/>
    <w:rsid w:val="006D284E"/>
    <w:rsid w:val="006E2533"/>
    <w:rsid w:val="006F54F6"/>
    <w:rsid w:val="00702EF4"/>
    <w:rsid w:val="00762950"/>
    <w:rsid w:val="00786803"/>
    <w:rsid w:val="008E3F15"/>
    <w:rsid w:val="00970C4F"/>
    <w:rsid w:val="00A16998"/>
    <w:rsid w:val="00AB5E15"/>
    <w:rsid w:val="00B13DB7"/>
    <w:rsid w:val="00B23F9B"/>
    <w:rsid w:val="00B92BAA"/>
    <w:rsid w:val="00BA5A6F"/>
    <w:rsid w:val="00BC2BCA"/>
    <w:rsid w:val="00C05E24"/>
    <w:rsid w:val="00C17D34"/>
    <w:rsid w:val="00CA70CA"/>
    <w:rsid w:val="00CC5FEC"/>
    <w:rsid w:val="00D65144"/>
    <w:rsid w:val="00D805A9"/>
    <w:rsid w:val="00DA588A"/>
    <w:rsid w:val="00DD1B16"/>
    <w:rsid w:val="00DD1CF4"/>
    <w:rsid w:val="00DD3F84"/>
    <w:rsid w:val="00DD52B7"/>
    <w:rsid w:val="00E04641"/>
    <w:rsid w:val="00E24227"/>
    <w:rsid w:val="00E80844"/>
    <w:rsid w:val="00EC69F2"/>
    <w:rsid w:val="00F93BFC"/>
    <w:rsid w:val="195A0D4E"/>
    <w:rsid w:val="4D9C1893"/>
    <w:rsid w:val="6C6238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qFormat="1"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3"/>
    <w:qFormat/>
    <w:uiPriority w:val="0"/>
    <w:pPr>
      <w:keepNext/>
      <w:keepLines/>
      <w:spacing w:line="560" w:lineRule="exact"/>
      <w:ind w:firstLine="200" w:firstLineChars="200"/>
      <w:outlineLvl w:val="0"/>
    </w:pPr>
    <w:rPr>
      <w:rFonts w:ascii="Calibri" w:hAnsi="Calibri" w:eastAsia="黑体" w:cs="Times New Roman"/>
      <w:bCs/>
      <w:kern w:val="44"/>
      <w:sz w:val="32"/>
      <w:szCs w:val="32"/>
    </w:rPr>
  </w:style>
  <w:style w:type="paragraph" w:styleId="3">
    <w:name w:val="heading 2"/>
    <w:basedOn w:val="1"/>
    <w:next w:val="2"/>
    <w:link w:val="34"/>
    <w:qFormat/>
    <w:uiPriority w:val="0"/>
    <w:pPr>
      <w:keepNext/>
      <w:keepLines/>
      <w:spacing w:line="560" w:lineRule="exact"/>
      <w:ind w:firstLine="643" w:firstLineChars="200"/>
      <w:outlineLvl w:val="1"/>
    </w:pPr>
    <w:rPr>
      <w:rFonts w:ascii="Arial" w:hAnsi="Arial" w:eastAsia="仿宋_GB2312" w:cs="Times New Roman"/>
      <w:b/>
      <w:bCs/>
      <w:kern w:val="0"/>
      <w:sz w:val="32"/>
      <w:szCs w:val="32"/>
    </w:rPr>
  </w:style>
  <w:style w:type="paragraph" w:styleId="4">
    <w:name w:val="heading 3"/>
    <w:basedOn w:val="1"/>
    <w:next w:val="1"/>
    <w:link w:val="35"/>
    <w:qFormat/>
    <w:uiPriority w:val="0"/>
    <w:pPr>
      <w:keepNext/>
      <w:keepLines/>
      <w:spacing w:line="560" w:lineRule="exact"/>
      <w:ind w:firstLine="200" w:firstLineChars="200"/>
      <w:outlineLvl w:val="2"/>
    </w:pPr>
    <w:rPr>
      <w:rFonts w:ascii="Calibri" w:hAnsi="Calibri" w:eastAsia="仿宋_GB2312" w:cs="Times New Roman"/>
      <w:b/>
      <w:bCs/>
      <w:sz w:val="32"/>
      <w:szCs w:val="32"/>
    </w:rPr>
  </w:style>
  <w:style w:type="character" w:default="1" w:styleId="26">
    <w:name w:val="Default Paragraph Font"/>
    <w:semiHidden/>
    <w:unhideWhenUsed/>
    <w:uiPriority w:val="1"/>
  </w:style>
  <w:style w:type="table" w:default="1" w:styleId="24">
    <w:name w:val="Normal Table"/>
    <w:semiHidden/>
    <w:unhideWhenUsed/>
    <w:uiPriority w:val="99"/>
    <w:tblPr>
      <w:tblCellMar>
        <w:top w:w="0" w:type="dxa"/>
        <w:left w:w="108" w:type="dxa"/>
        <w:bottom w:w="0" w:type="dxa"/>
        <w:right w:w="108" w:type="dxa"/>
      </w:tblCellMar>
    </w:tblPr>
  </w:style>
  <w:style w:type="paragraph" w:styleId="5">
    <w:name w:val="Document Map"/>
    <w:basedOn w:val="1"/>
    <w:link w:val="100"/>
    <w:qFormat/>
    <w:uiPriority w:val="0"/>
    <w:pPr>
      <w:shd w:val="clear" w:color="auto" w:fill="000080"/>
    </w:pPr>
    <w:rPr>
      <w:rFonts w:ascii="Calibri" w:hAnsi="Calibri" w:eastAsia="宋体" w:cs="Times New Roman"/>
      <w:szCs w:val="24"/>
    </w:rPr>
  </w:style>
  <w:style w:type="paragraph" w:styleId="6">
    <w:name w:val="annotation text"/>
    <w:basedOn w:val="1"/>
    <w:link w:val="37"/>
    <w:unhideWhenUsed/>
    <w:qFormat/>
    <w:uiPriority w:val="0"/>
    <w:pPr>
      <w:jc w:val="left"/>
    </w:pPr>
    <w:rPr>
      <w:rFonts w:ascii="Calibri" w:hAnsi="Calibri" w:eastAsia="宋体" w:cs="Times New Roman"/>
    </w:rPr>
  </w:style>
  <w:style w:type="paragraph" w:styleId="7">
    <w:name w:val="Body Text"/>
    <w:basedOn w:val="1"/>
    <w:link w:val="38"/>
    <w:qFormat/>
    <w:uiPriority w:val="0"/>
    <w:pPr>
      <w:spacing w:after="120" w:line="560" w:lineRule="exact"/>
      <w:ind w:firstLine="200" w:firstLineChars="200"/>
    </w:pPr>
    <w:rPr>
      <w:rFonts w:ascii="Calibri" w:hAnsi="Calibri" w:eastAsia="仿宋_GB2312" w:cs="Times New Roman"/>
      <w:sz w:val="32"/>
      <w:szCs w:val="24"/>
    </w:rPr>
  </w:style>
  <w:style w:type="paragraph" w:styleId="8">
    <w:name w:val="Body Text Indent"/>
    <w:basedOn w:val="1"/>
    <w:link w:val="39"/>
    <w:qFormat/>
    <w:uiPriority w:val="0"/>
    <w:pPr>
      <w:spacing w:after="120" w:line="560" w:lineRule="exact"/>
      <w:ind w:left="420" w:leftChars="200" w:firstLine="200" w:firstLineChars="200"/>
    </w:pPr>
    <w:rPr>
      <w:rFonts w:ascii="Calibri" w:hAnsi="Calibri" w:eastAsia="仿宋_GB2312" w:cs="Times New Roman"/>
      <w:sz w:val="32"/>
      <w:szCs w:val="24"/>
    </w:rPr>
  </w:style>
  <w:style w:type="paragraph" w:styleId="9">
    <w:name w:val="Block Text"/>
    <w:basedOn w:val="1"/>
    <w:unhideWhenUsed/>
    <w:qFormat/>
    <w:uiPriority w:val="0"/>
    <w:pPr>
      <w:spacing w:after="120"/>
      <w:ind w:left="1440" w:leftChars="700" w:right="1440" w:rightChars="700"/>
    </w:pPr>
    <w:rPr>
      <w:rFonts w:ascii="Calibri" w:hAnsi="Calibri" w:eastAsia="宋体" w:cs="Times New Roman"/>
      <w:szCs w:val="24"/>
    </w:rPr>
  </w:style>
  <w:style w:type="paragraph" w:styleId="10">
    <w:name w:val="toc 3"/>
    <w:basedOn w:val="1"/>
    <w:next w:val="1"/>
    <w:unhideWhenUsed/>
    <w:qFormat/>
    <w:uiPriority w:val="39"/>
    <w:pPr>
      <w:ind w:left="840" w:leftChars="400"/>
    </w:pPr>
    <w:rPr>
      <w:rFonts w:ascii="Calibri" w:hAnsi="Calibri" w:eastAsia="宋体" w:cs="Times New Roman"/>
    </w:rPr>
  </w:style>
  <w:style w:type="paragraph" w:styleId="11">
    <w:name w:val="Plain Text"/>
    <w:basedOn w:val="1"/>
    <w:link w:val="40"/>
    <w:qFormat/>
    <w:uiPriority w:val="0"/>
    <w:rPr>
      <w:rFonts w:ascii="宋体" w:hAnsi="Courier New" w:eastAsia="宋体" w:cs="Times New Roman"/>
      <w:szCs w:val="20"/>
    </w:rPr>
  </w:style>
  <w:style w:type="paragraph" w:styleId="12">
    <w:name w:val="Date"/>
    <w:basedOn w:val="1"/>
    <w:next w:val="1"/>
    <w:link w:val="41"/>
    <w:qFormat/>
    <w:uiPriority w:val="0"/>
    <w:pPr>
      <w:ind w:left="100" w:leftChars="2500"/>
    </w:pPr>
    <w:rPr>
      <w:rFonts w:ascii="仿宋_GB2312" w:hAnsi="Calibri" w:eastAsia="仿宋_GB2312" w:cs="Times New Roman"/>
      <w:sz w:val="30"/>
      <w:szCs w:val="24"/>
    </w:rPr>
  </w:style>
  <w:style w:type="paragraph" w:styleId="13">
    <w:name w:val="Balloon Text"/>
    <w:basedOn w:val="1"/>
    <w:link w:val="42"/>
    <w:qFormat/>
    <w:uiPriority w:val="0"/>
    <w:pPr>
      <w:ind w:firstLine="200" w:firstLineChars="200"/>
    </w:pPr>
    <w:rPr>
      <w:rFonts w:ascii="Calibri" w:hAnsi="Calibri" w:eastAsia="仿宋_GB2312" w:cs="Times New Roman"/>
      <w:sz w:val="18"/>
      <w:szCs w:val="18"/>
    </w:rPr>
  </w:style>
  <w:style w:type="paragraph" w:styleId="14">
    <w:name w:val="footer"/>
    <w:basedOn w:val="1"/>
    <w:link w:val="32"/>
    <w:unhideWhenUsed/>
    <w:qFormat/>
    <w:uiPriority w:val="0"/>
    <w:pPr>
      <w:tabs>
        <w:tab w:val="center" w:pos="4153"/>
        <w:tab w:val="right" w:pos="8306"/>
      </w:tabs>
      <w:snapToGrid w:val="0"/>
      <w:jc w:val="left"/>
    </w:pPr>
    <w:rPr>
      <w:sz w:val="18"/>
      <w:szCs w:val="18"/>
    </w:rPr>
  </w:style>
  <w:style w:type="paragraph" w:styleId="15">
    <w:name w:val="header"/>
    <w:basedOn w:val="1"/>
    <w:link w:val="31"/>
    <w:unhideWhenUsed/>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rPr>
      <w:rFonts w:ascii="Calibri" w:hAnsi="Calibri" w:eastAsia="宋体" w:cs="Times New Roman"/>
      <w:szCs w:val="24"/>
    </w:rPr>
  </w:style>
  <w:style w:type="paragraph" w:styleId="17">
    <w:name w:val="footnote text"/>
    <w:basedOn w:val="1"/>
    <w:link w:val="43"/>
    <w:unhideWhenUsed/>
    <w:qFormat/>
    <w:uiPriority w:val="99"/>
    <w:pPr>
      <w:snapToGrid w:val="0"/>
      <w:jc w:val="left"/>
    </w:pPr>
    <w:rPr>
      <w:rFonts w:ascii="Calibri" w:hAnsi="Calibri" w:eastAsia="宋体" w:cs="Times New Roman"/>
      <w:sz w:val="18"/>
      <w:szCs w:val="18"/>
    </w:rPr>
  </w:style>
  <w:style w:type="paragraph" w:styleId="18">
    <w:name w:val="toc 2"/>
    <w:basedOn w:val="1"/>
    <w:next w:val="1"/>
    <w:qFormat/>
    <w:uiPriority w:val="39"/>
    <w:pPr>
      <w:ind w:left="420" w:leftChars="200"/>
    </w:pPr>
    <w:rPr>
      <w:rFonts w:ascii="Calibri" w:hAnsi="Calibri" w:eastAsia="宋体" w:cs="Times New Roman"/>
      <w:szCs w:val="24"/>
    </w:rPr>
  </w:style>
  <w:style w:type="paragraph" w:styleId="19">
    <w:name w:val="Body Text 2"/>
    <w:basedOn w:val="1"/>
    <w:link w:val="44"/>
    <w:qFormat/>
    <w:uiPriority w:val="0"/>
    <w:pPr>
      <w:spacing w:line="560" w:lineRule="exact"/>
      <w:ind w:firstLine="200" w:firstLineChars="200"/>
    </w:pPr>
    <w:rPr>
      <w:rFonts w:ascii="Calibri" w:hAnsi="Calibri" w:eastAsia="仿宋_GB2312" w:cs="Times New Roman"/>
      <w:sz w:val="32"/>
      <w:szCs w:val="32"/>
    </w:rPr>
  </w:style>
  <w:style w:type="paragraph" w:styleId="20">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Title"/>
    <w:basedOn w:val="1"/>
    <w:link w:val="45"/>
    <w:qFormat/>
    <w:uiPriority w:val="10"/>
    <w:pPr>
      <w:spacing w:line="560" w:lineRule="exact"/>
      <w:ind w:firstLine="200" w:firstLineChars="200"/>
      <w:jc w:val="center"/>
      <w:outlineLvl w:val="0"/>
    </w:pPr>
    <w:rPr>
      <w:rFonts w:ascii="Arial" w:hAnsi="Arial" w:eastAsia="方正小标宋简体" w:cs="Arial"/>
      <w:bCs/>
      <w:sz w:val="36"/>
      <w:szCs w:val="36"/>
    </w:rPr>
  </w:style>
  <w:style w:type="paragraph" w:styleId="22">
    <w:name w:val="annotation subject"/>
    <w:basedOn w:val="6"/>
    <w:next w:val="6"/>
    <w:link w:val="46"/>
    <w:unhideWhenUsed/>
    <w:qFormat/>
    <w:uiPriority w:val="0"/>
    <w:rPr>
      <w:b/>
      <w:bCs/>
    </w:rPr>
  </w:style>
  <w:style w:type="paragraph" w:styleId="23">
    <w:name w:val="Body Text First Indent 2"/>
    <w:basedOn w:val="8"/>
    <w:link w:val="47"/>
    <w:qFormat/>
    <w:uiPriority w:val="0"/>
    <w:pPr>
      <w:ind w:firstLine="420"/>
    </w:pPr>
  </w:style>
  <w:style w:type="table" w:styleId="25">
    <w:name w:val="Table Grid"/>
    <w:basedOn w:val="24"/>
    <w:qFormat/>
    <w:uiPriority w:val="39"/>
    <w:pPr>
      <w:widowControl w:val="0"/>
      <w:jc w:val="both"/>
    </w:pPr>
    <w:rPr>
      <w:rFonts w:ascii="Calibri" w:hAnsi="Calibri" w:eastAsia="宋体" w:cs="Calibri"/>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0"/>
    <w:rPr>
      <w:rFonts w:cs="Times New Roman"/>
      <w:b/>
    </w:rPr>
  </w:style>
  <w:style w:type="character" w:styleId="28">
    <w:name w:val="page number"/>
    <w:qFormat/>
    <w:uiPriority w:val="0"/>
  </w:style>
  <w:style w:type="character" w:styleId="29">
    <w:name w:val="Hyperlink"/>
    <w:qFormat/>
    <w:uiPriority w:val="99"/>
    <w:rPr>
      <w:color w:val="0000FF"/>
      <w:u w:val="single"/>
    </w:rPr>
  </w:style>
  <w:style w:type="character" w:styleId="30">
    <w:name w:val="annotation reference"/>
    <w:unhideWhenUsed/>
    <w:qFormat/>
    <w:uiPriority w:val="0"/>
    <w:rPr>
      <w:sz w:val="21"/>
      <w:szCs w:val="21"/>
    </w:rPr>
  </w:style>
  <w:style w:type="character" w:customStyle="1" w:styleId="31">
    <w:name w:val="页眉 字符1"/>
    <w:basedOn w:val="26"/>
    <w:link w:val="15"/>
    <w:qFormat/>
    <w:uiPriority w:val="0"/>
    <w:rPr>
      <w:sz w:val="18"/>
      <w:szCs w:val="18"/>
    </w:rPr>
  </w:style>
  <w:style w:type="character" w:customStyle="1" w:styleId="32">
    <w:name w:val="页脚 字符2"/>
    <w:basedOn w:val="26"/>
    <w:link w:val="14"/>
    <w:qFormat/>
    <w:uiPriority w:val="0"/>
    <w:rPr>
      <w:sz w:val="18"/>
      <w:szCs w:val="18"/>
    </w:rPr>
  </w:style>
  <w:style w:type="character" w:customStyle="1" w:styleId="33">
    <w:name w:val="标题 1 字符1"/>
    <w:basedOn w:val="26"/>
    <w:link w:val="2"/>
    <w:qFormat/>
    <w:uiPriority w:val="0"/>
    <w:rPr>
      <w:rFonts w:ascii="Calibri" w:hAnsi="Calibri" w:eastAsia="黑体" w:cs="Times New Roman"/>
      <w:bCs/>
      <w:kern w:val="44"/>
      <w:sz w:val="32"/>
      <w:szCs w:val="32"/>
    </w:rPr>
  </w:style>
  <w:style w:type="character" w:customStyle="1" w:styleId="34">
    <w:name w:val="标题 2 字符1"/>
    <w:basedOn w:val="26"/>
    <w:link w:val="3"/>
    <w:qFormat/>
    <w:uiPriority w:val="0"/>
    <w:rPr>
      <w:rFonts w:ascii="Arial" w:hAnsi="Arial" w:eastAsia="仿宋_GB2312" w:cs="Times New Roman"/>
      <w:b/>
      <w:bCs/>
      <w:kern w:val="0"/>
      <w:sz w:val="32"/>
      <w:szCs w:val="32"/>
    </w:rPr>
  </w:style>
  <w:style w:type="character" w:customStyle="1" w:styleId="35">
    <w:name w:val="标题 3 字符1"/>
    <w:basedOn w:val="26"/>
    <w:link w:val="4"/>
    <w:qFormat/>
    <w:uiPriority w:val="0"/>
    <w:rPr>
      <w:rFonts w:ascii="Calibri" w:hAnsi="Calibri" w:eastAsia="仿宋_GB2312" w:cs="Times New Roman"/>
      <w:b/>
      <w:bCs/>
      <w:sz w:val="32"/>
      <w:szCs w:val="32"/>
    </w:rPr>
  </w:style>
  <w:style w:type="character" w:customStyle="1" w:styleId="36">
    <w:name w:val="文档结构图 Char"/>
    <w:basedOn w:val="26"/>
    <w:semiHidden/>
    <w:qFormat/>
    <w:uiPriority w:val="99"/>
    <w:rPr>
      <w:rFonts w:ascii="宋体" w:eastAsia="宋体"/>
      <w:sz w:val="18"/>
      <w:szCs w:val="18"/>
    </w:rPr>
  </w:style>
  <w:style w:type="character" w:customStyle="1" w:styleId="37">
    <w:name w:val="批注文字 字符1"/>
    <w:basedOn w:val="26"/>
    <w:link w:val="6"/>
    <w:qFormat/>
    <w:uiPriority w:val="0"/>
    <w:rPr>
      <w:rFonts w:ascii="Calibri" w:hAnsi="Calibri" w:eastAsia="宋体" w:cs="Times New Roman"/>
    </w:rPr>
  </w:style>
  <w:style w:type="character" w:customStyle="1" w:styleId="38">
    <w:name w:val="正文文本 字符"/>
    <w:basedOn w:val="26"/>
    <w:link w:val="7"/>
    <w:qFormat/>
    <w:uiPriority w:val="0"/>
    <w:rPr>
      <w:rFonts w:ascii="Calibri" w:hAnsi="Calibri" w:eastAsia="仿宋_GB2312" w:cs="Times New Roman"/>
      <w:sz w:val="32"/>
      <w:szCs w:val="24"/>
    </w:rPr>
  </w:style>
  <w:style w:type="character" w:customStyle="1" w:styleId="39">
    <w:name w:val="正文文本缩进 字符"/>
    <w:basedOn w:val="26"/>
    <w:link w:val="8"/>
    <w:qFormat/>
    <w:uiPriority w:val="0"/>
    <w:rPr>
      <w:rFonts w:ascii="Calibri" w:hAnsi="Calibri" w:eastAsia="仿宋_GB2312" w:cs="Times New Roman"/>
      <w:sz w:val="32"/>
      <w:szCs w:val="24"/>
    </w:rPr>
  </w:style>
  <w:style w:type="character" w:customStyle="1" w:styleId="40">
    <w:name w:val="纯文本 字符"/>
    <w:basedOn w:val="26"/>
    <w:link w:val="11"/>
    <w:qFormat/>
    <w:uiPriority w:val="0"/>
    <w:rPr>
      <w:rFonts w:ascii="宋体" w:hAnsi="Courier New" w:eastAsia="宋体" w:cs="Times New Roman"/>
      <w:szCs w:val="20"/>
    </w:rPr>
  </w:style>
  <w:style w:type="character" w:customStyle="1" w:styleId="41">
    <w:name w:val="日期 字符"/>
    <w:basedOn w:val="26"/>
    <w:link w:val="12"/>
    <w:qFormat/>
    <w:uiPriority w:val="0"/>
    <w:rPr>
      <w:rFonts w:ascii="仿宋_GB2312" w:hAnsi="Calibri" w:eastAsia="仿宋_GB2312" w:cs="Times New Roman"/>
      <w:sz w:val="30"/>
      <w:szCs w:val="24"/>
    </w:rPr>
  </w:style>
  <w:style w:type="character" w:customStyle="1" w:styleId="42">
    <w:name w:val="批注框文本 字符1"/>
    <w:basedOn w:val="26"/>
    <w:link w:val="13"/>
    <w:qFormat/>
    <w:uiPriority w:val="0"/>
    <w:rPr>
      <w:rFonts w:ascii="Calibri" w:hAnsi="Calibri" w:eastAsia="仿宋_GB2312" w:cs="Times New Roman"/>
      <w:sz w:val="18"/>
      <w:szCs w:val="18"/>
    </w:rPr>
  </w:style>
  <w:style w:type="character" w:customStyle="1" w:styleId="43">
    <w:name w:val="脚注文本 字符"/>
    <w:basedOn w:val="26"/>
    <w:link w:val="17"/>
    <w:qFormat/>
    <w:uiPriority w:val="99"/>
    <w:rPr>
      <w:rFonts w:ascii="Calibri" w:hAnsi="Calibri" w:eastAsia="宋体" w:cs="Times New Roman"/>
      <w:sz w:val="18"/>
      <w:szCs w:val="18"/>
    </w:rPr>
  </w:style>
  <w:style w:type="character" w:customStyle="1" w:styleId="44">
    <w:name w:val="正文文本 2 字符"/>
    <w:basedOn w:val="26"/>
    <w:link w:val="19"/>
    <w:qFormat/>
    <w:uiPriority w:val="0"/>
    <w:rPr>
      <w:rFonts w:ascii="Calibri" w:hAnsi="Calibri" w:eastAsia="仿宋_GB2312" w:cs="Times New Roman"/>
      <w:sz w:val="32"/>
      <w:szCs w:val="32"/>
    </w:rPr>
  </w:style>
  <w:style w:type="character" w:customStyle="1" w:styleId="45">
    <w:name w:val="标题 字符"/>
    <w:basedOn w:val="26"/>
    <w:link w:val="21"/>
    <w:qFormat/>
    <w:uiPriority w:val="10"/>
    <w:rPr>
      <w:rFonts w:ascii="Arial" w:hAnsi="Arial" w:eastAsia="方正小标宋简体" w:cs="Arial"/>
      <w:bCs/>
      <w:sz w:val="36"/>
      <w:szCs w:val="36"/>
    </w:rPr>
  </w:style>
  <w:style w:type="character" w:customStyle="1" w:styleId="46">
    <w:name w:val="批注主题 字符1"/>
    <w:basedOn w:val="37"/>
    <w:link w:val="22"/>
    <w:qFormat/>
    <w:uiPriority w:val="0"/>
    <w:rPr>
      <w:rFonts w:ascii="Calibri" w:hAnsi="Calibri" w:eastAsia="宋体" w:cs="Times New Roman"/>
      <w:b/>
      <w:bCs/>
    </w:rPr>
  </w:style>
  <w:style w:type="character" w:customStyle="1" w:styleId="47">
    <w:name w:val="正文首行缩进 2 字符"/>
    <w:basedOn w:val="39"/>
    <w:link w:val="23"/>
    <w:qFormat/>
    <w:uiPriority w:val="0"/>
    <w:rPr>
      <w:rFonts w:ascii="Calibri" w:hAnsi="Calibri" w:eastAsia="仿宋_GB2312" w:cs="Times New Roman"/>
      <w:sz w:val="32"/>
      <w:szCs w:val="24"/>
    </w:rPr>
  </w:style>
  <w:style w:type="character" w:customStyle="1" w:styleId="48">
    <w:name w:val="p15"/>
    <w:qFormat/>
    <w:uiPriority w:val="0"/>
  </w:style>
  <w:style w:type="character" w:customStyle="1" w:styleId="49">
    <w:name w:val="正文文本缩进 31 Char"/>
    <w:link w:val="50"/>
    <w:qFormat/>
    <w:uiPriority w:val="0"/>
    <w:rPr>
      <w:rFonts w:eastAsia="仿宋_GB2312"/>
      <w:kern w:val="1"/>
      <w:sz w:val="16"/>
      <w:szCs w:val="16"/>
      <w:lang w:eastAsia="ar-SA"/>
    </w:rPr>
  </w:style>
  <w:style w:type="paragraph" w:customStyle="1" w:styleId="50">
    <w:name w:val="正文文本缩进 31"/>
    <w:basedOn w:val="1"/>
    <w:link w:val="49"/>
    <w:qFormat/>
    <w:uiPriority w:val="0"/>
    <w:pPr>
      <w:suppressAutoHyphens/>
      <w:spacing w:after="120"/>
      <w:ind w:left="420"/>
    </w:pPr>
    <w:rPr>
      <w:rFonts w:eastAsia="仿宋_GB2312"/>
      <w:kern w:val="1"/>
      <w:sz w:val="16"/>
      <w:szCs w:val="16"/>
      <w:lang w:eastAsia="ar-SA"/>
    </w:rPr>
  </w:style>
  <w:style w:type="character" w:customStyle="1" w:styleId="51">
    <w:name w:val="fontstyle01"/>
    <w:qFormat/>
    <w:uiPriority w:val="0"/>
    <w:rPr>
      <w:rFonts w:hint="default" w:ascii="方正小标宋简体" w:hAnsi="方正小标宋简体"/>
      <w:color w:val="000000"/>
      <w:sz w:val="48"/>
      <w:szCs w:val="48"/>
    </w:rPr>
  </w:style>
  <w:style w:type="character" w:customStyle="1" w:styleId="52">
    <w:name w:val="黑3标 Char"/>
    <w:link w:val="53"/>
    <w:qFormat/>
    <w:locked/>
    <w:uiPriority w:val="0"/>
    <w:rPr>
      <w:rFonts w:ascii="黑体" w:hAnsi="黑体" w:eastAsia="黑体"/>
      <w:sz w:val="32"/>
      <w:szCs w:val="32"/>
    </w:rPr>
  </w:style>
  <w:style w:type="paragraph" w:customStyle="1" w:styleId="53">
    <w:name w:val="黑3标"/>
    <w:basedOn w:val="1"/>
    <w:link w:val="52"/>
    <w:qFormat/>
    <w:uiPriority w:val="0"/>
    <w:pPr>
      <w:spacing w:line="580" w:lineRule="exact"/>
      <w:ind w:firstLine="200" w:firstLineChars="200"/>
    </w:pPr>
    <w:rPr>
      <w:rFonts w:ascii="黑体" w:hAnsi="黑体" w:eastAsia="黑体"/>
      <w:sz w:val="32"/>
      <w:szCs w:val="32"/>
    </w:rPr>
  </w:style>
  <w:style w:type="character" w:customStyle="1" w:styleId="54">
    <w:name w:val="split-word"/>
    <w:qFormat/>
    <w:uiPriority w:val="99"/>
    <w:rPr>
      <w:rFonts w:hint="default" w:ascii="Times New Roman" w:hAnsi="Times New Roman" w:cs="Times New Roman"/>
    </w:rPr>
  </w:style>
  <w:style w:type="character" w:customStyle="1" w:styleId="55">
    <w:name w:val="p14z"/>
    <w:qFormat/>
    <w:uiPriority w:val="0"/>
  </w:style>
  <w:style w:type="paragraph" w:customStyle="1" w:styleId="56">
    <w:name w:val="Char1"/>
    <w:basedOn w:val="1"/>
    <w:qFormat/>
    <w:uiPriority w:val="0"/>
    <w:rPr>
      <w:rFonts w:ascii="仿宋_GB2312" w:hAnsi="Calibri" w:eastAsia="仿宋_GB2312" w:cs="Times New Roman"/>
      <w:b/>
      <w:sz w:val="24"/>
      <w:szCs w:val="24"/>
    </w:rPr>
  </w:style>
  <w:style w:type="paragraph" w:customStyle="1" w:styleId="57">
    <w:name w:val="Char Char Char Char"/>
    <w:basedOn w:val="1"/>
    <w:qFormat/>
    <w:uiPriority w:val="0"/>
    <w:rPr>
      <w:rFonts w:ascii="宋体" w:hAnsi="宋体" w:eastAsia="宋体" w:cs="Courier New"/>
      <w:sz w:val="32"/>
      <w:szCs w:val="32"/>
    </w:rPr>
  </w:style>
  <w:style w:type="paragraph" w:customStyle="1" w:styleId="58">
    <w:name w:val="Char Char Char Char1"/>
    <w:basedOn w:val="1"/>
    <w:qFormat/>
    <w:uiPriority w:val="0"/>
    <w:rPr>
      <w:rFonts w:ascii="宋体" w:hAnsi="宋体" w:eastAsia="宋体" w:cs="Courier New"/>
      <w:sz w:val="32"/>
      <w:szCs w:val="32"/>
    </w:rPr>
  </w:style>
  <w:style w:type="paragraph" w:customStyle="1" w:styleId="59">
    <w:name w:val="无间隔1"/>
    <w:qFormat/>
    <w:uiPriority w:val="1"/>
    <w:pPr>
      <w:widowControl w:val="0"/>
      <w:jc w:val="both"/>
    </w:pPr>
    <w:rPr>
      <w:rFonts w:ascii="Calibri" w:hAnsi="Calibri" w:eastAsia="宋体" w:cs="Times New Roman"/>
      <w:kern w:val="2"/>
      <w:sz w:val="21"/>
      <w:szCs w:val="22"/>
      <w:lang w:val="en-US" w:eastAsia="zh-CN" w:bidi="ar-SA"/>
    </w:rPr>
  </w:style>
  <w:style w:type="paragraph" w:styleId="60">
    <w:name w:val="List Paragraph"/>
    <w:basedOn w:val="1"/>
    <w:qFormat/>
    <w:uiPriority w:val="99"/>
    <w:pPr>
      <w:ind w:firstLine="420" w:firstLineChars="200"/>
    </w:pPr>
    <w:rPr>
      <w:rFonts w:ascii="Calibri" w:hAnsi="Calibri" w:eastAsia="宋体" w:cs="Times New Roman"/>
    </w:rPr>
  </w:style>
  <w:style w:type="paragraph" w:customStyle="1" w:styleId="61">
    <w:name w:val="Char Char Char Char Char Char Char Char Char Char Char Char Char Char Char"/>
    <w:basedOn w:val="1"/>
    <w:qFormat/>
    <w:uiPriority w:val="0"/>
    <w:rPr>
      <w:rFonts w:ascii="宋体" w:hAnsi="宋体" w:eastAsia="宋体" w:cs="Courier New"/>
      <w:sz w:val="32"/>
      <w:szCs w:val="32"/>
    </w:rPr>
  </w:style>
  <w:style w:type="paragraph" w:customStyle="1" w:styleId="62">
    <w:name w:val="Char1 Char Char Char"/>
    <w:basedOn w:val="1"/>
    <w:qFormat/>
    <w:uiPriority w:val="0"/>
    <w:rPr>
      <w:rFonts w:ascii="Tahoma" w:hAnsi="Tahoma" w:eastAsia="宋体" w:cs="Times New Roman"/>
      <w:sz w:val="24"/>
      <w:szCs w:val="20"/>
    </w:rPr>
  </w:style>
  <w:style w:type="paragraph" w:customStyle="1" w:styleId="63">
    <w:name w:val="Char Char Char Char Char Char Char Char Char Char"/>
    <w:basedOn w:val="1"/>
    <w:qFormat/>
    <w:uiPriority w:val="0"/>
    <w:rPr>
      <w:rFonts w:ascii="Tahoma" w:hAnsi="Tahoma" w:eastAsia="宋体" w:cs="Times New Roman"/>
      <w:sz w:val="24"/>
      <w:szCs w:val="20"/>
    </w:rPr>
  </w:style>
  <w:style w:type="paragraph" w:customStyle="1" w:styleId="64">
    <w:name w:val="Char Char Char1 Char"/>
    <w:basedOn w:val="1"/>
    <w:qFormat/>
    <w:uiPriority w:val="0"/>
    <w:rPr>
      <w:rFonts w:ascii="Tahoma" w:hAnsi="Tahoma" w:eastAsia="宋体" w:cs="Times New Roman"/>
      <w:sz w:val="24"/>
      <w:szCs w:val="20"/>
    </w:rPr>
  </w:style>
  <w:style w:type="paragraph" w:customStyle="1" w:styleId="65">
    <w:name w:val="默认段落字体 Para Char Char Char Char Char Char Char"/>
    <w:basedOn w:val="5"/>
    <w:qFormat/>
    <w:uiPriority w:val="0"/>
    <w:pPr>
      <w:adjustRightInd w:val="0"/>
      <w:spacing w:line="436" w:lineRule="exact"/>
      <w:ind w:left="357"/>
      <w:jc w:val="left"/>
      <w:outlineLvl w:val="3"/>
    </w:pPr>
    <w:rPr>
      <w:rFonts w:ascii="Tahoma" w:hAnsi="Tahoma"/>
      <w:b/>
      <w:sz w:val="24"/>
    </w:rPr>
  </w:style>
  <w:style w:type="paragraph" w:customStyle="1" w:styleId="66">
    <w:name w:val="WW-普通 (Web)"/>
    <w:basedOn w:val="1"/>
    <w:qFormat/>
    <w:uiPriority w:val="0"/>
    <w:pPr>
      <w:widowControl/>
      <w:suppressAutoHyphens/>
      <w:spacing w:before="280" w:after="280" w:line="560" w:lineRule="exact"/>
      <w:ind w:firstLine="200" w:firstLineChars="200"/>
      <w:jc w:val="left"/>
    </w:pPr>
    <w:rPr>
      <w:rFonts w:ascii="宋体" w:hAnsi="宋体" w:eastAsia="仿宋_GB2312" w:cs="Times New Roman"/>
      <w:kern w:val="1"/>
      <w:sz w:val="24"/>
      <w:szCs w:val="24"/>
      <w:lang w:eastAsia="ar-SA"/>
    </w:rPr>
  </w:style>
  <w:style w:type="paragraph" w:customStyle="1" w:styleId="67">
    <w:name w:val="Char Char Char1 Char Char Char Char"/>
    <w:basedOn w:val="1"/>
    <w:qFormat/>
    <w:uiPriority w:val="0"/>
    <w:rPr>
      <w:rFonts w:ascii="宋体" w:hAnsi="宋体" w:eastAsia="宋体" w:cs="Courier New"/>
      <w:sz w:val="32"/>
      <w:szCs w:val="32"/>
    </w:rPr>
  </w:style>
  <w:style w:type="paragraph" w:customStyle="1" w:styleId="68">
    <w:name w:val="Default"/>
    <w:qFormat/>
    <w:uiPriority w:val="0"/>
    <w:pPr>
      <w:widowControl w:val="0"/>
      <w:autoSpaceDE w:val="0"/>
      <w:autoSpaceDN w:val="0"/>
      <w:adjustRightInd w:val="0"/>
    </w:pPr>
    <w:rPr>
      <w:rFonts w:ascii="仿宋_GB2312" w:hAnsi="仿宋_GB2312" w:eastAsia="宋体" w:cs="仿宋_GB2312"/>
      <w:color w:val="000000"/>
      <w:kern w:val="0"/>
      <w:sz w:val="24"/>
      <w:szCs w:val="24"/>
      <w:lang w:val="en-US" w:eastAsia="zh-CN" w:bidi="ar-SA"/>
    </w:rPr>
  </w:style>
  <w:style w:type="paragraph" w:customStyle="1" w:styleId="69">
    <w:name w:val="Char Char Char Char Char Char"/>
    <w:basedOn w:val="1"/>
    <w:qFormat/>
    <w:uiPriority w:val="0"/>
    <w:rPr>
      <w:rFonts w:ascii="宋体" w:hAnsi="宋体" w:eastAsia="宋体" w:cs="Courier New"/>
      <w:sz w:val="32"/>
      <w:szCs w:val="32"/>
    </w:rPr>
  </w:style>
  <w:style w:type="paragraph" w:customStyle="1" w:styleId="70">
    <w:name w:val="Char"/>
    <w:basedOn w:val="1"/>
    <w:next w:val="1"/>
    <w:qFormat/>
    <w:uiPriority w:val="0"/>
    <w:pPr>
      <w:spacing w:line="360" w:lineRule="auto"/>
      <w:ind w:firstLine="200" w:firstLineChars="200"/>
    </w:pPr>
    <w:rPr>
      <w:rFonts w:ascii="宋体" w:hAnsi="宋体" w:eastAsia="宋体" w:cs="宋体"/>
      <w:sz w:val="24"/>
      <w:szCs w:val="24"/>
    </w:rPr>
  </w:style>
  <w:style w:type="paragraph" w:customStyle="1" w:styleId="71">
    <w:name w:val="Char Char Char1 Char Char Char Char Char Char Char"/>
    <w:basedOn w:val="1"/>
    <w:qFormat/>
    <w:uiPriority w:val="0"/>
    <w:rPr>
      <w:rFonts w:ascii="宋体" w:hAnsi="宋体" w:eastAsia="宋体" w:cs="Courier New"/>
      <w:sz w:val="32"/>
      <w:szCs w:val="32"/>
    </w:rPr>
  </w:style>
  <w:style w:type="paragraph" w:customStyle="1" w:styleId="72">
    <w:name w:val="Char2"/>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73">
    <w:name w:val="Char Char Char"/>
    <w:basedOn w:val="1"/>
    <w:qFormat/>
    <w:uiPriority w:val="0"/>
    <w:rPr>
      <w:rFonts w:ascii="Tahoma" w:hAnsi="Tahoma" w:eastAsia="宋体" w:cs="Times New Roman"/>
      <w:sz w:val="24"/>
      <w:szCs w:val="20"/>
    </w:rPr>
  </w:style>
  <w:style w:type="paragraph" w:customStyle="1" w:styleId="74">
    <w:name w:val="样式1"/>
    <w:basedOn w:val="21"/>
    <w:next w:val="7"/>
    <w:qFormat/>
    <w:uiPriority w:val="0"/>
    <w:rPr>
      <w:b/>
    </w:rPr>
  </w:style>
  <w:style w:type="paragraph" w:customStyle="1" w:styleId="75">
    <w:name w:val="Char Char1 Char Char Char"/>
    <w:basedOn w:val="5"/>
    <w:qFormat/>
    <w:uiPriority w:val="0"/>
    <w:rPr>
      <w:rFonts w:ascii="Tahoma" w:hAnsi="Tahoma"/>
      <w:sz w:val="24"/>
    </w:rPr>
  </w:style>
  <w:style w:type="paragraph" w:customStyle="1" w:styleId="76">
    <w:name w:val="Char Char Char1"/>
    <w:basedOn w:val="1"/>
    <w:qFormat/>
    <w:uiPriority w:val="0"/>
    <w:rPr>
      <w:rFonts w:ascii="宋体" w:hAnsi="宋体" w:eastAsia="宋体" w:cs="Courier New"/>
      <w:sz w:val="32"/>
      <w:szCs w:val="32"/>
    </w:rPr>
  </w:style>
  <w:style w:type="paragraph" w:customStyle="1" w:styleId="77">
    <w:name w:val="_Style 13"/>
    <w:basedOn w:val="1"/>
    <w:qFormat/>
    <w:uiPriority w:val="0"/>
    <w:pPr>
      <w:widowControl/>
      <w:tabs>
        <w:tab w:val="left" w:pos="1260"/>
        <w:tab w:val="left" w:pos="1740"/>
      </w:tabs>
      <w:spacing w:after="160" w:line="360" w:lineRule="auto"/>
      <w:ind w:left="1740" w:hanging="1200"/>
      <w:jc w:val="left"/>
    </w:pPr>
    <w:rPr>
      <w:rFonts w:ascii="宋体" w:hAnsi="宋体" w:eastAsia="宋体" w:cs="Times New Roman"/>
      <w:b/>
      <w:kern w:val="0"/>
      <w:sz w:val="28"/>
      <w:szCs w:val="28"/>
      <w:lang w:eastAsia="en-US"/>
    </w:rPr>
  </w:style>
  <w:style w:type="character" w:customStyle="1" w:styleId="78">
    <w:name w:val="标准文字 Char"/>
    <w:link w:val="79"/>
    <w:qFormat/>
    <w:locked/>
    <w:uiPriority w:val="99"/>
    <w:rPr>
      <w:sz w:val="30"/>
    </w:rPr>
  </w:style>
  <w:style w:type="paragraph" w:customStyle="1" w:styleId="79">
    <w:name w:val="标准文字"/>
    <w:basedOn w:val="1"/>
    <w:link w:val="78"/>
    <w:qFormat/>
    <w:uiPriority w:val="99"/>
    <w:pPr>
      <w:overflowPunct w:val="0"/>
      <w:spacing w:line="360" w:lineRule="auto"/>
      <w:ind w:firstLine="600" w:firstLineChars="200"/>
    </w:pPr>
    <w:rPr>
      <w:sz w:val="30"/>
    </w:rPr>
  </w:style>
  <w:style w:type="character" w:customStyle="1" w:styleId="80">
    <w:name w:val="标题 Char1"/>
    <w:qFormat/>
    <w:uiPriority w:val="0"/>
    <w:rPr>
      <w:rFonts w:ascii="Cambria" w:hAnsi="Cambria" w:cs="Times New Roman"/>
      <w:b/>
      <w:bCs/>
      <w:sz w:val="32"/>
      <w:szCs w:val="32"/>
    </w:rPr>
  </w:style>
  <w:style w:type="character" w:customStyle="1" w:styleId="81">
    <w:name w:val="bjh-strong"/>
    <w:qFormat/>
    <w:uiPriority w:val="0"/>
  </w:style>
  <w:style w:type="character" w:customStyle="1" w:styleId="82">
    <w:name w:val="form-textarea-print"/>
    <w:qFormat/>
    <w:uiPriority w:val="0"/>
  </w:style>
  <w:style w:type="character" w:customStyle="1" w:styleId="83">
    <w:name w:val="bjh-p"/>
    <w:qFormat/>
    <w:uiPriority w:val="0"/>
  </w:style>
  <w:style w:type="character" w:customStyle="1" w:styleId="84">
    <w:name w:val="页眉 Char1"/>
    <w:qFormat/>
    <w:locked/>
    <w:uiPriority w:val="99"/>
    <w:rPr>
      <w:rFonts w:eastAsia="宋体"/>
      <w:kern w:val="2"/>
      <w:sz w:val="18"/>
      <w:szCs w:val="18"/>
      <w:lang w:val="en-US" w:eastAsia="zh-CN" w:bidi="ar-SA"/>
    </w:rPr>
  </w:style>
  <w:style w:type="character" w:customStyle="1" w:styleId="85">
    <w:name w:val="Char Char4"/>
    <w:qFormat/>
    <w:uiPriority w:val="0"/>
    <w:rPr>
      <w:sz w:val="18"/>
      <w:szCs w:val="18"/>
      <w:lang w:bidi="ar-SA"/>
    </w:rPr>
  </w:style>
  <w:style w:type="paragraph" w:customStyle="1" w:styleId="86">
    <w:name w:val="一级标题"/>
    <w:basedOn w:val="1"/>
    <w:qFormat/>
    <w:uiPriority w:val="0"/>
    <w:pPr>
      <w:spacing w:line="560" w:lineRule="exact"/>
      <w:ind w:firstLine="640" w:firstLineChars="200"/>
    </w:pPr>
    <w:rPr>
      <w:rFonts w:ascii="黑体" w:hAnsi="Calibri" w:eastAsia="黑体" w:cs="Times New Roman"/>
      <w:sz w:val="32"/>
      <w:szCs w:val="32"/>
    </w:rPr>
  </w:style>
  <w:style w:type="paragraph" w:customStyle="1" w:styleId="87">
    <w:name w:val="文章标题"/>
    <w:basedOn w:val="1"/>
    <w:qFormat/>
    <w:uiPriority w:val="0"/>
    <w:pPr>
      <w:jc w:val="center"/>
    </w:pPr>
    <w:rPr>
      <w:rFonts w:ascii="方正小标宋简体" w:hAnsi="Calibri" w:eastAsia="方正小标宋简体" w:cs="Times New Roman"/>
      <w:sz w:val="44"/>
      <w:szCs w:val="44"/>
    </w:rPr>
  </w:style>
  <w:style w:type="paragraph" w:customStyle="1" w:styleId="88">
    <w:name w:val="二级标题"/>
    <w:basedOn w:val="1"/>
    <w:qFormat/>
    <w:uiPriority w:val="0"/>
    <w:pPr>
      <w:spacing w:line="560" w:lineRule="exact"/>
      <w:ind w:firstLine="630" w:firstLineChars="196"/>
    </w:pPr>
    <w:rPr>
      <w:rFonts w:ascii="楷体_GB2312" w:hAnsi="Calibri" w:eastAsia="楷体_GB2312" w:cs="仿宋_GB2312"/>
      <w:b/>
      <w:sz w:val="32"/>
      <w:szCs w:val="32"/>
    </w:rPr>
  </w:style>
  <w:style w:type="paragraph" w:customStyle="1" w:styleId="89">
    <w:name w:val="p0"/>
    <w:basedOn w:val="1"/>
    <w:qFormat/>
    <w:uiPriority w:val="0"/>
    <w:pPr>
      <w:widowControl/>
    </w:pPr>
    <w:rPr>
      <w:rFonts w:ascii="Times New Roman" w:hAnsi="Times New Roman" w:eastAsia="宋体" w:cs="Times New Roman"/>
      <w:kern w:val="0"/>
      <w:szCs w:val="21"/>
    </w:rPr>
  </w:style>
  <w:style w:type="paragraph" w:styleId="90">
    <w:name w:val="No Spacing"/>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91">
    <w:name w:val="Char Char Char Char Char Char Char Char Char"/>
    <w:basedOn w:val="1"/>
    <w:qFormat/>
    <w:uiPriority w:val="0"/>
    <w:pPr>
      <w:widowControl/>
      <w:tabs>
        <w:tab w:val="left" w:pos="900"/>
      </w:tabs>
      <w:ind w:left="900"/>
    </w:pPr>
    <w:rPr>
      <w:rFonts w:ascii="宋体" w:hAnsi="宋体" w:eastAsia="宋体" w:cs="Times New Roman"/>
      <w:b/>
      <w:sz w:val="28"/>
      <w:szCs w:val="28"/>
      <w:lang w:eastAsia="en-US"/>
    </w:rPr>
  </w:style>
  <w:style w:type="paragraph" w:customStyle="1" w:styleId="92">
    <w:name w:val="文章正文"/>
    <w:basedOn w:val="1"/>
    <w:qFormat/>
    <w:uiPriority w:val="0"/>
    <w:pPr>
      <w:spacing w:line="560" w:lineRule="exact"/>
      <w:ind w:firstLine="640" w:firstLineChars="200"/>
    </w:pPr>
    <w:rPr>
      <w:rFonts w:ascii="仿宋_GB2312" w:hAnsi="Calibri" w:eastAsia="仿宋_GB2312" w:cs="仿宋_GB2312"/>
      <w:sz w:val="32"/>
      <w:szCs w:val="32"/>
    </w:rPr>
  </w:style>
  <w:style w:type="paragraph" w:customStyle="1" w:styleId="93">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94">
    <w:name w:val="列出段落1"/>
    <w:basedOn w:val="1"/>
    <w:qFormat/>
    <w:uiPriority w:val="0"/>
    <w:pPr>
      <w:ind w:firstLine="420" w:firstLineChars="200"/>
    </w:pPr>
    <w:rPr>
      <w:rFonts w:ascii="Calibri" w:hAnsi="Calibri" w:eastAsia="宋体" w:cs="Times New Roman"/>
    </w:rPr>
  </w:style>
  <w:style w:type="paragraph" w:customStyle="1" w:styleId="95">
    <w:name w:val="列出段落111"/>
    <w:basedOn w:val="1"/>
    <w:qFormat/>
    <w:uiPriority w:val="34"/>
    <w:pPr>
      <w:ind w:firstLine="420" w:firstLineChars="200"/>
    </w:pPr>
    <w:rPr>
      <w:rFonts w:ascii="Times New Roman" w:hAnsi="Times New Roman" w:eastAsia="宋体" w:cs="Times New Roman"/>
      <w:szCs w:val="24"/>
    </w:rPr>
  </w:style>
  <w:style w:type="paragraph" w:customStyle="1" w:styleId="96">
    <w:name w:val="目录 11"/>
    <w:next w:val="1"/>
    <w:qFormat/>
    <w:uiPriority w:val="0"/>
    <w:pPr>
      <w:wordWrap w:val="0"/>
      <w:jc w:val="both"/>
    </w:pPr>
    <w:rPr>
      <w:rFonts w:ascii="Times New Roman" w:hAnsi="Times New Roman" w:eastAsia="宋体" w:cs="Times New Roman"/>
      <w:kern w:val="0"/>
      <w:sz w:val="21"/>
      <w:szCs w:val="22"/>
      <w:lang w:val="en-US" w:eastAsia="zh-CN" w:bidi="ar-SA"/>
    </w:rPr>
  </w:style>
  <w:style w:type="table" w:customStyle="1" w:styleId="97">
    <w:name w:val="网格型1"/>
    <w:basedOn w:val="24"/>
    <w:qFormat/>
    <w:uiPriority w:val="0"/>
    <w:pPr>
      <w:widowControl w:val="0"/>
      <w:jc w:val="both"/>
    </w:pPr>
    <w:rPr>
      <w:rFonts w:ascii="Calibri" w:hAnsi="Calibri"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8">
    <w:name w:val="网格型2"/>
    <w:basedOn w:val="24"/>
    <w:qFormat/>
    <w:uiPriority w:val="0"/>
    <w:pPr>
      <w:widowControl w:val="0"/>
      <w:jc w:val="both"/>
    </w:pPr>
    <w:rPr>
      <w:rFonts w:ascii="Calibri" w:hAnsi="Calibri"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9">
    <w:name w:val="页眉 字符"/>
    <w:qFormat/>
    <w:uiPriority w:val="0"/>
    <w:rPr>
      <w:rFonts w:ascii="Calibri" w:hAnsi="Calibri"/>
      <w:kern w:val="2"/>
      <w:sz w:val="18"/>
      <w:szCs w:val="18"/>
    </w:rPr>
  </w:style>
  <w:style w:type="character" w:customStyle="1" w:styleId="100">
    <w:name w:val="文档结构图 字符"/>
    <w:link w:val="5"/>
    <w:qFormat/>
    <w:uiPriority w:val="0"/>
    <w:rPr>
      <w:rFonts w:ascii="Calibri" w:hAnsi="Calibri" w:eastAsia="宋体" w:cs="Times New Roman"/>
      <w:szCs w:val="24"/>
      <w:shd w:val="clear" w:color="auto" w:fill="000080"/>
    </w:rPr>
  </w:style>
  <w:style w:type="character" w:customStyle="1" w:styleId="101">
    <w:name w:val="批注框文本 字符"/>
    <w:qFormat/>
    <w:uiPriority w:val="0"/>
    <w:rPr>
      <w:rFonts w:ascii="Calibri" w:hAnsi="Calibri"/>
      <w:kern w:val="2"/>
      <w:sz w:val="18"/>
      <w:szCs w:val="18"/>
    </w:rPr>
  </w:style>
  <w:style w:type="character" w:customStyle="1" w:styleId="102">
    <w:name w:val="批注主题 字符"/>
    <w:qFormat/>
    <w:uiPriority w:val="0"/>
    <w:rPr>
      <w:rFonts w:ascii="Calibri" w:hAnsi="Calibri"/>
      <w:b/>
      <w:bCs/>
      <w:kern w:val="2"/>
      <w:sz w:val="21"/>
      <w:szCs w:val="24"/>
    </w:rPr>
  </w:style>
  <w:style w:type="character" w:customStyle="1" w:styleId="103">
    <w:name w:val="页脚 字符"/>
    <w:qFormat/>
    <w:uiPriority w:val="99"/>
    <w:rPr>
      <w:sz w:val="18"/>
      <w:szCs w:val="18"/>
    </w:rPr>
  </w:style>
  <w:style w:type="character" w:customStyle="1" w:styleId="104">
    <w:name w:val="标题 1 字符"/>
    <w:qFormat/>
    <w:uiPriority w:val="0"/>
    <w:rPr>
      <w:rFonts w:ascii="Calibri" w:hAnsi="Calibri" w:eastAsia="黑体"/>
      <w:b/>
      <w:kern w:val="44"/>
      <w:sz w:val="44"/>
      <w:szCs w:val="24"/>
    </w:rPr>
  </w:style>
  <w:style w:type="character" w:customStyle="1" w:styleId="105">
    <w:name w:val="标题 3 字符"/>
    <w:qFormat/>
    <w:uiPriority w:val="0"/>
    <w:rPr>
      <w:rFonts w:ascii="Calibri" w:hAnsi="Calibri" w:eastAsia="楷体"/>
      <w:b/>
      <w:kern w:val="2"/>
      <w:sz w:val="32"/>
      <w:szCs w:val="24"/>
    </w:rPr>
  </w:style>
  <w:style w:type="character" w:customStyle="1" w:styleId="106">
    <w:name w:val="标题 2 字符"/>
    <w:qFormat/>
    <w:uiPriority w:val="0"/>
    <w:rPr>
      <w:rFonts w:ascii="Arial" w:hAnsi="Arial" w:eastAsia="黑体"/>
      <w:b/>
      <w:kern w:val="2"/>
      <w:sz w:val="32"/>
      <w:szCs w:val="24"/>
    </w:rPr>
  </w:style>
  <w:style w:type="character" w:customStyle="1" w:styleId="107">
    <w:name w:val="批注文字 字符"/>
    <w:qFormat/>
    <w:uiPriority w:val="0"/>
    <w:rPr>
      <w:rFonts w:ascii="Calibri" w:hAnsi="Calibri"/>
      <w:kern w:val="2"/>
      <w:sz w:val="21"/>
      <w:szCs w:val="24"/>
    </w:rPr>
  </w:style>
  <w:style w:type="character" w:customStyle="1" w:styleId="108">
    <w:name w:val="页脚 字符1"/>
    <w:qFormat/>
    <w:uiPriority w:val="0"/>
    <w:rPr>
      <w:rFonts w:ascii="Calibri" w:hAnsi="Calibri"/>
      <w:kern w:val="2"/>
      <w:sz w:val="18"/>
      <w:szCs w:val="18"/>
    </w:rPr>
  </w:style>
  <w:style w:type="paragraph" w:customStyle="1" w:styleId="109">
    <w:name w:val="列出段落11"/>
    <w:basedOn w:val="1"/>
    <w:qFormat/>
    <w:uiPriority w:val="0"/>
    <w:pPr>
      <w:ind w:firstLine="420" w:firstLineChars="200"/>
    </w:pPr>
    <w:rPr>
      <w:rFonts w:ascii="Times New Roman" w:hAnsi="Times New Roman" w:eastAsia="宋体" w:cs="Times New Roman"/>
      <w:szCs w:val="24"/>
    </w:rPr>
  </w:style>
  <w:style w:type="paragraph" w:customStyle="1" w:styleId="110">
    <w:name w:val="WPSOffice手动目录 2"/>
    <w:qFormat/>
    <w:uiPriority w:val="0"/>
    <w:pPr>
      <w:ind w:left="200" w:leftChars="200"/>
    </w:pPr>
    <w:rPr>
      <w:rFonts w:ascii="Times New Roman" w:hAnsi="Times New Roman" w:eastAsia="宋体" w:cs="Times New Roman"/>
      <w:kern w:val="0"/>
      <w:sz w:val="20"/>
      <w:szCs w:val="20"/>
      <w:lang w:val="en-US" w:eastAsia="zh-CN" w:bidi="ar-SA"/>
    </w:rPr>
  </w:style>
  <w:style w:type="paragraph" w:customStyle="1" w:styleId="111">
    <w:name w:val="列出段落2"/>
    <w:basedOn w:val="1"/>
    <w:qFormat/>
    <w:uiPriority w:val="0"/>
    <w:pPr>
      <w:ind w:firstLine="420" w:firstLineChars="200"/>
    </w:pPr>
    <w:rPr>
      <w:rFonts w:ascii="Calibri" w:hAnsi="Calibri" w:eastAsia="宋体" w:cs="Times New Roman"/>
      <w:szCs w:val="24"/>
    </w:rPr>
  </w:style>
  <w:style w:type="paragraph" w:customStyle="1" w:styleId="112">
    <w:name w:val="*正文"/>
    <w:basedOn w:val="1"/>
    <w:qFormat/>
    <w:uiPriority w:val="0"/>
    <w:pPr>
      <w:widowControl/>
      <w:ind w:firstLine="200" w:firstLineChars="200"/>
    </w:pPr>
    <w:rPr>
      <w:rFonts w:ascii="仿宋_GB2312" w:hAnsi="Times New Roman" w:eastAsia="仿宋_GB2312" w:cs="Times New Roman"/>
      <w:sz w:val="24"/>
      <w:szCs w:val="28"/>
    </w:rPr>
  </w:style>
  <w:style w:type="paragraph" w:customStyle="1" w:styleId="113">
    <w:name w:val="WPSOffice手动目录 1"/>
    <w:qFormat/>
    <w:uiPriority w:val="0"/>
    <w:rPr>
      <w:rFonts w:ascii="Times New Roman" w:hAnsi="Times New Roman" w:eastAsia="宋体" w:cs="Times New Roman"/>
      <w:kern w:val="0"/>
      <w:sz w:val="20"/>
      <w:szCs w:val="20"/>
      <w:lang w:val="en-US" w:eastAsia="zh-CN" w:bidi="ar-SA"/>
    </w:rPr>
  </w:style>
  <w:style w:type="table" w:customStyle="1" w:styleId="114">
    <w:name w:val="网格型3"/>
    <w:basedOn w:val="24"/>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emf"/><Relationship Id="rId7" Type="http://schemas.openxmlformats.org/officeDocument/2006/relationships/oleObject" Target="embeddings/Workbook1.xls"/><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42</Pages>
  <Words>19093</Words>
  <Characters>19381</Characters>
  <Lines>149</Lines>
  <Paragraphs>42</Paragraphs>
  <TotalTime>0</TotalTime>
  <ScaleCrop>false</ScaleCrop>
  <LinksUpToDate>false</LinksUpToDate>
  <CharactersWithSpaces>19455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2021-10-26T07:01:00Z</dcterms:created>
  <dc:creator>Administrator</dc:creator>
  <cp:lastModifiedBy>TanTanTan</cp:lastModifiedBy>
  <dcterms:modified xsi:type="dcterms:W3CDTF">2023-06-09T13:15:45Z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4C0924CCCFF949398848F74039DA9C62_13</vt:lpwstr>
  </property>
</Properties>
</file>