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Style w:val="5"/>
          <w:rFonts w:hint="eastAsia" w:asciiTheme="majorEastAsia" w:hAnsiTheme="majorEastAsia" w:eastAsiaTheme="majorEastAsia" w:cstheme="majorEastAsia"/>
          <w:color w:val="404040"/>
          <w:sz w:val="32"/>
          <w:szCs w:val="32"/>
          <w:shd w:val="clear" w:color="auto" w:fill="FFFFFF"/>
        </w:rPr>
      </w:pPr>
      <w:r>
        <w:rPr>
          <w:rStyle w:val="5"/>
          <w:rFonts w:hint="eastAsia" w:asciiTheme="majorEastAsia" w:hAnsiTheme="majorEastAsia" w:eastAsiaTheme="majorEastAsia" w:cstheme="majorEastAsia"/>
          <w:color w:val="404040"/>
          <w:sz w:val="32"/>
          <w:szCs w:val="32"/>
          <w:shd w:val="clear" w:color="auto" w:fill="FFFFFF"/>
        </w:rPr>
        <w:t>2020年部门</w:t>
      </w:r>
      <w:r>
        <w:rPr>
          <w:rStyle w:val="5"/>
          <w:rFonts w:hint="eastAsia" w:asciiTheme="majorEastAsia" w:hAnsiTheme="majorEastAsia" w:eastAsiaTheme="majorEastAsia" w:cstheme="majorEastAsia"/>
          <w:color w:val="404040"/>
          <w:sz w:val="32"/>
          <w:szCs w:val="32"/>
          <w:shd w:val="clear" w:color="auto" w:fill="FFFFFF"/>
          <w:lang w:val="en-US" w:eastAsia="zh-CN"/>
        </w:rPr>
        <w:t>预算编制</w:t>
      </w:r>
      <w:r>
        <w:rPr>
          <w:rStyle w:val="5"/>
          <w:rFonts w:hint="eastAsia" w:asciiTheme="majorEastAsia" w:hAnsiTheme="majorEastAsia" w:eastAsiaTheme="majorEastAsia" w:cstheme="majorEastAsia"/>
          <w:color w:val="404040"/>
          <w:sz w:val="32"/>
          <w:szCs w:val="32"/>
          <w:shd w:val="clear" w:color="auto" w:fill="FFFFFF"/>
        </w:rPr>
        <w:t>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2" w:firstLineChars="200"/>
        <w:jc w:val="both"/>
        <w:textAlignment w:val="auto"/>
        <w:rPr>
          <w:rFonts w:hint="eastAsia" w:asciiTheme="majorEastAsia" w:hAnsiTheme="majorEastAsia" w:eastAsiaTheme="majorEastAsia" w:cstheme="majorEastAsia"/>
          <w:b/>
          <w:bCs/>
          <w:i w:val="0"/>
          <w:iCs w:val="0"/>
          <w:caps w:val="0"/>
          <w:color w:val="404040"/>
          <w:spacing w:val="15"/>
          <w:sz w:val="28"/>
          <w:szCs w:val="28"/>
          <w:u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2" w:firstLineChars="200"/>
        <w:jc w:val="both"/>
        <w:textAlignment w:val="auto"/>
        <w:rPr>
          <w:rFonts w:hint="eastAsia" w:asciiTheme="majorEastAsia" w:hAnsiTheme="majorEastAsia" w:eastAsiaTheme="majorEastAsia" w:cstheme="majorEastAsia"/>
          <w:b/>
          <w:bCs/>
          <w:i w:val="0"/>
          <w:iCs w:val="0"/>
          <w:caps w:val="0"/>
          <w:color w:val="404040"/>
          <w:spacing w:val="0"/>
          <w:sz w:val="28"/>
          <w:szCs w:val="28"/>
          <w:u w:val="none"/>
        </w:rPr>
      </w:pPr>
      <w:r>
        <w:rPr>
          <w:rFonts w:hint="eastAsia" w:asciiTheme="majorEastAsia" w:hAnsiTheme="majorEastAsia" w:eastAsiaTheme="majorEastAsia" w:cstheme="majorEastAsia"/>
          <w:b/>
          <w:bCs/>
          <w:i w:val="0"/>
          <w:iCs w:val="0"/>
          <w:caps w:val="0"/>
          <w:color w:val="404040"/>
          <w:spacing w:val="15"/>
          <w:sz w:val="28"/>
          <w:szCs w:val="28"/>
          <w:u w:val="none"/>
          <w:shd w:val="clear" w:fill="FFFFFF"/>
        </w:rPr>
        <w:t>一、部门基本情况</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i w:val="0"/>
          <w:iCs w:val="0"/>
          <w:caps w:val="0"/>
          <w:color w:val="000000"/>
          <w:spacing w:val="15"/>
          <w:sz w:val="28"/>
          <w:szCs w:val="28"/>
          <w:u w:val="none"/>
          <w:shd w:val="clear" w:fill="FFFFFF"/>
        </w:rPr>
        <w:t>丰台区文化和旅游局为2019年3月新组建单位，其职能主要为：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i w:val="0"/>
          <w:iCs w:val="0"/>
          <w:caps w:val="0"/>
          <w:color w:val="000000"/>
          <w:spacing w:val="15"/>
          <w:sz w:val="28"/>
          <w:szCs w:val="28"/>
          <w:u w:val="none"/>
          <w:shd w:val="clear" w:fill="FFFFFF"/>
        </w:rPr>
        <w:t>1.贯彻落实国家和北京市关于文化、文物、广播电视和旅游工作的法律法规、规章和政策，推进文化和旅游融合发展及体制机制改革，统筹规划本区公共文化、文博事业、文化市场和旅游产业的发展，拟订发展规划和年度计划并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i w:val="0"/>
          <w:iCs w:val="0"/>
          <w:caps w:val="0"/>
          <w:color w:val="000000"/>
          <w:spacing w:val="15"/>
          <w:sz w:val="28"/>
          <w:szCs w:val="28"/>
          <w:u w:val="none"/>
          <w:shd w:val="clear" w:fill="FFFFFF"/>
        </w:rPr>
        <w:t>2.参与国家、北京市旅游整体形象的对外宣传和重大推广活动，促进旅游产业对外合作和市场推广，负责制定本区旅游市场开发战略并组织实施，指导、推进全域旅游；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i w:val="0"/>
          <w:iCs w:val="0"/>
          <w:caps w:val="0"/>
          <w:color w:val="000000"/>
          <w:spacing w:val="15"/>
          <w:sz w:val="28"/>
          <w:szCs w:val="28"/>
          <w:u w:val="none"/>
          <w:shd w:val="clear" w:fill="FFFFFF"/>
        </w:rPr>
        <w:t>3.负责本区公共文化事业和旅游产业发展，管理本区重大文化和旅游活动，指导公共文化设施和旅游设施建设，推进文化和旅游公共服务体系建设，深入实施文化惠民工程，统筹推进基本公共文化服务标准化、均等化和旅游服务标准化、便利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i w:val="0"/>
          <w:iCs w:val="0"/>
          <w:caps w:val="0"/>
          <w:color w:val="000000"/>
          <w:spacing w:val="15"/>
          <w:sz w:val="28"/>
          <w:szCs w:val="28"/>
          <w:u w:val="none"/>
          <w:shd w:val="clear" w:fill="FFFFFF"/>
        </w:rPr>
        <w:t>4.指导、管理本区文艺事业，指导艺术创作生产，扶持体现社会主义核心价值观、具有导向性代表性示范性和鲜明地区性的文艺作品，推动群众文化各门类艺术、各艺术品种发展；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i w:val="0"/>
          <w:iCs w:val="0"/>
          <w:caps w:val="0"/>
          <w:color w:val="000000"/>
          <w:spacing w:val="15"/>
          <w:sz w:val="28"/>
          <w:szCs w:val="28"/>
          <w:u w:val="none"/>
          <w:shd w:val="clear" w:fill="FFFFFF"/>
        </w:rPr>
        <w:t>5.指导、推进本区文化和旅游与科技融合创新发展，推进文化和旅游行业信息化、标准化建设；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i w:val="0"/>
          <w:iCs w:val="0"/>
          <w:caps w:val="0"/>
          <w:color w:val="000000"/>
          <w:spacing w:val="15"/>
          <w:sz w:val="28"/>
          <w:szCs w:val="28"/>
          <w:u w:val="none"/>
          <w:shd w:val="clear" w:fill="FFFFFF"/>
        </w:rPr>
        <w:t>6.负责本区非物质文化遗产保护、保存，推动非物质文化遗产的保护、传承、传播和发展，组织实施非物质文化遗产保护和优秀民族文化普及工作；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i w:val="0"/>
          <w:iCs w:val="0"/>
          <w:caps w:val="0"/>
          <w:color w:val="000000"/>
          <w:spacing w:val="15"/>
          <w:sz w:val="28"/>
          <w:szCs w:val="28"/>
          <w:u w:val="none"/>
          <w:shd w:val="clear" w:fill="FFFFFF"/>
        </w:rPr>
        <w:t>7.组织实施文化和旅游资源普查、挖掘、保护和利用工作，促进文化事业和旅游产业融合发展；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i w:val="0"/>
          <w:iCs w:val="0"/>
          <w:caps w:val="0"/>
          <w:color w:val="000000"/>
          <w:spacing w:val="15"/>
          <w:sz w:val="28"/>
          <w:szCs w:val="28"/>
          <w:u w:val="none"/>
          <w:shd w:val="clear" w:fill="FFFFFF"/>
        </w:rPr>
        <w:t>8.指导本区文化和旅游市场发展，负责对文化和旅游市场经营进行行业监管，推进文化和旅游业信用体系建设，依法规范文化和旅游市场；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i w:val="0"/>
          <w:iCs w:val="0"/>
          <w:caps w:val="0"/>
          <w:color w:val="000000"/>
          <w:spacing w:val="15"/>
          <w:sz w:val="28"/>
          <w:szCs w:val="28"/>
          <w:u w:val="none"/>
          <w:shd w:val="clear" w:fill="FFFFFF"/>
        </w:rPr>
        <w:t>9.负责推动完善文物和博物馆公共服务体系建设；负责本区文物保护管理，会同有关部门负责历史文化名城保护和监督管理工作；负责考古调查、勘探和发掘工作；负责本区文物保护的宣传工作；指导本区博物馆的业务 工作；指导相关专业人员的科研、培训和交流活动；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i w:val="0"/>
          <w:iCs w:val="0"/>
          <w:caps w:val="0"/>
          <w:color w:val="000000"/>
          <w:spacing w:val="15"/>
          <w:sz w:val="28"/>
          <w:szCs w:val="28"/>
          <w:u w:val="none"/>
          <w:shd w:val="clear" w:fill="FFFFFF"/>
        </w:rPr>
        <w:t>10.负责本区文化、文物、广播电视和旅游监管方面行政审批工作。负责制定本区行政审批项目办理流程、审批标准并组织实施；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i w:val="0"/>
          <w:iCs w:val="0"/>
          <w:caps w:val="0"/>
          <w:color w:val="000000"/>
          <w:spacing w:val="15"/>
          <w:sz w:val="28"/>
          <w:szCs w:val="28"/>
          <w:u w:val="none"/>
          <w:shd w:val="clear" w:fill="FFFFFF"/>
        </w:rPr>
        <w:t>11.负责文化、文物、旅游安全工作的综合协调和监督管理。协调文化、文物、旅游重大安全突发事件应急处置工作；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i w:val="0"/>
          <w:iCs w:val="0"/>
          <w:caps w:val="0"/>
          <w:color w:val="000000"/>
          <w:spacing w:val="15"/>
          <w:sz w:val="28"/>
          <w:szCs w:val="28"/>
          <w:u w:val="none"/>
          <w:shd w:val="clear" w:fill="FFFFFF"/>
        </w:rPr>
        <w:t>12.协助区委宣传部指导本区文化市场综合执法，组织查处全区文化、文物、出版、广播电视、电影、旅游等市场的违法行为，维护市场秩序；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i w:val="0"/>
          <w:iCs w:val="0"/>
          <w:caps w:val="0"/>
          <w:color w:val="000000"/>
          <w:spacing w:val="15"/>
          <w:sz w:val="28"/>
          <w:szCs w:val="28"/>
          <w:u w:val="none"/>
          <w:shd w:val="clear" w:fill="FFFFFF"/>
        </w:rPr>
        <w:t>13.完成区委、区政府交办的其他任务。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000000"/>
          <w:spacing w:val="15"/>
          <w:sz w:val="28"/>
          <w:szCs w:val="28"/>
          <w:u w:val="none"/>
          <w:shd w:val="clear" w:fill="FFFFFF"/>
        </w:rPr>
      </w:pPr>
      <w:r>
        <w:rPr>
          <w:rFonts w:hint="eastAsia" w:asciiTheme="majorEastAsia" w:hAnsiTheme="majorEastAsia" w:eastAsiaTheme="majorEastAsia" w:cstheme="majorEastAsia"/>
          <w:i w:val="0"/>
          <w:iCs w:val="0"/>
          <w:caps w:val="0"/>
          <w:color w:val="000000"/>
          <w:spacing w:val="15"/>
          <w:sz w:val="28"/>
          <w:szCs w:val="28"/>
          <w:u w:val="none"/>
          <w:shd w:val="clear" w:fill="FFFFFF"/>
        </w:rPr>
        <w:t>丰台区文化和旅游局</w:t>
      </w:r>
      <w:r>
        <w:rPr>
          <w:rFonts w:hint="eastAsia" w:asciiTheme="majorEastAsia" w:hAnsiTheme="majorEastAsia" w:eastAsiaTheme="majorEastAsia" w:cstheme="majorEastAsia"/>
          <w:i w:val="0"/>
          <w:iCs w:val="0"/>
          <w:caps w:val="0"/>
          <w:color w:val="000000"/>
          <w:spacing w:val="15"/>
          <w:sz w:val="28"/>
          <w:szCs w:val="28"/>
          <w:u w:val="none"/>
          <w:shd w:val="clear" w:fill="FFFFFF"/>
          <w:lang w:val="en-US" w:eastAsia="zh-CN"/>
        </w:rPr>
        <w:t>设办公室、法制宣传科、公共服务科、文物管理科、行业监督管理科、产业发展科、资源开发科和组织人事科，包括丰台区文化委员会行政执法队、丰台区图书馆、丰台区文化馆、丰台区文物管理所和丰台区旅游服务中心5个下属单位</w:t>
      </w:r>
      <w:r>
        <w:rPr>
          <w:rFonts w:hint="eastAsia" w:asciiTheme="majorEastAsia" w:hAnsiTheme="majorEastAsia" w:eastAsiaTheme="majorEastAsia" w:cstheme="majorEastAsia"/>
          <w:i w:val="0"/>
          <w:iCs w:val="0"/>
          <w:caps w:val="0"/>
          <w:color w:val="000000"/>
          <w:spacing w:val="15"/>
          <w:sz w:val="28"/>
          <w:szCs w:val="28"/>
          <w:u w:val="none"/>
          <w:shd w:val="clear" w:fill="FFFFFF"/>
        </w:rPr>
        <w:t>。截至2019年底，共有行政编制58人，实际49人；事业编制138人，实际113人；离退休人员115人。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2" w:firstLineChars="200"/>
        <w:jc w:val="both"/>
        <w:textAlignment w:val="auto"/>
        <w:rPr>
          <w:rFonts w:hint="eastAsia" w:asciiTheme="majorEastAsia" w:hAnsiTheme="majorEastAsia" w:eastAsiaTheme="majorEastAsia" w:cstheme="majorEastAsia"/>
          <w:b/>
          <w:bCs/>
          <w:i w:val="0"/>
          <w:iCs w:val="0"/>
          <w:caps w:val="0"/>
          <w:color w:val="404040"/>
          <w:spacing w:val="15"/>
          <w:sz w:val="28"/>
          <w:szCs w:val="28"/>
          <w:u w:val="none"/>
          <w:shd w:val="clear" w:fill="FFFFFF"/>
        </w:rPr>
      </w:pPr>
      <w:r>
        <w:rPr>
          <w:rFonts w:hint="eastAsia" w:asciiTheme="majorEastAsia" w:hAnsiTheme="majorEastAsia" w:eastAsiaTheme="majorEastAsia" w:cstheme="majorEastAsia"/>
          <w:b/>
          <w:bCs/>
          <w:i w:val="0"/>
          <w:iCs w:val="0"/>
          <w:caps w:val="0"/>
          <w:color w:val="404040"/>
          <w:spacing w:val="15"/>
          <w:sz w:val="28"/>
          <w:szCs w:val="28"/>
          <w:u w:val="none"/>
          <w:shd w:val="clear" w:fill="FFFFFF"/>
        </w:rPr>
        <w:t>二、2020年收入及支出总体情况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97"/>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i w:val="0"/>
          <w:iCs w:val="0"/>
          <w:caps w:val="0"/>
          <w:color w:val="000000"/>
          <w:spacing w:val="15"/>
          <w:sz w:val="28"/>
          <w:szCs w:val="28"/>
          <w:u w:val="none"/>
          <w:shd w:val="clear" w:fill="FFFFFF"/>
        </w:rPr>
        <w:t>2020年部门收入预算11,937.22万元，同比2019年增加11,937.22万元，增长100%，</w:t>
      </w:r>
      <w:r>
        <w:rPr>
          <w:rFonts w:hint="eastAsia" w:asciiTheme="majorEastAsia" w:hAnsiTheme="majorEastAsia" w:eastAsiaTheme="majorEastAsia" w:cstheme="majorEastAsia"/>
          <w:i w:val="0"/>
          <w:iCs w:val="0"/>
          <w:caps w:val="0"/>
          <w:color w:val="000000"/>
          <w:spacing w:val="15"/>
          <w:sz w:val="28"/>
          <w:szCs w:val="28"/>
          <w:u w:val="none"/>
          <w:shd w:val="clear" w:fill="FFFFFF"/>
          <w:lang w:val="en-US" w:eastAsia="zh-CN"/>
        </w:rPr>
        <w:t>原因是：</w:t>
      </w:r>
      <w:r>
        <w:rPr>
          <w:rFonts w:hint="eastAsia" w:asciiTheme="majorEastAsia" w:hAnsiTheme="majorEastAsia" w:eastAsiaTheme="majorEastAsia" w:cstheme="majorEastAsia"/>
          <w:i w:val="0"/>
          <w:iCs w:val="0"/>
          <w:caps w:val="0"/>
          <w:color w:val="000000"/>
          <w:spacing w:val="15"/>
          <w:sz w:val="28"/>
          <w:szCs w:val="28"/>
          <w:u w:val="none"/>
          <w:shd w:val="clear" w:fill="FFFFFF"/>
        </w:rPr>
        <w:t>丰台区文化和旅游局为2019年3月新组建单位</w:t>
      </w:r>
      <w:r>
        <w:rPr>
          <w:rFonts w:hint="eastAsia" w:asciiTheme="majorEastAsia" w:hAnsiTheme="majorEastAsia" w:eastAsiaTheme="majorEastAsia" w:cstheme="majorEastAsia"/>
          <w:i w:val="0"/>
          <w:iCs w:val="0"/>
          <w:caps w:val="0"/>
          <w:color w:val="000000"/>
          <w:spacing w:val="15"/>
          <w:sz w:val="28"/>
          <w:szCs w:val="28"/>
          <w:u w:val="none"/>
          <w:shd w:val="clear" w:fill="FFFFFF"/>
          <w:lang w:eastAsia="zh-CN"/>
        </w:rPr>
        <w:t>，</w:t>
      </w:r>
      <w:r>
        <w:rPr>
          <w:rFonts w:hint="eastAsia" w:asciiTheme="majorEastAsia" w:hAnsiTheme="majorEastAsia" w:eastAsiaTheme="majorEastAsia" w:cstheme="majorEastAsia"/>
          <w:i w:val="0"/>
          <w:iCs w:val="0"/>
          <w:caps w:val="0"/>
          <w:color w:val="000000"/>
          <w:spacing w:val="15"/>
          <w:sz w:val="28"/>
          <w:szCs w:val="28"/>
          <w:u w:val="none"/>
          <w:shd w:val="clear" w:fill="FFFFFF"/>
          <w:lang w:val="en-US" w:eastAsia="zh-CN"/>
        </w:rPr>
        <w:t>2019年初无</w:t>
      </w:r>
      <w:r>
        <w:rPr>
          <w:rFonts w:hint="eastAsia" w:asciiTheme="majorEastAsia" w:hAnsiTheme="majorEastAsia" w:eastAsiaTheme="majorEastAsia" w:cstheme="majorEastAsia"/>
          <w:i w:val="0"/>
          <w:iCs w:val="0"/>
          <w:caps w:val="0"/>
          <w:color w:val="000000"/>
          <w:spacing w:val="15"/>
          <w:sz w:val="28"/>
          <w:szCs w:val="28"/>
          <w:u w:val="none"/>
          <w:shd w:val="clear" w:fill="FFFFFF"/>
        </w:rPr>
        <w:t>部门收入预算</w:t>
      </w:r>
      <w:r>
        <w:rPr>
          <w:rFonts w:hint="eastAsia" w:asciiTheme="majorEastAsia" w:hAnsiTheme="majorEastAsia" w:eastAsiaTheme="majorEastAsia" w:cstheme="majorEastAsia"/>
          <w:i w:val="0"/>
          <w:iCs w:val="0"/>
          <w:caps w:val="0"/>
          <w:color w:val="000000"/>
          <w:spacing w:val="15"/>
          <w:sz w:val="28"/>
          <w:szCs w:val="28"/>
          <w:u w:val="none"/>
          <w:shd w:val="clear" w:fill="FFFFFF"/>
          <w:lang w:val="en-US" w:eastAsia="zh-CN"/>
        </w:rPr>
        <w:t>。</w:t>
      </w:r>
      <w:r>
        <w:rPr>
          <w:rFonts w:hint="eastAsia" w:asciiTheme="majorEastAsia" w:hAnsiTheme="majorEastAsia" w:eastAsiaTheme="majorEastAsia" w:cstheme="majorEastAsia"/>
          <w:i w:val="0"/>
          <w:iCs w:val="0"/>
          <w:caps w:val="0"/>
          <w:color w:val="000000"/>
          <w:spacing w:val="15"/>
          <w:sz w:val="28"/>
          <w:szCs w:val="28"/>
          <w:u w:val="none"/>
          <w:shd w:val="clear" w:fill="FFFFFF"/>
        </w:rPr>
        <w:t>其中：财政拨款11,932.90万元，上级补助收入0万元，事业收入0万元，经营收入0万元，附属单位缴款0万元，其他收入0万元，用事业基金弥补收支差额0万元，上年结转和结余4.32万元。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97"/>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i w:val="0"/>
          <w:iCs w:val="0"/>
          <w:caps w:val="0"/>
          <w:color w:val="000000"/>
          <w:spacing w:val="15"/>
          <w:sz w:val="28"/>
          <w:szCs w:val="28"/>
          <w:u w:val="none"/>
          <w:shd w:val="clear" w:fill="FFFFFF"/>
        </w:rPr>
        <w:t>2020年部门支出预算11,937.22万元，比2019年增加11,937.22万元，增长100%，</w:t>
      </w:r>
      <w:r>
        <w:rPr>
          <w:rFonts w:hint="eastAsia" w:asciiTheme="majorEastAsia" w:hAnsiTheme="majorEastAsia" w:eastAsiaTheme="majorEastAsia" w:cstheme="majorEastAsia"/>
          <w:i w:val="0"/>
          <w:iCs w:val="0"/>
          <w:caps w:val="0"/>
          <w:color w:val="000000"/>
          <w:spacing w:val="15"/>
          <w:sz w:val="28"/>
          <w:szCs w:val="28"/>
          <w:u w:val="none"/>
          <w:shd w:val="clear" w:fill="FFFFFF"/>
          <w:lang w:val="en-US" w:eastAsia="zh-CN"/>
        </w:rPr>
        <w:t>原因是：</w:t>
      </w:r>
      <w:r>
        <w:rPr>
          <w:rFonts w:hint="eastAsia" w:asciiTheme="majorEastAsia" w:hAnsiTheme="majorEastAsia" w:eastAsiaTheme="majorEastAsia" w:cstheme="majorEastAsia"/>
          <w:i w:val="0"/>
          <w:iCs w:val="0"/>
          <w:caps w:val="0"/>
          <w:color w:val="000000"/>
          <w:spacing w:val="15"/>
          <w:sz w:val="28"/>
          <w:szCs w:val="28"/>
          <w:u w:val="none"/>
          <w:shd w:val="clear" w:fill="FFFFFF"/>
        </w:rPr>
        <w:t>丰台区文化和旅游局为2019年3月新组建单位</w:t>
      </w:r>
      <w:r>
        <w:rPr>
          <w:rFonts w:hint="eastAsia" w:asciiTheme="majorEastAsia" w:hAnsiTheme="majorEastAsia" w:eastAsiaTheme="majorEastAsia" w:cstheme="majorEastAsia"/>
          <w:i w:val="0"/>
          <w:iCs w:val="0"/>
          <w:caps w:val="0"/>
          <w:color w:val="000000"/>
          <w:spacing w:val="15"/>
          <w:sz w:val="28"/>
          <w:szCs w:val="28"/>
          <w:u w:val="none"/>
          <w:shd w:val="clear" w:fill="FFFFFF"/>
          <w:lang w:eastAsia="zh-CN"/>
        </w:rPr>
        <w:t>，</w:t>
      </w:r>
      <w:r>
        <w:rPr>
          <w:rFonts w:hint="eastAsia" w:asciiTheme="majorEastAsia" w:hAnsiTheme="majorEastAsia" w:eastAsiaTheme="majorEastAsia" w:cstheme="majorEastAsia"/>
          <w:i w:val="0"/>
          <w:iCs w:val="0"/>
          <w:caps w:val="0"/>
          <w:color w:val="000000"/>
          <w:spacing w:val="15"/>
          <w:sz w:val="28"/>
          <w:szCs w:val="28"/>
          <w:u w:val="none"/>
          <w:shd w:val="clear" w:fill="FFFFFF"/>
          <w:lang w:val="en-US" w:eastAsia="zh-CN"/>
        </w:rPr>
        <w:t>2019年初无</w:t>
      </w:r>
      <w:r>
        <w:rPr>
          <w:rFonts w:hint="eastAsia" w:asciiTheme="majorEastAsia" w:hAnsiTheme="majorEastAsia" w:eastAsiaTheme="majorEastAsia" w:cstheme="majorEastAsia"/>
          <w:i w:val="0"/>
          <w:iCs w:val="0"/>
          <w:caps w:val="0"/>
          <w:color w:val="000000"/>
          <w:spacing w:val="15"/>
          <w:sz w:val="28"/>
          <w:szCs w:val="28"/>
          <w:u w:val="none"/>
          <w:shd w:val="clear" w:fill="FFFFFF"/>
        </w:rPr>
        <w:t>部门</w:t>
      </w:r>
      <w:r>
        <w:rPr>
          <w:rFonts w:hint="eastAsia" w:asciiTheme="majorEastAsia" w:hAnsiTheme="majorEastAsia" w:eastAsiaTheme="majorEastAsia" w:cstheme="majorEastAsia"/>
          <w:i w:val="0"/>
          <w:iCs w:val="0"/>
          <w:caps w:val="0"/>
          <w:color w:val="000000"/>
          <w:spacing w:val="15"/>
          <w:sz w:val="28"/>
          <w:szCs w:val="28"/>
          <w:u w:val="none"/>
          <w:shd w:val="clear" w:fill="FFFFFF"/>
          <w:lang w:val="en-US" w:eastAsia="zh-CN"/>
        </w:rPr>
        <w:t>支出</w:t>
      </w:r>
      <w:r>
        <w:rPr>
          <w:rFonts w:hint="eastAsia" w:asciiTheme="majorEastAsia" w:hAnsiTheme="majorEastAsia" w:eastAsiaTheme="majorEastAsia" w:cstheme="majorEastAsia"/>
          <w:i w:val="0"/>
          <w:iCs w:val="0"/>
          <w:caps w:val="0"/>
          <w:color w:val="000000"/>
          <w:spacing w:val="15"/>
          <w:sz w:val="28"/>
          <w:szCs w:val="28"/>
          <w:u w:val="none"/>
          <w:shd w:val="clear" w:fill="FFFFFF"/>
        </w:rPr>
        <w:t>预算</w:t>
      </w:r>
      <w:r>
        <w:rPr>
          <w:rFonts w:hint="eastAsia" w:asciiTheme="majorEastAsia" w:hAnsiTheme="majorEastAsia" w:eastAsiaTheme="majorEastAsia" w:cstheme="majorEastAsia"/>
          <w:i w:val="0"/>
          <w:iCs w:val="0"/>
          <w:caps w:val="0"/>
          <w:color w:val="000000"/>
          <w:spacing w:val="15"/>
          <w:sz w:val="28"/>
          <w:szCs w:val="28"/>
          <w:u w:val="none"/>
          <w:shd w:val="clear" w:fill="FFFFFF"/>
          <w:lang w:eastAsia="zh-CN"/>
        </w:rPr>
        <w:t>。</w:t>
      </w:r>
      <w:r>
        <w:rPr>
          <w:rFonts w:hint="eastAsia" w:asciiTheme="majorEastAsia" w:hAnsiTheme="majorEastAsia" w:eastAsiaTheme="majorEastAsia" w:cstheme="majorEastAsia"/>
          <w:i w:val="0"/>
          <w:iCs w:val="0"/>
          <w:caps w:val="0"/>
          <w:color w:val="000000"/>
          <w:spacing w:val="15"/>
          <w:sz w:val="28"/>
          <w:szCs w:val="28"/>
          <w:u w:val="none"/>
          <w:shd w:val="clear" w:fill="FFFFFF"/>
        </w:rPr>
        <w:t>其中</w:t>
      </w:r>
      <w:r>
        <w:rPr>
          <w:rFonts w:hint="eastAsia" w:asciiTheme="majorEastAsia" w:hAnsiTheme="majorEastAsia" w:eastAsiaTheme="majorEastAsia" w:cstheme="majorEastAsia"/>
          <w:i w:val="0"/>
          <w:iCs w:val="0"/>
          <w:caps w:val="0"/>
          <w:color w:val="000000"/>
          <w:spacing w:val="15"/>
          <w:sz w:val="28"/>
          <w:szCs w:val="28"/>
          <w:u w:val="none"/>
          <w:shd w:val="clear" w:fill="FFFFFF"/>
          <w:lang w:eastAsia="zh-CN"/>
        </w:rPr>
        <w:t>：</w:t>
      </w:r>
      <w:r>
        <w:rPr>
          <w:rFonts w:hint="eastAsia" w:asciiTheme="majorEastAsia" w:hAnsiTheme="majorEastAsia" w:eastAsiaTheme="majorEastAsia" w:cstheme="majorEastAsia"/>
          <w:i w:val="0"/>
          <w:iCs w:val="0"/>
          <w:caps w:val="0"/>
          <w:color w:val="000000"/>
          <w:spacing w:val="15"/>
          <w:sz w:val="28"/>
          <w:szCs w:val="28"/>
          <w:u w:val="none"/>
          <w:shd w:val="clear" w:fill="FFFFFF"/>
        </w:rPr>
        <w:t>基本支出预算5,185.62万元，项目支出预算6,751.60万元。按支出功能分类，一般公共服务支出4.32万元；教育支出12.42万元；文化旅游体育与传媒支出10,300.24万元；社会保障和就业支出721.65万元；卫生健康支出45.00万元；商业服务业等支出14.06万元；住房保障支出764.69万元；灾害防治及应急管理支出74.84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2" w:firstLineChars="200"/>
        <w:jc w:val="both"/>
        <w:textAlignment w:val="auto"/>
        <w:rPr>
          <w:rFonts w:hint="eastAsia" w:asciiTheme="majorEastAsia" w:hAnsiTheme="majorEastAsia" w:eastAsiaTheme="majorEastAsia" w:cstheme="majorEastAsia"/>
          <w:b/>
          <w:bCs/>
          <w:i w:val="0"/>
          <w:iCs w:val="0"/>
          <w:caps w:val="0"/>
          <w:color w:val="404040"/>
          <w:spacing w:val="15"/>
          <w:sz w:val="28"/>
          <w:szCs w:val="28"/>
          <w:u w:val="none"/>
          <w:shd w:val="clear" w:fill="FFFFFF"/>
        </w:rPr>
      </w:pPr>
      <w:r>
        <w:rPr>
          <w:rFonts w:hint="eastAsia" w:asciiTheme="majorEastAsia" w:hAnsiTheme="majorEastAsia" w:eastAsiaTheme="majorEastAsia" w:cstheme="majorEastAsia"/>
          <w:b/>
          <w:bCs/>
          <w:i w:val="0"/>
          <w:iCs w:val="0"/>
          <w:caps w:val="0"/>
          <w:color w:val="404040"/>
          <w:spacing w:val="15"/>
          <w:sz w:val="28"/>
          <w:szCs w:val="28"/>
          <w:u w:val="none"/>
          <w:shd w:val="clear" w:fill="FFFFFF"/>
        </w:rPr>
        <w:t>三、主要支出内容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i w:val="0"/>
          <w:iCs w:val="0"/>
          <w:caps w:val="0"/>
          <w:color w:val="000000"/>
          <w:spacing w:val="15"/>
          <w:sz w:val="28"/>
          <w:szCs w:val="28"/>
          <w:u w:val="none"/>
          <w:shd w:val="clear" w:fill="FFFFFF"/>
        </w:rPr>
        <w:t>上述支出中，主要用于以下内容：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i w:val="0"/>
          <w:iCs w:val="0"/>
          <w:caps w:val="0"/>
          <w:color w:val="000000"/>
          <w:spacing w:val="15"/>
          <w:sz w:val="28"/>
          <w:szCs w:val="28"/>
          <w:u w:val="none"/>
          <w:shd w:val="clear" w:fill="FFFFFF"/>
        </w:rPr>
        <w:t>1、行政机关、事业单位人员工资及日常运转经费；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i w:val="0"/>
          <w:iCs w:val="0"/>
          <w:caps w:val="0"/>
          <w:color w:val="000000"/>
          <w:spacing w:val="15"/>
          <w:sz w:val="28"/>
          <w:szCs w:val="28"/>
          <w:u w:val="none"/>
          <w:shd w:val="clear" w:fill="FFFFFF"/>
        </w:rPr>
        <w:t>2、全区文化设施建设及系列文化活动经费等；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i w:val="0"/>
          <w:iCs w:val="0"/>
          <w:caps w:val="0"/>
          <w:color w:val="000000"/>
          <w:spacing w:val="15"/>
          <w:sz w:val="28"/>
          <w:szCs w:val="28"/>
          <w:u w:val="none"/>
          <w:shd w:val="clear" w:fill="FFFFFF"/>
        </w:rPr>
        <w:t>3、举办声乐、舞蹈、书法、文化活动策划与组织协调等各类培训经费；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i w:val="0"/>
          <w:iCs w:val="0"/>
          <w:caps w:val="0"/>
          <w:color w:val="000000"/>
          <w:spacing w:val="15"/>
          <w:sz w:val="28"/>
          <w:szCs w:val="28"/>
          <w:u w:val="none"/>
          <w:shd w:val="clear" w:fill="FFFFFF"/>
        </w:rPr>
        <w:t>4、农村文艺演出“星火工程”及周末场演出等文化惠民工程经费等；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i w:val="0"/>
          <w:iCs w:val="0"/>
          <w:caps w:val="0"/>
          <w:color w:val="000000"/>
          <w:spacing w:val="15"/>
          <w:sz w:val="28"/>
          <w:szCs w:val="28"/>
          <w:u w:val="none"/>
          <w:shd w:val="clear" w:fill="FFFFFF"/>
        </w:rPr>
        <w:t>5、文化信息资源共享工程基层点维护、文化设施设备运维经费等；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i w:val="0"/>
          <w:iCs w:val="0"/>
          <w:caps w:val="0"/>
          <w:color w:val="000000"/>
          <w:spacing w:val="15"/>
          <w:sz w:val="28"/>
          <w:szCs w:val="28"/>
          <w:u w:val="none"/>
          <w:shd w:val="clear" w:fill="FFFFFF"/>
        </w:rPr>
        <w:t>6、基层图书网点建设及图书购置经费；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i w:val="0"/>
          <w:iCs w:val="0"/>
          <w:caps w:val="0"/>
          <w:color w:val="000000"/>
          <w:spacing w:val="15"/>
          <w:sz w:val="28"/>
          <w:szCs w:val="28"/>
          <w:u w:val="none"/>
          <w:shd w:val="clear" w:fill="FFFFFF"/>
        </w:rPr>
        <w:t>7、文化市场监管工作经费等；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i w:val="0"/>
          <w:iCs w:val="0"/>
          <w:caps w:val="0"/>
          <w:color w:val="000000"/>
          <w:spacing w:val="15"/>
          <w:sz w:val="28"/>
          <w:szCs w:val="28"/>
          <w:u w:val="none"/>
          <w:shd w:val="clear" w:fill="FFFFFF"/>
        </w:rPr>
        <w:t>8、区文物修缮与非物质文化遗产保护经费等。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2" w:firstLineChars="200"/>
        <w:jc w:val="both"/>
        <w:textAlignment w:val="auto"/>
        <w:rPr>
          <w:rFonts w:hint="eastAsia" w:asciiTheme="majorEastAsia" w:hAnsiTheme="majorEastAsia" w:eastAsiaTheme="majorEastAsia" w:cstheme="majorEastAsia"/>
          <w:b/>
          <w:bCs/>
          <w:i w:val="0"/>
          <w:iCs w:val="0"/>
          <w:caps w:val="0"/>
          <w:color w:val="404040"/>
          <w:spacing w:val="15"/>
          <w:sz w:val="28"/>
          <w:szCs w:val="28"/>
          <w:u w:val="none"/>
          <w:shd w:val="clear" w:fill="FFFFFF"/>
        </w:rPr>
      </w:pPr>
      <w:r>
        <w:rPr>
          <w:rFonts w:hint="eastAsia" w:asciiTheme="majorEastAsia" w:hAnsiTheme="majorEastAsia" w:eastAsiaTheme="majorEastAsia" w:cstheme="majorEastAsia"/>
          <w:b/>
          <w:bCs/>
          <w:i w:val="0"/>
          <w:iCs w:val="0"/>
          <w:caps w:val="0"/>
          <w:color w:val="404040"/>
          <w:spacing w:val="15"/>
          <w:sz w:val="28"/>
          <w:szCs w:val="28"/>
          <w:u w:val="none"/>
          <w:shd w:val="clear" w:fill="FFFFFF"/>
        </w:rPr>
        <w:t>四、政府采购情况说明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i w:val="0"/>
          <w:iCs w:val="0"/>
          <w:caps w:val="0"/>
          <w:color w:val="000000"/>
          <w:spacing w:val="15"/>
          <w:sz w:val="28"/>
          <w:szCs w:val="28"/>
          <w:u w:val="none"/>
          <w:shd w:val="clear" w:fill="FFFFFF"/>
        </w:rPr>
        <w:t>2020年政府采购预算总额为2,456.40万元，其中：政府采购货物预算629.35万元，政府采购工程预算167.57万元，政府采购服务预算1,659.48万元。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2" w:firstLineChars="200"/>
        <w:jc w:val="both"/>
        <w:textAlignment w:val="auto"/>
        <w:rPr>
          <w:rFonts w:hint="eastAsia" w:asciiTheme="majorEastAsia" w:hAnsiTheme="majorEastAsia" w:eastAsiaTheme="majorEastAsia" w:cstheme="majorEastAsia"/>
          <w:b/>
          <w:bCs/>
          <w:i w:val="0"/>
          <w:iCs w:val="0"/>
          <w:caps w:val="0"/>
          <w:color w:val="404040"/>
          <w:spacing w:val="15"/>
          <w:sz w:val="28"/>
          <w:szCs w:val="28"/>
          <w:u w:val="none"/>
          <w:shd w:val="clear" w:fill="FFFFFF"/>
        </w:rPr>
      </w:pPr>
      <w:r>
        <w:rPr>
          <w:rFonts w:hint="eastAsia" w:asciiTheme="majorEastAsia" w:hAnsiTheme="majorEastAsia" w:eastAsiaTheme="majorEastAsia" w:cstheme="majorEastAsia"/>
          <w:b/>
          <w:bCs/>
          <w:i w:val="0"/>
          <w:iCs w:val="0"/>
          <w:caps w:val="0"/>
          <w:color w:val="404040"/>
          <w:spacing w:val="15"/>
          <w:sz w:val="28"/>
          <w:szCs w:val="28"/>
          <w:u w:val="none"/>
          <w:shd w:val="clear" w:fill="FFFFFF"/>
        </w:rPr>
        <w:t>五、机关运行经费财政拨款预算安排说明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i w:val="0"/>
          <w:iCs w:val="0"/>
          <w:caps w:val="0"/>
          <w:color w:val="000000"/>
          <w:spacing w:val="15"/>
          <w:sz w:val="28"/>
          <w:szCs w:val="28"/>
          <w:u w:val="none"/>
          <w:shd w:val="clear" w:fill="FFFFFF"/>
        </w:rPr>
        <w:t>2020年本部门行政单位（含参照公务员法管理事业单位）履行一般行政管理职能、维持机关运行，用财政拨款安排的基本支出中的日常公用经费合计361万元，主要用于：保障机关正常运转所需的办公及印刷费、邮电费、差旅费、会议费、福利费、日常维修费、办公用房水电费、办公用房取暖费、公务用车运行维护费以及其他费用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2" w:firstLineChars="200"/>
        <w:jc w:val="both"/>
        <w:textAlignment w:val="auto"/>
        <w:rPr>
          <w:rFonts w:hint="eastAsia" w:asciiTheme="majorEastAsia" w:hAnsiTheme="majorEastAsia" w:eastAsiaTheme="majorEastAsia" w:cstheme="majorEastAsia"/>
          <w:b/>
          <w:bCs/>
          <w:i w:val="0"/>
          <w:iCs w:val="0"/>
          <w:caps w:val="0"/>
          <w:color w:val="404040"/>
          <w:spacing w:val="15"/>
          <w:sz w:val="28"/>
          <w:szCs w:val="28"/>
          <w:u w:val="none"/>
          <w:shd w:val="clear" w:fill="FFFFFF"/>
        </w:rPr>
      </w:pPr>
      <w:r>
        <w:rPr>
          <w:rFonts w:hint="eastAsia" w:asciiTheme="majorEastAsia" w:hAnsiTheme="majorEastAsia" w:eastAsiaTheme="majorEastAsia" w:cstheme="majorEastAsia"/>
          <w:b/>
          <w:bCs/>
          <w:i w:val="0"/>
          <w:iCs w:val="0"/>
          <w:caps w:val="0"/>
          <w:color w:val="404040"/>
          <w:spacing w:val="15"/>
          <w:sz w:val="28"/>
          <w:szCs w:val="28"/>
          <w:u w:val="none"/>
          <w:shd w:val="clear" w:fill="FFFFFF"/>
        </w:rPr>
        <w:t>六、行政事业性收费重点项目信息说明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i w:val="0"/>
          <w:iCs w:val="0"/>
          <w:caps w:val="0"/>
          <w:color w:val="000000"/>
          <w:spacing w:val="15"/>
          <w:sz w:val="28"/>
          <w:szCs w:val="28"/>
          <w:u w:val="none"/>
          <w:shd w:val="clear" w:fill="FFFFFF"/>
        </w:rPr>
        <w:t>2020年本部门行政事业性收费项目是依据《中华人民共和国文物保护法》、《中华人民共和国文物保护法实施条例》、《北京市实施﹤中华人民共和国文物保护法﹥办法》、《北京市文化娱乐场所经营单位安全生产规定》、《互联网上网服务营业场所管理条例》、《互联网文化管理暂行规定》、《营业性演出管理条例》、《娱乐场所管理条例》等法律法规，对违反相关规定的行为进行的罚款、没收经营所得收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2" w:firstLineChars="200"/>
        <w:jc w:val="both"/>
        <w:textAlignment w:val="auto"/>
        <w:rPr>
          <w:rFonts w:hint="eastAsia" w:asciiTheme="majorEastAsia" w:hAnsiTheme="majorEastAsia" w:eastAsiaTheme="majorEastAsia" w:cstheme="majorEastAsia"/>
          <w:b/>
          <w:bCs/>
          <w:i w:val="0"/>
          <w:iCs w:val="0"/>
          <w:caps w:val="0"/>
          <w:color w:val="404040"/>
          <w:spacing w:val="15"/>
          <w:sz w:val="28"/>
          <w:szCs w:val="28"/>
          <w:u w:val="none"/>
          <w:shd w:val="clear" w:fill="FFFFFF"/>
        </w:rPr>
      </w:pPr>
      <w:r>
        <w:rPr>
          <w:rFonts w:hint="eastAsia" w:asciiTheme="majorEastAsia" w:hAnsiTheme="majorEastAsia" w:eastAsiaTheme="majorEastAsia" w:cstheme="majorEastAsia"/>
          <w:b/>
          <w:bCs/>
          <w:i w:val="0"/>
          <w:iCs w:val="0"/>
          <w:caps w:val="0"/>
          <w:color w:val="404040"/>
          <w:spacing w:val="15"/>
          <w:sz w:val="28"/>
          <w:szCs w:val="28"/>
          <w:u w:val="none"/>
          <w:shd w:val="clear" w:fill="FFFFFF"/>
        </w:rPr>
        <w:t>七、固定资产占用使用情况说明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color w:val="000000"/>
          <w:spacing w:val="15"/>
          <w:sz w:val="28"/>
          <w:szCs w:val="28"/>
        </w:rPr>
      </w:pPr>
      <w:r>
        <w:rPr>
          <w:rFonts w:hint="eastAsia" w:asciiTheme="majorEastAsia" w:hAnsiTheme="majorEastAsia" w:eastAsiaTheme="majorEastAsia" w:cstheme="majorEastAsia"/>
          <w:i w:val="0"/>
          <w:iCs w:val="0"/>
          <w:caps w:val="0"/>
          <w:color w:val="000000"/>
          <w:spacing w:val="15"/>
          <w:sz w:val="28"/>
          <w:szCs w:val="28"/>
          <w:u w:val="none"/>
          <w:shd w:val="clear" w:fill="FFFFFF"/>
        </w:rPr>
        <w:t>截止2019年底，本部门（包括各下属单位）固定资产总额4,113.53万元，其中：车辆6台，78.75万元；单位价值50万元以上的通用设备1台（套）、56.61万元，单位价值100万元以上的专用设备0台（套）、0万元。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2" w:firstLineChars="200"/>
        <w:jc w:val="both"/>
        <w:textAlignment w:val="auto"/>
        <w:rPr>
          <w:rFonts w:hint="eastAsia" w:asciiTheme="majorEastAsia" w:hAnsiTheme="majorEastAsia" w:eastAsiaTheme="majorEastAsia" w:cstheme="majorEastAsia"/>
          <w:b/>
          <w:bCs/>
          <w:i w:val="0"/>
          <w:iCs w:val="0"/>
          <w:caps w:val="0"/>
          <w:color w:val="404040"/>
          <w:spacing w:val="15"/>
          <w:sz w:val="28"/>
          <w:szCs w:val="28"/>
          <w:u w:val="none"/>
          <w:shd w:val="clear" w:fill="FFFFFF"/>
        </w:rPr>
      </w:pPr>
      <w:r>
        <w:rPr>
          <w:rFonts w:hint="eastAsia" w:asciiTheme="majorEastAsia" w:hAnsiTheme="majorEastAsia" w:eastAsiaTheme="majorEastAsia" w:cstheme="majorEastAsia"/>
          <w:b/>
          <w:bCs/>
          <w:i w:val="0"/>
          <w:iCs w:val="0"/>
          <w:caps w:val="0"/>
          <w:color w:val="404040"/>
          <w:spacing w:val="15"/>
          <w:sz w:val="28"/>
          <w:szCs w:val="28"/>
          <w:u w:val="none"/>
          <w:shd w:val="clear" w:fill="FFFFFF"/>
          <w:lang w:val="en-US" w:eastAsia="zh-CN"/>
        </w:rPr>
        <w:t>八、</w:t>
      </w:r>
      <w:r>
        <w:rPr>
          <w:rFonts w:hint="eastAsia" w:asciiTheme="majorEastAsia" w:hAnsiTheme="majorEastAsia" w:eastAsiaTheme="majorEastAsia" w:cstheme="majorEastAsia"/>
          <w:b/>
          <w:bCs/>
          <w:i w:val="0"/>
          <w:iCs w:val="0"/>
          <w:caps w:val="0"/>
          <w:color w:val="404040"/>
          <w:spacing w:val="15"/>
          <w:sz w:val="28"/>
          <w:szCs w:val="28"/>
          <w:u w:val="none"/>
          <w:shd w:val="clear" w:fill="FFFFFF"/>
        </w:rPr>
        <w:t>部门"三公"经费财政拨款预算说明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Theme="majorEastAsia" w:hAnsiTheme="majorEastAsia" w:eastAsiaTheme="majorEastAsia" w:cstheme="majorEastAsia"/>
          <w:b w:val="0"/>
          <w:bCs w:val="0"/>
          <w:i w:val="0"/>
          <w:iCs w:val="0"/>
          <w:caps w:val="0"/>
          <w:color w:val="404040"/>
          <w:spacing w:val="15"/>
          <w:sz w:val="28"/>
          <w:szCs w:val="28"/>
          <w:u w:val="none"/>
          <w:shd w:val="clear" w:fill="FFFFFF"/>
        </w:rPr>
      </w:pPr>
      <w:r>
        <w:rPr>
          <w:rFonts w:hint="eastAsia" w:asciiTheme="majorEastAsia" w:hAnsiTheme="majorEastAsia" w:eastAsiaTheme="majorEastAsia" w:cstheme="majorEastAsia"/>
          <w:b w:val="0"/>
          <w:bCs w:val="0"/>
          <w:i w:val="0"/>
          <w:iCs w:val="0"/>
          <w:caps w:val="0"/>
          <w:color w:val="404040"/>
          <w:spacing w:val="15"/>
          <w:sz w:val="28"/>
          <w:szCs w:val="28"/>
          <w:u w:val="none"/>
          <w:shd w:val="clear" w:fill="FFFFFF"/>
        </w:rPr>
        <w:t>2020年部门预算“三公”经费财政拨款预算安排14.05万元，比2019年“三公”经费财政拨款预算增加14.05万元。其中：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000000"/>
          <w:spacing w:val="15"/>
          <w:sz w:val="28"/>
          <w:szCs w:val="28"/>
          <w:u w:val="none"/>
          <w:shd w:val="clear" w:fill="FFFFFF"/>
        </w:rPr>
      </w:pPr>
      <w:r>
        <w:rPr>
          <w:rFonts w:hint="eastAsia" w:asciiTheme="majorEastAsia" w:hAnsiTheme="majorEastAsia" w:eastAsiaTheme="majorEastAsia" w:cstheme="majorEastAsia"/>
          <w:i w:val="0"/>
          <w:iCs w:val="0"/>
          <w:caps w:val="0"/>
          <w:color w:val="000000"/>
          <w:spacing w:val="15"/>
          <w:sz w:val="28"/>
          <w:szCs w:val="28"/>
          <w:u w:val="none"/>
          <w:shd w:val="clear" w:fill="FFFFFF"/>
        </w:rPr>
        <w:t>因公出国（境）费用</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700" w:leftChars="0" w:right="0" w:rightChars="0"/>
        <w:jc w:val="both"/>
        <w:textAlignment w:val="auto"/>
        <w:rPr>
          <w:rFonts w:hint="eastAsia" w:asciiTheme="majorEastAsia" w:hAnsiTheme="majorEastAsia" w:eastAsiaTheme="majorEastAsia" w:cstheme="majorEastAsia"/>
          <w:i w:val="0"/>
          <w:iCs w:val="0"/>
          <w:caps w:val="0"/>
          <w:color w:val="000000"/>
          <w:spacing w:val="15"/>
          <w:sz w:val="28"/>
          <w:szCs w:val="28"/>
          <w:u w:val="none"/>
          <w:shd w:val="clear" w:fill="FFFFFF"/>
        </w:rPr>
      </w:pPr>
      <w:r>
        <w:rPr>
          <w:rFonts w:hint="eastAsia" w:asciiTheme="majorEastAsia" w:hAnsiTheme="majorEastAsia" w:eastAsiaTheme="majorEastAsia" w:cstheme="majorEastAsia"/>
          <w:i w:val="0"/>
          <w:iCs w:val="0"/>
          <w:caps w:val="0"/>
          <w:color w:val="000000"/>
          <w:spacing w:val="15"/>
          <w:sz w:val="28"/>
          <w:szCs w:val="28"/>
          <w:u w:val="none"/>
          <w:shd w:val="clear" w:fill="FFFFFF"/>
        </w:rPr>
        <w:t>2020年度无因公出国（境）费用预算。</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000000"/>
          <w:spacing w:val="15"/>
          <w:sz w:val="28"/>
          <w:szCs w:val="28"/>
          <w:u w:val="none"/>
          <w:shd w:val="clear" w:fill="FFFFFF"/>
        </w:rPr>
      </w:pPr>
      <w:r>
        <w:rPr>
          <w:rFonts w:hint="eastAsia" w:asciiTheme="majorEastAsia" w:hAnsiTheme="majorEastAsia" w:eastAsiaTheme="majorEastAsia" w:cstheme="majorEastAsia"/>
          <w:i w:val="0"/>
          <w:iCs w:val="0"/>
          <w:caps w:val="0"/>
          <w:color w:val="000000"/>
          <w:spacing w:val="15"/>
          <w:sz w:val="28"/>
          <w:szCs w:val="28"/>
          <w:u w:val="none"/>
          <w:shd w:val="clear" w:fill="FFFFFF"/>
        </w:rPr>
        <w:t>公务接待费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000000"/>
          <w:spacing w:val="15"/>
          <w:sz w:val="28"/>
          <w:szCs w:val="28"/>
          <w:u w:val="none"/>
          <w:shd w:val="clear" w:fill="FFFFFF"/>
        </w:rPr>
      </w:pPr>
      <w:r>
        <w:rPr>
          <w:rFonts w:hint="eastAsia" w:asciiTheme="majorEastAsia" w:hAnsiTheme="majorEastAsia" w:eastAsiaTheme="majorEastAsia" w:cstheme="majorEastAsia"/>
          <w:i w:val="0"/>
          <w:iCs w:val="0"/>
          <w:caps w:val="0"/>
          <w:color w:val="000000"/>
          <w:spacing w:val="15"/>
          <w:sz w:val="28"/>
          <w:szCs w:val="28"/>
          <w:u w:val="none"/>
          <w:shd w:val="clear" w:fill="FFFFFF"/>
        </w:rPr>
        <w:t>2020年财政拨款预算安排</w:t>
      </w:r>
      <w:r>
        <w:rPr>
          <w:rFonts w:hint="eastAsia" w:asciiTheme="majorEastAsia" w:hAnsiTheme="majorEastAsia" w:eastAsiaTheme="majorEastAsia" w:cstheme="majorEastAsia"/>
          <w:i w:val="0"/>
          <w:iCs w:val="0"/>
          <w:caps w:val="0"/>
          <w:color w:val="000000"/>
          <w:spacing w:val="15"/>
          <w:sz w:val="28"/>
          <w:szCs w:val="28"/>
          <w:u w:val="none"/>
          <w:shd w:val="clear" w:fill="FFFFFF"/>
          <w:lang w:val="en-US" w:eastAsia="zh-CN"/>
        </w:rPr>
        <w:t>1.45</w:t>
      </w:r>
      <w:r>
        <w:rPr>
          <w:rFonts w:hint="eastAsia" w:asciiTheme="majorEastAsia" w:hAnsiTheme="majorEastAsia" w:eastAsiaTheme="majorEastAsia" w:cstheme="majorEastAsia"/>
          <w:i w:val="0"/>
          <w:iCs w:val="0"/>
          <w:caps w:val="0"/>
          <w:color w:val="000000"/>
          <w:spacing w:val="15"/>
          <w:sz w:val="28"/>
          <w:szCs w:val="28"/>
          <w:u w:val="none"/>
          <w:shd w:val="clear" w:fill="FFFFFF"/>
        </w:rPr>
        <w:t>万元，与2019年财政拨款预算安排数增加</w:t>
      </w:r>
      <w:r>
        <w:rPr>
          <w:rFonts w:hint="eastAsia" w:asciiTheme="majorEastAsia" w:hAnsiTheme="majorEastAsia" w:eastAsiaTheme="majorEastAsia" w:cstheme="majorEastAsia"/>
          <w:i w:val="0"/>
          <w:iCs w:val="0"/>
          <w:caps w:val="0"/>
          <w:color w:val="000000"/>
          <w:spacing w:val="15"/>
          <w:sz w:val="28"/>
          <w:szCs w:val="28"/>
          <w:u w:val="none"/>
          <w:shd w:val="clear" w:fill="FFFFFF"/>
          <w:lang w:val="en-US" w:eastAsia="zh-CN"/>
        </w:rPr>
        <w:t>1.45</w:t>
      </w:r>
      <w:r>
        <w:rPr>
          <w:rFonts w:hint="eastAsia" w:asciiTheme="majorEastAsia" w:hAnsiTheme="majorEastAsia" w:eastAsiaTheme="majorEastAsia" w:cstheme="majorEastAsia"/>
          <w:i w:val="0"/>
          <w:iCs w:val="0"/>
          <w:caps w:val="0"/>
          <w:color w:val="000000"/>
          <w:spacing w:val="15"/>
          <w:sz w:val="28"/>
          <w:szCs w:val="28"/>
          <w:u w:val="none"/>
          <w:shd w:val="clear" w:fill="FFFFFF"/>
        </w:rPr>
        <w:t>万元，主要原因：丰台区文化和旅游局为2019年3月新组建单位</w:t>
      </w:r>
      <w:r>
        <w:rPr>
          <w:rFonts w:hint="eastAsia" w:asciiTheme="majorEastAsia" w:hAnsiTheme="majorEastAsia" w:eastAsiaTheme="majorEastAsia" w:cstheme="majorEastAsia"/>
          <w:i w:val="0"/>
          <w:iCs w:val="0"/>
          <w:caps w:val="0"/>
          <w:color w:val="000000"/>
          <w:spacing w:val="15"/>
          <w:sz w:val="28"/>
          <w:szCs w:val="28"/>
          <w:u w:val="none"/>
          <w:shd w:val="clear" w:fill="FFFFFF"/>
          <w:lang w:eastAsia="zh-CN"/>
        </w:rPr>
        <w:t>，</w:t>
      </w:r>
      <w:r>
        <w:rPr>
          <w:rFonts w:hint="eastAsia" w:asciiTheme="majorEastAsia" w:hAnsiTheme="majorEastAsia" w:eastAsiaTheme="majorEastAsia" w:cstheme="majorEastAsia"/>
          <w:i w:val="0"/>
          <w:iCs w:val="0"/>
          <w:caps w:val="0"/>
          <w:color w:val="000000"/>
          <w:spacing w:val="15"/>
          <w:sz w:val="28"/>
          <w:szCs w:val="28"/>
          <w:u w:val="none"/>
          <w:shd w:val="clear" w:fill="FFFFFF"/>
          <w:lang w:val="en-US" w:eastAsia="zh-CN"/>
        </w:rPr>
        <w:t>2019年初无</w:t>
      </w:r>
      <w:r>
        <w:rPr>
          <w:rFonts w:hint="eastAsia" w:asciiTheme="majorEastAsia" w:hAnsiTheme="majorEastAsia" w:eastAsiaTheme="majorEastAsia" w:cstheme="majorEastAsia"/>
          <w:i w:val="0"/>
          <w:iCs w:val="0"/>
          <w:caps w:val="0"/>
          <w:color w:val="000000"/>
          <w:spacing w:val="15"/>
          <w:sz w:val="28"/>
          <w:szCs w:val="28"/>
          <w:u w:val="none"/>
          <w:shd w:val="clear" w:fill="FFFFFF"/>
        </w:rPr>
        <w:t>部门预算</w:t>
      </w:r>
      <w:r>
        <w:rPr>
          <w:rFonts w:hint="eastAsia" w:asciiTheme="majorEastAsia" w:hAnsiTheme="majorEastAsia" w:eastAsiaTheme="majorEastAsia" w:cstheme="majorEastAsia"/>
          <w:i w:val="0"/>
          <w:iCs w:val="0"/>
          <w:caps w:val="0"/>
          <w:color w:val="000000"/>
          <w:spacing w:val="15"/>
          <w:sz w:val="28"/>
          <w:szCs w:val="28"/>
          <w:u w:val="none"/>
          <w:shd w:val="clear" w:fill="FFFFFF"/>
          <w:lang w:val="en-US" w:eastAsia="zh-CN"/>
        </w:rPr>
        <w:t>安排</w:t>
      </w:r>
      <w:r>
        <w:rPr>
          <w:rFonts w:hint="eastAsia" w:asciiTheme="majorEastAsia" w:hAnsiTheme="majorEastAsia" w:eastAsiaTheme="majorEastAsia" w:cstheme="majorEastAsia"/>
          <w:i w:val="0"/>
          <w:iCs w:val="0"/>
          <w:caps w:val="0"/>
          <w:color w:val="000000"/>
          <w:spacing w:val="15"/>
          <w:sz w:val="28"/>
          <w:szCs w:val="28"/>
          <w:u w:val="none"/>
          <w:shd w:val="clear" w:fill="FFFFFF"/>
        </w:rPr>
        <w:t>。</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000000"/>
          <w:spacing w:val="15"/>
          <w:sz w:val="28"/>
          <w:szCs w:val="28"/>
          <w:u w:val="none"/>
          <w:shd w:val="clear" w:fill="FFFFFF"/>
        </w:rPr>
      </w:pPr>
      <w:r>
        <w:rPr>
          <w:rFonts w:hint="eastAsia" w:asciiTheme="majorEastAsia" w:hAnsiTheme="majorEastAsia" w:eastAsiaTheme="majorEastAsia" w:cstheme="majorEastAsia"/>
          <w:i w:val="0"/>
          <w:iCs w:val="0"/>
          <w:caps w:val="0"/>
          <w:color w:val="000000"/>
          <w:spacing w:val="15"/>
          <w:sz w:val="28"/>
          <w:szCs w:val="28"/>
          <w:u w:val="none"/>
          <w:shd w:val="clear" w:fill="FFFFFF"/>
        </w:rPr>
        <w:t>公务用车购置及运行维护费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000000"/>
          <w:spacing w:val="15"/>
          <w:sz w:val="28"/>
          <w:szCs w:val="28"/>
          <w:u w:val="none"/>
          <w:shd w:val="clear" w:fill="FFFFFF"/>
        </w:rPr>
      </w:pPr>
      <w:r>
        <w:rPr>
          <w:rFonts w:hint="eastAsia" w:asciiTheme="majorEastAsia" w:hAnsiTheme="majorEastAsia" w:eastAsiaTheme="majorEastAsia" w:cstheme="majorEastAsia"/>
          <w:i w:val="0"/>
          <w:iCs w:val="0"/>
          <w:caps w:val="0"/>
          <w:color w:val="000000"/>
          <w:spacing w:val="15"/>
          <w:sz w:val="28"/>
          <w:szCs w:val="28"/>
          <w:u w:val="none"/>
          <w:shd w:val="clear" w:fill="FFFFFF"/>
        </w:rPr>
        <w:t>2020年预算数12.6万元，与2019年财政拨款预算安排数增加12.6万元，主要原因：丰台区文化和旅游局为2019年3月新组建单位</w:t>
      </w:r>
      <w:r>
        <w:rPr>
          <w:rFonts w:hint="eastAsia" w:asciiTheme="majorEastAsia" w:hAnsiTheme="majorEastAsia" w:eastAsiaTheme="majorEastAsia" w:cstheme="majorEastAsia"/>
          <w:i w:val="0"/>
          <w:iCs w:val="0"/>
          <w:caps w:val="0"/>
          <w:color w:val="000000"/>
          <w:spacing w:val="15"/>
          <w:sz w:val="28"/>
          <w:szCs w:val="28"/>
          <w:u w:val="none"/>
          <w:shd w:val="clear" w:fill="FFFFFF"/>
          <w:lang w:eastAsia="zh-CN"/>
        </w:rPr>
        <w:t>，</w:t>
      </w:r>
      <w:r>
        <w:rPr>
          <w:rFonts w:hint="eastAsia" w:asciiTheme="majorEastAsia" w:hAnsiTheme="majorEastAsia" w:eastAsiaTheme="majorEastAsia" w:cstheme="majorEastAsia"/>
          <w:i w:val="0"/>
          <w:iCs w:val="0"/>
          <w:caps w:val="0"/>
          <w:color w:val="000000"/>
          <w:spacing w:val="15"/>
          <w:sz w:val="28"/>
          <w:szCs w:val="28"/>
          <w:u w:val="none"/>
          <w:shd w:val="clear" w:fill="FFFFFF"/>
          <w:lang w:val="en-US" w:eastAsia="zh-CN"/>
        </w:rPr>
        <w:t>2019年初无</w:t>
      </w:r>
      <w:r>
        <w:rPr>
          <w:rFonts w:hint="eastAsia" w:asciiTheme="majorEastAsia" w:hAnsiTheme="majorEastAsia" w:eastAsiaTheme="majorEastAsia" w:cstheme="majorEastAsia"/>
          <w:i w:val="0"/>
          <w:iCs w:val="0"/>
          <w:caps w:val="0"/>
          <w:color w:val="000000"/>
          <w:spacing w:val="15"/>
          <w:sz w:val="28"/>
          <w:szCs w:val="28"/>
          <w:u w:val="none"/>
          <w:shd w:val="clear" w:fill="FFFFFF"/>
        </w:rPr>
        <w:t>部门预算</w:t>
      </w:r>
      <w:r>
        <w:rPr>
          <w:rFonts w:hint="eastAsia" w:asciiTheme="majorEastAsia" w:hAnsiTheme="majorEastAsia" w:eastAsiaTheme="majorEastAsia" w:cstheme="majorEastAsia"/>
          <w:i w:val="0"/>
          <w:iCs w:val="0"/>
          <w:caps w:val="0"/>
          <w:color w:val="000000"/>
          <w:spacing w:val="15"/>
          <w:sz w:val="28"/>
          <w:szCs w:val="28"/>
          <w:u w:val="none"/>
          <w:shd w:val="clear" w:fill="FFFFFF"/>
          <w:lang w:val="en-US" w:eastAsia="zh-CN"/>
        </w:rPr>
        <w:t>安排</w:t>
      </w:r>
      <w:r>
        <w:rPr>
          <w:rFonts w:hint="eastAsia" w:asciiTheme="majorEastAsia" w:hAnsiTheme="majorEastAsia" w:eastAsiaTheme="majorEastAsia" w:cstheme="majorEastAsia"/>
          <w:i w:val="0"/>
          <w:iCs w:val="0"/>
          <w:caps w:val="0"/>
          <w:color w:val="000000"/>
          <w:spacing w:val="15"/>
          <w:sz w:val="28"/>
          <w:szCs w:val="28"/>
          <w:u w:val="none"/>
          <w:shd w:val="clear" w:fill="FFFFFF"/>
        </w:rPr>
        <w:t>。其中：公务用车购置费2020年预算数0万元0；公务用车运行维护费2020年预算数12.6万元。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b/>
          <w:bCs/>
          <w:i w:val="0"/>
          <w:iCs w:val="0"/>
          <w:caps w:val="0"/>
          <w:color w:val="000000"/>
          <w:spacing w:val="15"/>
          <w:sz w:val="28"/>
          <w:szCs w:val="28"/>
          <w:u w:val="none"/>
          <w:shd w:val="clear" w:fill="FFFFFF"/>
          <w:lang w:val="en-US" w:eastAsia="zh-CN"/>
        </w:rPr>
      </w:pPr>
      <w:r>
        <w:rPr>
          <w:rFonts w:hint="eastAsia" w:asciiTheme="majorEastAsia" w:hAnsiTheme="majorEastAsia" w:eastAsiaTheme="majorEastAsia" w:cstheme="majorEastAsia"/>
          <w:b/>
          <w:bCs/>
          <w:i w:val="0"/>
          <w:iCs w:val="0"/>
          <w:caps w:val="0"/>
          <w:color w:val="000000"/>
          <w:spacing w:val="15"/>
          <w:sz w:val="28"/>
          <w:szCs w:val="28"/>
          <w:u w:val="none"/>
          <w:shd w:val="clear" w:fill="FFFFFF"/>
          <w:lang w:val="en-US" w:eastAsia="zh-CN"/>
        </w:rPr>
        <w:t>九、预算绩效管理情况说明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000000"/>
          <w:spacing w:val="15"/>
          <w:sz w:val="28"/>
          <w:szCs w:val="28"/>
          <w:u w:val="none"/>
          <w:shd w:val="clear" w:fill="FFFFFF"/>
          <w:lang w:val="en-US" w:eastAsia="zh-CN"/>
        </w:rPr>
      </w:pPr>
      <w:r>
        <w:rPr>
          <w:rFonts w:hint="eastAsia" w:asciiTheme="majorEastAsia" w:hAnsiTheme="majorEastAsia" w:eastAsiaTheme="majorEastAsia" w:cstheme="majorEastAsia"/>
          <w:i w:val="0"/>
          <w:iCs w:val="0"/>
          <w:caps w:val="0"/>
          <w:color w:val="000000"/>
          <w:spacing w:val="15"/>
          <w:sz w:val="28"/>
          <w:szCs w:val="28"/>
          <w:u w:val="none"/>
          <w:shd w:val="clear" w:fill="FFFFFF"/>
          <w:lang w:val="en-US" w:eastAsia="zh-CN"/>
        </w:rPr>
        <w:t>2020年，</w:t>
      </w:r>
      <w:r>
        <w:rPr>
          <w:rFonts w:hint="eastAsia" w:asciiTheme="majorEastAsia" w:hAnsiTheme="majorEastAsia" w:eastAsiaTheme="majorEastAsia" w:cstheme="majorEastAsia"/>
          <w:i w:val="0"/>
          <w:iCs w:val="0"/>
          <w:caps w:val="0"/>
          <w:color w:val="000000"/>
          <w:spacing w:val="15"/>
          <w:sz w:val="28"/>
          <w:szCs w:val="28"/>
          <w:u w:val="none"/>
          <w:shd w:val="clear" w:fill="FFFFFF"/>
        </w:rPr>
        <w:t>丰台区文化和旅游局</w:t>
      </w:r>
      <w:r>
        <w:rPr>
          <w:rFonts w:hint="eastAsia" w:asciiTheme="majorEastAsia" w:hAnsiTheme="majorEastAsia" w:eastAsiaTheme="majorEastAsia" w:cstheme="majorEastAsia"/>
          <w:i w:val="0"/>
          <w:iCs w:val="0"/>
          <w:caps w:val="0"/>
          <w:color w:val="000000"/>
          <w:spacing w:val="15"/>
          <w:sz w:val="28"/>
          <w:szCs w:val="28"/>
          <w:u w:val="none"/>
          <w:shd w:val="clear" w:fill="FFFFFF"/>
          <w:lang w:val="en-US" w:eastAsia="zh-CN"/>
        </w:rPr>
        <w:t>填报绩效目标的项目支出预算3236.78万元，占本部门全部项目支出预算的47.94%。</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b/>
          <w:bCs/>
          <w:i w:val="0"/>
          <w:iCs w:val="0"/>
          <w:caps w:val="0"/>
          <w:color w:val="000000"/>
          <w:spacing w:val="15"/>
          <w:sz w:val="28"/>
          <w:szCs w:val="28"/>
          <w:u w:val="none"/>
          <w:shd w:val="clear" w:fill="FFFFFF"/>
          <w:lang w:val="en-US" w:eastAsia="zh-CN"/>
        </w:rPr>
      </w:pPr>
      <w:r>
        <w:rPr>
          <w:rFonts w:hint="eastAsia" w:asciiTheme="majorEastAsia" w:hAnsiTheme="majorEastAsia" w:eastAsiaTheme="majorEastAsia" w:cstheme="majorEastAsia"/>
          <w:b/>
          <w:bCs/>
          <w:i w:val="0"/>
          <w:iCs w:val="0"/>
          <w:caps w:val="0"/>
          <w:color w:val="000000"/>
          <w:spacing w:val="15"/>
          <w:sz w:val="28"/>
          <w:szCs w:val="28"/>
          <w:u w:val="none"/>
          <w:shd w:val="clear" w:fill="FFFFFF"/>
          <w:lang w:val="en-US" w:eastAsia="zh-CN"/>
        </w:rPr>
        <w:t>十、其他事项说明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default" w:asciiTheme="majorEastAsia" w:hAnsiTheme="majorEastAsia" w:eastAsiaTheme="majorEastAsia" w:cstheme="majorEastAsia"/>
          <w:i w:val="0"/>
          <w:iCs w:val="0"/>
          <w:caps w:val="0"/>
          <w:color w:val="000000"/>
          <w:spacing w:val="15"/>
          <w:sz w:val="28"/>
          <w:szCs w:val="28"/>
          <w:u w:val="none"/>
          <w:shd w:val="clear" w:fill="FFFFFF"/>
          <w:lang w:val="en-US" w:eastAsia="zh-CN"/>
        </w:rPr>
      </w:pPr>
      <w:r>
        <w:rPr>
          <w:rFonts w:hint="eastAsia" w:asciiTheme="majorEastAsia" w:hAnsiTheme="majorEastAsia" w:eastAsiaTheme="majorEastAsia" w:cstheme="majorEastAsia"/>
          <w:i w:val="0"/>
          <w:iCs w:val="0"/>
          <w:caps w:val="0"/>
          <w:color w:val="000000"/>
          <w:spacing w:val="15"/>
          <w:sz w:val="28"/>
          <w:szCs w:val="28"/>
          <w:u w:val="none"/>
          <w:shd w:val="clear" w:fill="FFFFFF"/>
          <w:lang w:val="en-US" w:eastAsia="zh-CN"/>
        </w:rPr>
        <w:t>无此事项说明。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b/>
          <w:bCs/>
          <w:i w:val="0"/>
          <w:iCs w:val="0"/>
          <w:caps w:val="0"/>
          <w:color w:val="000000"/>
          <w:spacing w:val="15"/>
          <w:sz w:val="28"/>
          <w:szCs w:val="28"/>
          <w:u w:val="none"/>
          <w:shd w:val="clear" w:fill="FFFFFF"/>
          <w:lang w:val="en-US" w:eastAsia="zh-CN"/>
        </w:rPr>
      </w:pPr>
      <w:r>
        <w:rPr>
          <w:rFonts w:hint="eastAsia" w:asciiTheme="majorEastAsia" w:hAnsiTheme="majorEastAsia" w:eastAsiaTheme="majorEastAsia" w:cstheme="majorEastAsia"/>
          <w:b/>
          <w:bCs/>
          <w:i w:val="0"/>
          <w:iCs w:val="0"/>
          <w:caps w:val="0"/>
          <w:color w:val="000000"/>
          <w:spacing w:val="15"/>
          <w:sz w:val="28"/>
          <w:szCs w:val="28"/>
          <w:u w:val="none"/>
          <w:shd w:val="clear" w:fill="FFFFFF"/>
          <w:lang w:val="en-US" w:eastAsia="zh-CN"/>
        </w:rPr>
        <w:t>十一、专业名词解释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jc w:val="both"/>
        <w:textAlignment w:val="auto"/>
        <w:rPr>
          <w:rFonts w:hint="eastAsia" w:asciiTheme="majorEastAsia" w:hAnsiTheme="majorEastAsia" w:eastAsiaTheme="majorEastAsia" w:cstheme="majorEastAsia"/>
          <w:i w:val="0"/>
          <w:iCs w:val="0"/>
          <w:caps w:val="0"/>
          <w:color w:val="000000"/>
          <w:spacing w:val="15"/>
          <w:sz w:val="28"/>
          <w:szCs w:val="28"/>
          <w:u w:val="none"/>
          <w:shd w:val="clear" w:fill="FFFFFF"/>
          <w:lang w:val="en-US" w:eastAsia="zh-CN"/>
        </w:rPr>
      </w:pPr>
      <w:r>
        <w:rPr>
          <w:rFonts w:hint="eastAsia" w:asciiTheme="majorEastAsia" w:hAnsiTheme="majorEastAsia" w:eastAsiaTheme="majorEastAsia" w:cstheme="majorEastAsia"/>
          <w:i w:val="0"/>
          <w:iCs w:val="0"/>
          <w:caps w:val="0"/>
          <w:color w:val="000000"/>
          <w:spacing w:val="15"/>
          <w:sz w:val="28"/>
          <w:szCs w:val="28"/>
          <w:u w:val="none"/>
          <w:shd w:val="clear" w:fill="FFFFFF"/>
          <w:lang w:val="en-US" w:eastAsia="zh-CN"/>
        </w:rPr>
        <w:t>（根据部门自身情况，对预算中出现的专业性较强的名称进行解释）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3"/>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b/>
          <w:bCs/>
          <w:i w:val="0"/>
          <w:iCs w:val="0"/>
          <w:caps w:val="0"/>
          <w:color w:val="000000"/>
          <w:spacing w:val="15"/>
          <w:sz w:val="28"/>
          <w:szCs w:val="28"/>
          <w:u w:val="none"/>
          <w:shd w:val="clear" w:fill="FFFFFF"/>
        </w:rPr>
        <w:t>预算：</w:t>
      </w:r>
      <w:r>
        <w:rPr>
          <w:rFonts w:hint="eastAsia" w:asciiTheme="majorEastAsia" w:hAnsiTheme="majorEastAsia" w:eastAsiaTheme="majorEastAsia" w:cstheme="majorEastAsia"/>
          <w:i w:val="0"/>
          <w:iCs w:val="0"/>
          <w:caps w:val="0"/>
          <w:color w:val="000000"/>
          <w:spacing w:val="15"/>
          <w:sz w:val="28"/>
          <w:szCs w:val="28"/>
          <w:u w:val="none"/>
          <w:shd w:val="clear" w:fill="FFFFFF"/>
        </w:rPr>
        <w:t>指遵循统筹兼顾、勤俭节约、量力而行、讲求绩效和收支平衡的原则编制，经法定程序审核批准的国家年度集中性财政收支计划。政府的全部收入和支出都应当纳入预算，地方各级预算一般不列赤字。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3"/>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b/>
          <w:bCs/>
          <w:i w:val="0"/>
          <w:iCs w:val="0"/>
          <w:caps w:val="0"/>
          <w:color w:val="000000"/>
          <w:spacing w:val="15"/>
          <w:sz w:val="28"/>
          <w:szCs w:val="28"/>
          <w:u w:val="none"/>
          <w:shd w:val="clear" w:fill="FFFFFF"/>
        </w:rPr>
        <w:t>一般公共预算：</w:t>
      </w:r>
      <w:r>
        <w:rPr>
          <w:rFonts w:hint="eastAsia" w:asciiTheme="majorEastAsia" w:hAnsiTheme="majorEastAsia" w:eastAsiaTheme="majorEastAsia" w:cstheme="majorEastAsia"/>
          <w:i w:val="0"/>
          <w:iCs w:val="0"/>
          <w:caps w:val="0"/>
          <w:color w:val="000000"/>
          <w:spacing w:val="15"/>
          <w:sz w:val="28"/>
          <w:szCs w:val="28"/>
          <w:u w:val="none"/>
          <w:shd w:val="clear" w:fill="FFFFFF"/>
        </w:rPr>
        <w:t>对以税收为主体的财政收入，安排用于保障和改善民生、推动经济社会发展、维护国家安全、维持国家机构正常运转等方面的收支预算。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3"/>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b/>
          <w:bCs/>
          <w:i w:val="0"/>
          <w:iCs w:val="0"/>
          <w:caps w:val="0"/>
          <w:color w:val="000000"/>
          <w:spacing w:val="15"/>
          <w:sz w:val="28"/>
          <w:szCs w:val="28"/>
          <w:u w:val="none"/>
          <w:shd w:val="clear" w:fill="FFFFFF"/>
        </w:rPr>
        <w:t>一般性转移支付：</w:t>
      </w:r>
      <w:r>
        <w:rPr>
          <w:rFonts w:hint="eastAsia" w:asciiTheme="majorEastAsia" w:hAnsiTheme="majorEastAsia" w:eastAsiaTheme="majorEastAsia" w:cstheme="majorEastAsia"/>
          <w:i w:val="0"/>
          <w:iCs w:val="0"/>
          <w:caps w:val="0"/>
          <w:color w:val="000000"/>
          <w:spacing w:val="15"/>
          <w:sz w:val="28"/>
          <w:szCs w:val="28"/>
          <w:u w:val="none"/>
          <w:shd w:val="clear" w:fill="FFFFFF"/>
        </w:rPr>
        <w:t>指上级政府为均衡地区间基本财力，根据下级政府在组织财政收入能力、必要支出需求、各地自然经济和社会条件差异等因素，按照基本标准和计算方法测算，将其无偿转作下级政府收入来源，并由下级政府统筹安排使用的转移支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3"/>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b/>
          <w:bCs/>
          <w:i w:val="0"/>
          <w:iCs w:val="0"/>
          <w:caps w:val="0"/>
          <w:color w:val="000000"/>
          <w:spacing w:val="15"/>
          <w:sz w:val="28"/>
          <w:szCs w:val="28"/>
          <w:u w:val="none"/>
          <w:shd w:val="clear" w:fill="FFFFFF"/>
        </w:rPr>
        <w:t>结余结转资金：</w:t>
      </w:r>
      <w:r>
        <w:rPr>
          <w:rFonts w:hint="eastAsia" w:asciiTheme="majorEastAsia" w:hAnsiTheme="majorEastAsia" w:eastAsiaTheme="majorEastAsia" w:cstheme="majorEastAsia"/>
          <w:i w:val="0"/>
          <w:iCs w:val="0"/>
          <w:caps w:val="0"/>
          <w:color w:val="000000"/>
          <w:spacing w:val="15"/>
          <w:sz w:val="28"/>
          <w:szCs w:val="28"/>
          <w:u w:val="none"/>
          <w:shd w:val="clear" w:fill="FFFFFF"/>
        </w:rPr>
        <w:t>指当年预算已执行但工作目标未完成，或者因故未执行，下一年度需要按原用途继续使用的资金。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3"/>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b/>
          <w:bCs/>
          <w:i w:val="0"/>
          <w:iCs w:val="0"/>
          <w:caps w:val="0"/>
          <w:color w:val="000000"/>
          <w:spacing w:val="15"/>
          <w:sz w:val="28"/>
          <w:szCs w:val="28"/>
          <w:u w:val="none"/>
          <w:shd w:val="clear" w:fill="FFFFFF"/>
        </w:rPr>
        <w:t>部门预算:</w:t>
      </w:r>
      <w:r>
        <w:rPr>
          <w:rFonts w:hint="eastAsia" w:asciiTheme="majorEastAsia" w:hAnsiTheme="majorEastAsia" w:eastAsiaTheme="majorEastAsia" w:cstheme="majorEastAsia"/>
          <w:i w:val="0"/>
          <w:iCs w:val="0"/>
          <w:caps w:val="0"/>
          <w:color w:val="000000"/>
          <w:spacing w:val="15"/>
          <w:sz w:val="28"/>
          <w:szCs w:val="28"/>
          <w:u w:val="none"/>
          <w:shd w:val="clear" w:fill="FFFFFF"/>
        </w:rPr>
        <w:t>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3"/>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b/>
          <w:bCs/>
          <w:i w:val="0"/>
          <w:iCs w:val="0"/>
          <w:caps w:val="0"/>
          <w:color w:val="000000"/>
          <w:spacing w:val="15"/>
          <w:sz w:val="28"/>
          <w:szCs w:val="28"/>
          <w:u w:val="none"/>
          <w:shd w:val="clear" w:fill="FFFFFF"/>
        </w:rPr>
        <w:t>政府采购:</w:t>
      </w:r>
      <w:r>
        <w:rPr>
          <w:rFonts w:hint="eastAsia" w:asciiTheme="majorEastAsia" w:hAnsiTheme="majorEastAsia" w:eastAsiaTheme="majorEastAsia" w:cstheme="majorEastAsia"/>
          <w:i w:val="0"/>
          <w:iCs w:val="0"/>
          <w:caps w:val="0"/>
          <w:color w:val="000000"/>
          <w:spacing w:val="15"/>
          <w:sz w:val="28"/>
          <w:szCs w:val="28"/>
          <w:u w:val="none"/>
          <w:shd w:val="clear" w:fill="FFFFFF"/>
        </w:rPr>
        <w:t>指各级国家机关、事业单位和团体组织，使用财政性资金采购依法制定的集中采购目录以内的或者采购限额标准以上的货物、工程和服务的行为。政府采购是规范财政支出管理和强化预算约束的有效措施。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3"/>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b/>
          <w:bCs/>
          <w:i w:val="0"/>
          <w:iCs w:val="0"/>
          <w:caps w:val="0"/>
          <w:color w:val="000000"/>
          <w:spacing w:val="15"/>
          <w:sz w:val="28"/>
          <w:szCs w:val="28"/>
          <w:u w:val="none"/>
          <w:shd w:val="clear" w:fill="FFFFFF"/>
        </w:rPr>
        <w:t>预算绩效管理：</w:t>
      </w:r>
      <w:r>
        <w:rPr>
          <w:rFonts w:hint="eastAsia" w:asciiTheme="majorEastAsia" w:hAnsiTheme="majorEastAsia" w:eastAsiaTheme="majorEastAsia" w:cstheme="majorEastAsia"/>
          <w:i w:val="0"/>
          <w:iCs w:val="0"/>
          <w:caps w:val="0"/>
          <w:color w:val="000000"/>
          <w:spacing w:val="15"/>
          <w:sz w:val="28"/>
          <w:szCs w:val="28"/>
          <w:u w:val="none"/>
          <w:shd w:val="clear" w:fill="FFFFFF"/>
        </w:rPr>
        <w:t>指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3"/>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b/>
          <w:bCs/>
          <w:i w:val="0"/>
          <w:iCs w:val="0"/>
          <w:caps w:val="0"/>
          <w:color w:val="000000"/>
          <w:spacing w:val="15"/>
          <w:sz w:val="28"/>
          <w:szCs w:val="28"/>
          <w:u w:val="none"/>
          <w:shd w:val="clear" w:fill="FFFFFF"/>
        </w:rPr>
        <w:t>“三公”经费：</w:t>
      </w:r>
      <w:r>
        <w:rPr>
          <w:rFonts w:hint="eastAsia" w:asciiTheme="majorEastAsia" w:hAnsiTheme="majorEastAsia" w:eastAsiaTheme="majorEastAsia" w:cstheme="majorEastAsia"/>
          <w:i w:val="0"/>
          <w:iCs w:val="0"/>
          <w:caps w:val="0"/>
          <w:color w:val="000000"/>
          <w:spacing w:val="15"/>
          <w:sz w:val="28"/>
          <w:szCs w:val="28"/>
          <w:u w:val="none"/>
          <w:shd w:val="clear" w:fill="FFFFFF"/>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3"/>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b/>
          <w:bCs/>
          <w:i w:val="0"/>
          <w:iCs w:val="0"/>
          <w:caps w:val="0"/>
          <w:color w:val="000000"/>
          <w:spacing w:val="15"/>
          <w:sz w:val="28"/>
          <w:szCs w:val="28"/>
          <w:u w:val="none"/>
          <w:shd w:val="clear" w:fill="FFFFFF"/>
        </w:rPr>
        <w:t>政府购买服务：</w:t>
      </w:r>
      <w:r>
        <w:rPr>
          <w:rFonts w:hint="eastAsia" w:asciiTheme="majorEastAsia" w:hAnsiTheme="majorEastAsia" w:eastAsiaTheme="majorEastAsia" w:cstheme="majorEastAsia"/>
          <w:i w:val="0"/>
          <w:iCs w:val="0"/>
          <w:caps w:val="0"/>
          <w:color w:val="000000"/>
          <w:spacing w:val="15"/>
          <w:sz w:val="28"/>
          <w:szCs w:val="28"/>
          <w:u w:val="none"/>
          <w:shd w:val="clear" w:fill="FFFFFF"/>
        </w:rPr>
        <w:t>指通过发挥市场机制作用，把政府直接向社会公众提供的公共服务等事项，按照一定的方式和程序，交由具备条件的社会力量承担，并由政府根据服务数量和质量向其支付费用。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3"/>
        <w:jc w:val="both"/>
        <w:textAlignment w:val="auto"/>
        <w:rPr>
          <w:rFonts w:hint="eastAsia" w:asciiTheme="majorEastAsia" w:hAnsiTheme="majorEastAsia" w:eastAsiaTheme="majorEastAsia" w:cstheme="majorEastAsia"/>
          <w:i w:val="0"/>
          <w:iCs w:val="0"/>
          <w:caps w:val="0"/>
          <w:color w:val="404040"/>
          <w:spacing w:val="0"/>
          <w:sz w:val="28"/>
          <w:szCs w:val="28"/>
          <w:u w:val="none"/>
        </w:rPr>
      </w:pPr>
      <w:r>
        <w:rPr>
          <w:rFonts w:hint="eastAsia" w:asciiTheme="majorEastAsia" w:hAnsiTheme="majorEastAsia" w:eastAsiaTheme="majorEastAsia" w:cstheme="majorEastAsia"/>
          <w:b/>
          <w:bCs/>
          <w:i w:val="0"/>
          <w:iCs w:val="0"/>
          <w:caps w:val="0"/>
          <w:color w:val="000000"/>
          <w:spacing w:val="15"/>
          <w:sz w:val="28"/>
          <w:szCs w:val="28"/>
          <w:u w:val="none"/>
          <w:shd w:val="clear" w:fill="FFFFFF"/>
        </w:rPr>
        <w:t>机关运行经费：</w:t>
      </w:r>
      <w:r>
        <w:rPr>
          <w:rFonts w:hint="eastAsia" w:asciiTheme="majorEastAsia" w:hAnsiTheme="majorEastAsia" w:eastAsiaTheme="majorEastAsia" w:cstheme="majorEastAsia"/>
          <w:i w:val="0"/>
          <w:iCs w:val="0"/>
          <w:caps w:val="0"/>
          <w:color w:val="000000"/>
          <w:spacing w:val="15"/>
          <w:sz w:val="28"/>
          <w:szCs w:val="28"/>
          <w:u w:val="none"/>
          <w:shd w:val="clear" w:fill="FFFFFF"/>
        </w:rPr>
        <w:t>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3"/>
        <w:jc w:val="both"/>
        <w:textAlignment w:val="auto"/>
        <w:rPr>
          <w:rFonts w:hint="eastAsia" w:asciiTheme="majorEastAsia" w:hAnsiTheme="majorEastAsia" w:eastAsiaTheme="majorEastAsia" w:cstheme="majorEastAsia"/>
          <w:i w:val="0"/>
          <w:iCs w:val="0"/>
          <w:caps w:val="0"/>
          <w:color w:val="000000"/>
          <w:spacing w:val="15"/>
          <w:sz w:val="28"/>
          <w:szCs w:val="28"/>
          <w:u w:val="none"/>
          <w:shd w:val="clear" w:fill="FFFFFF"/>
        </w:rPr>
      </w:pPr>
      <w:r>
        <w:rPr>
          <w:rFonts w:hint="eastAsia" w:asciiTheme="majorEastAsia" w:hAnsiTheme="majorEastAsia" w:eastAsiaTheme="majorEastAsia" w:cstheme="majorEastAsia"/>
          <w:b/>
          <w:bCs/>
          <w:i w:val="0"/>
          <w:iCs w:val="0"/>
          <w:caps w:val="0"/>
          <w:color w:val="000000"/>
          <w:spacing w:val="15"/>
          <w:sz w:val="28"/>
          <w:szCs w:val="28"/>
          <w:u w:val="none"/>
          <w:shd w:val="clear" w:fill="FFFFFF"/>
        </w:rPr>
        <w:t>行政事业性收费:</w:t>
      </w:r>
      <w:r>
        <w:rPr>
          <w:rFonts w:hint="eastAsia" w:asciiTheme="majorEastAsia" w:hAnsiTheme="majorEastAsia" w:eastAsiaTheme="majorEastAsia" w:cstheme="majorEastAsia"/>
          <w:i w:val="0"/>
          <w:iCs w:val="0"/>
          <w:caps w:val="0"/>
          <w:color w:val="000000"/>
          <w:spacing w:val="15"/>
          <w:sz w:val="28"/>
          <w:szCs w:val="28"/>
          <w:u w:val="none"/>
          <w:shd w:val="clear" w:fill="FFFFFF"/>
        </w:rPr>
        <w:t>是指国家机关、事业单位、代行政府职能的社会团体及其他组织根据法律、行政法规、地方性法规等有关规定，依照国务院规定程序批准，在向公民、法人提供特定服务的过程中，按照成本补偿和非盈利原则向特定服务对象收取的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A8BE9"/>
    <w:multiLevelType w:val="singleLevel"/>
    <w:tmpl w:val="825A8BE9"/>
    <w:lvl w:ilvl="0" w:tentative="0">
      <w:start w:val="1"/>
      <w:numFmt w:val="chineseCounting"/>
      <w:suff w:val="nothing"/>
      <w:lvlText w:val="（%1）"/>
      <w:lvlJc w:val="left"/>
      <w:rPr>
        <w:rFonts w:hint="eastAsia"/>
      </w:rPr>
    </w:lvl>
  </w:abstractNum>
  <w:abstractNum w:abstractNumId="1">
    <w:nsid w:val="628923E0"/>
    <w:multiLevelType w:val="singleLevel"/>
    <w:tmpl w:val="628923E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40821"/>
    <w:rsid w:val="03C0281A"/>
    <w:rsid w:val="6E040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2021-06-16T07:02:00Z</dcterms:created>
  <dc:creator>wanglin</dc:creator>
  <cp:lastModifiedBy>wanglin</cp:lastModifiedBy>
  <dcterms:modified xsi:type="dcterms:W3CDTF">2021-06-16T07:20:56Z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6DE6AD8D71294893A4DFD42E0B2B3413</vt:lpwstr>
  </property>
</Properties>
</file>