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中共北京市丰台区委宣传部 2018年度部门决算说明</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目 录</w:t>
      </w:r>
    </w:p>
    <w:p>
      <w:pPr>
        <w:jc w:val="center"/>
        <w:rPr>
          <w:rFonts w:hint="eastAsia" w:ascii="仿宋" w:hAnsi="仿宋" w:eastAsia="仿宋" w:cs="仿宋"/>
          <w:sz w:val="32"/>
          <w:szCs w:val="32"/>
        </w:rPr>
      </w:pPr>
    </w:p>
    <w:p>
      <w:pPr>
        <w:numPr>
          <w:ilvl w:val="0"/>
          <w:numId w:val="1"/>
        </w:numPr>
        <w:rPr>
          <w:rFonts w:hint="eastAsia" w:ascii="仿宋" w:hAnsi="仿宋" w:eastAsia="仿宋" w:cs="仿宋"/>
          <w:sz w:val="32"/>
          <w:szCs w:val="32"/>
        </w:rPr>
      </w:pPr>
      <w:r>
        <w:rPr>
          <w:rFonts w:hint="eastAsia" w:ascii="仿宋" w:hAnsi="仿宋" w:eastAsia="仿宋" w:cs="仿宋"/>
          <w:sz w:val="32"/>
          <w:szCs w:val="32"/>
        </w:rPr>
        <w:t>2018年度部门决算说明</w:t>
      </w:r>
    </w:p>
    <w:p>
      <w:pPr>
        <w:numPr>
          <w:ilvl w:val="0"/>
          <w:numId w:val="1"/>
        </w:numPr>
        <w:rPr>
          <w:rFonts w:hint="eastAsia" w:ascii="仿宋" w:hAnsi="仿宋" w:eastAsia="仿宋" w:cs="仿宋"/>
          <w:sz w:val="32"/>
          <w:szCs w:val="32"/>
        </w:rPr>
      </w:pPr>
      <w:r>
        <w:rPr>
          <w:rFonts w:hint="eastAsia" w:ascii="仿宋" w:hAnsi="仿宋" w:eastAsia="仿宋" w:cs="仿宋"/>
          <w:sz w:val="32"/>
          <w:szCs w:val="32"/>
        </w:rPr>
        <w:t>2018年度其他重要事项的情况说明</w:t>
      </w:r>
    </w:p>
    <w:p>
      <w:pPr>
        <w:numPr>
          <w:ilvl w:val="0"/>
          <w:numId w:val="1"/>
        </w:numPr>
        <w:rPr>
          <w:rFonts w:hint="eastAsia" w:ascii="仿宋" w:hAnsi="仿宋" w:eastAsia="仿宋" w:cs="仿宋"/>
          <w:sz w:val="32"/>
          <w:szCs w:val="32"/>
        </w:rPr>
      </w:pPr>
      <w:r>
        <w:rPr>
          <w:rFonts w:hint="eastAsia" w:ascii="仿宋" w:hAnsi="仿宋" w:eastAsia="仿宋" w:cs="仿宋"/>
          <w:sz w:val="32"/>
          <w:szCs w:val="32"/>
        </w:rPr>
        <w:t>2018年度部门绩效评价情况</w:t>
      </w:r>
    </w:p>
    <w:p>
      <w:pPr>
        <w:numPr>
          <w:ilvl w:val="0"/>
          <w:numId w:val="0"/>
        </w:numPr>
        <w:rPr>
          <w:rFonts w:hint="eastAsia" w:ascii="仿宋" w:hAnsi="仿宋" w:eastAsia="仿宋" w:cs="仿宋"/>
          <w:sz w:val="32"/>
          <w:szCs w:val="32"/>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both"/>
        <w:rPr>
          <w:rFonts w:hint="eastAsia" w:ascii="方正小标宋简体" w:hAnsi="方正小标宋简体" w:eastAsia="方正小标宋简体" w:cs="方正小标宋简体"/>
          <w:sz w:val="32"/>
          <w:szCs w:val="32"/>
          <w:lang w:eastAsia="zh-CN"/>
        </w:rPr>
      </w:pPr>
    </w:p>
    <w:p>
      <w:pPr>
        <w:numPr>
          <w:ilvl w:val="0"/>
          <w:numId w:val="0"/>
        </w:num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第一部分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2018年度部门决算说明</w:t>
      </w:r>
    </w:p>
    <w:p>
      <w:pPr>
        <w:numPr>
          <w:ilvl w:val="0"/>
          <w:numId w:val="0"/>
        </w:numPr>
        <w:rPr>
          <w:rFonts w:hint="eastAsia" w:ascii="仿宋" w:hAnsi="仿宋" w:eastAsia="仿宋" w:cs="仿宋"/>
          <w:sz w:val="32"/>
          <w:szCs w:val="32"/>
        </w:rPr>
      </w:pPr>
    </w:p>
    <w:p>
      <w:pPr>
        <w:numPr>
          <w:ilvl w:val="0"/>
          <w:numId w:val="2"/>
        </w:numPr>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部门基本情况</w:t>
      </w:r>
    </w:p>
    <w:p>
      <w:pPr>
        <w:numPr>
          <w:ilvl w:val="0"/>
          <w:numId w:val="3"/>
        </w:numPr>
        <w:ind w:firstLine="640" w:firstLineChars="200"/>
        <w:rPr>
          <w:rFonts w:hint="eastAsia" w:ascii="仿宋" w:hAnsi="仿宋" w:eastAsia="仿宋" w:cs="仿宋"/>
          <w:sz w:val="32"/>
          <w:szCs w:val="32"/>
        </w:rPr>
      </w:pPr>
      <w:r>
        <w:rPr>
          <w:rFonts w:hint="eastAsia" w:ascii="仿宋" w:hAnsi="仿宋" w:eastAsia="仿宋" w:cs="仿宋"/>
          <w:sz w:val="32"/>
          <w:szCs w:val="32"/>
        </w:rPr>
        <w:t>部门职责</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区委宣传部是区委主管全区党的意识形态、精神文明建设及宣传工作的综合职能部门。</w:t>
      </w:r>
    </w:p>
    <w:p>
      <w:pPr>
        <w:numPr>
          <w:ilvl w:val="0"/>
          <w:numId w:val="4"/>
        </w:numPr>
        <w:ind w:firstLine="640" w:firstLineChars="200"/>
        <w:rPr>
          <w:rFonts w:hint="eastAsia" w:ascii="仿宋" w:hAnsi="仿宋" w:eastAsia="仿宋" w:cs="仿宋"/>
          <w:sz w:val="32"/>
          <w:szCs w:val="32"/>
        </w:rPr>
      </w:pPr>
      <w:r>
        <w:rPr>
          <w:rFonts w:hint="eastAsia" w:ascii="仿宋" w:hAnsi="仿宋" w:eastAsia="仿宋" w:cs="仿宋"/>
          <w:sz w:val="32"/>
          <w:szCs w:val="32"/>
        </w:rPr>
        <w:t>负责制定全区宣传工作计划并组织实施</w:t>
      </w:r>
      <w:r>
        <w:rPr>
          <w:rFonts w:hint="eastAsia" w:ascii="仿宋" w:hAnsi="仿宋" w:eastAsia="仿宋" w:cs="仿宋"/>
          <w:sz w:val="32"/>
          <w:szCs w:val="32"/>
          <w:lang w:eastAsia="zh-CN"/>
        </w:rPr>
        <w:t>。</w:t>
      </w:r>
    </w:p>
    <w:p>
      <w:pPr>
        <w:numPr>
          <w:ilvl w:val="0"/>
          <w:numId w:val="4"/>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负责全区党的思想理论建设，组织干部、党员、群众学习马列主义、毛泽东思想和邓小平理论，学习宣传贯彻党的路线、方针、政策，配合区委有关部门搞好党员教育工作。</w:t>
      </w:r>
    </w:p>
    <w:p>
      <w:pPr>
        <w:numPr>
          <w:ilvl w:val="0"/>
          <w:numId w:val="4"/>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规划、部署、协调全区性的思想政治工作；研究和改进群众思想教育工作，抓好思想政治工作研究会的建设和研讨交流工作。</w:t>
      </w:r>
    </w:p>
    <w:p>
      <w:pPr>
        <w:numPr>
          <w:ilvl w:val="0"/>
          <w:numId w:val="4"/>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负责指导全区各单位对外宣传工作。</w:t>
      </w:r>
    </w:p>
    <w:p>
      <w:pPr>
        <w:numPr>
          <w:ilvl w:val="0"/>
          <w:numId w:val="4"/>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负责全区精神文明建设工作。</w:t>
      </w:r>
    </w:p>
    <w:p>
      <w:pPr>
        <w:numPr>
          <w:ilvl w:val="0"/>
          <w:numId w:val="4"/>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负责指导区委、区政府部、委、办、局、街道、乡（镇）和区属企事业单位以及工、青、妇等人民团体宣传部门的工作。</w:t>
      </w:r>
    </w:p>
    <w:p>
      <w:pPr>
        <w:numPr>
          <w:ilvl w:val="0"/>
          <w:numId w:val="4"/>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负责对文化委员会、广播电视中心、抗日战争纪念雕塑园、区委党校的协调、指导工作。</w:t>
      </w:r>
    </w:p>
    <w:p>
      <w:pPr>
        <w:numPr>
          <w:ilvl w:val="0"/>
          <w:numId w:val="4"/>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负责宣传卫生系统领导班子建设和干部队伍建设工作，按干部管理权限和分工，负责宣传卫生系统区委管理、区委委托管理的领导干部的管理工作。</w:t>
      </w:r>
    </w:p>
    <w:p>
      <w:pPr>
        <w:numPr>
          <w:ilvl w:val="0"/>
          <w:numId w:val="4"/>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承担区委、区政府交办的其他事项。</w:t>
      </w:r>
    </w:p>
    <w:p>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人员构成情况</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中共北京市丰台区委宣传部，截至2018年底，共有行政编制27人，实际20人；下属事业单位北京市丰台区新闻中心人员编制17人，实际12人；丰台区委讲师团办公室人员编制6人，实际4人。</w:t>
      </w:r>
    </w:p>
    <w:p>
      <w:pPr>
        <w:numPr>
          <w:ilvl w:val="0"/>
          <w:numId w:val="2"/>
        </w:numPr>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收入支出决算总体情况说明</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2018年度收、支总计3222.22万元，比上年增加568.79万元，增长21.44%。</w:t>
      </w:r>
    </w:p>
    <w:p>
      <w:pPr>
        <w:numPr>
          <w:ilvl w:val="0"/>
          <w:numId w:val="5"/>
        </w:numPr>
        <w:ind w:firstLine="640" w:firstLineChars="200"/>
        <w:rPr>
          <w:rFonts w:hint="eastAsia" w:ascii="仿宋" w:hAnsi="仿宋" w:eastAsia="仿宋" w:cs="仿宋"/>
          <w:sz w:val="32"/>
          <w:szCs w:val="32"/>
        </w:rPr>
      </w:pPr>
      <w:r>
        <w:rPr>
          <w:rFonts w:hint="eastAsia" w:ascii="仿宋" w:hAnsi="仿宋" w:eastAsia="仿宋" w:cs="仿宋"/>
          <w:sz w:val="32"/>
          <w:szCs w:val="32"/>
        </w:rPr>
        <w:t>收入决算说明</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2018年度本年收入合计2369.07万元，比上年增加245.65万元，增长11.57%，其中：财政拨款收入2312.05万元，占收入合计的97.59%；上级补助收入0万元，占收入合计的0%；事业收入0万元，占收入合计的0%；经营收入0万元，占收入合计的0%；附属单位上缴收入0万元，占收入合计的0%；其他收入57.02万元，占收入合计的2.41%。</w:t>
      </w:r>
    </w:p>
    <w:p>
      <w:pPr>
        <w:numPr>
          <w:ilvl w:val="0"/>
          <w:numId w:val="5"/>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支出决算说明</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2018年度本年支出合计3067.63万元，比上年增加725.86万元，增长40%，其中：基本支出1108.76万元，占支出合计的36.14%；项目支出1958.87万元，占支出合计的63.86%;上缴上级支出0万元，占支出合计的0%；经营支出0万元，占支出合计的0%；对附属单位补助支出0万元，占支出合计的0%。</w:t>
      </w:r>
    </w:p>
    <w:p>
      <w:pPr>
        <w:numPr>
          <w:ilvl w:val="0"/>
          <w:numId w:val="2"/>
        </w:numPr>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财政拨款收入支出决算总体情况说明</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2018年度财政拨款收、支总计2954.15万元，比上年增加534.38万元，增长22.08%。主要原因：人员增加。</w:t>
      </w:r>
    </w:p>
    <w:p>
      <w:pPr>
        <w:numPr>
          <w:ilvl w:val="0"/>
          <w:numId w:val="2"/>
        </w:numPr>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一般公共预算财政拨款支出决算情况说明</w:t>
      </w:r>
    </w:p>
    <w:p>
      <w:pPr>
        <w:numPr>
          <w:ilvl w:val="0"/>
          <w:numId w:val="6"/>
        </w:numPr>
        <w:ind w:firstLine="640" w:firstLineChars="200"/>
        <w:rPr>
          <w:rFonts w:hint="eastAsia" w:ascii="仿宋" w:hAnsi="仿宋" w:eastAsia="仿宋" w:cs="仿宋"/>
          <w:sz w:val="32"/>
          <w:szCs w:val="32"/>
        </w:rPr>
      </w:pPr>
      <w:r>
        <w:rPr>
          <w:rFonts w:hint="eastAsia" w:ascii="仿宋" w:hAnsi="仿宋" w:eastAsia="仿宋" w:cs="仿宋"/>
          <w:sz w:val="32"/>
          <w:szCs w:val="32"/>
        </w:rPr>
        <w:t>一般公共预算财政拨款支出决算总体情况</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2018年度一般公共预算财政拨款支出2823.28万元，主要用于以下方面（按大类）：一般公共服务支出770.48万元，占本年财政拨款支出27.29%；文化体育与传媒支出1713.97万元，占本年财政拨款支出60.71%；社会保障和就业支出166.26万元，占本年财政拨款支出5.89%；住房保障支出172.57万元，占本年财政拨款支出6.11%。</w:t>
      </w:r>
    </w:p>
    <w:p>
      <w:pPr>
        <w:numPr>
          <w:ilvl w:val="0"/>
          <w:numId w:val="6"/>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一般公共预算财政拨款支出决算具体情况</w:t>
      </w:r>
    </w:p>
    <w:p>
      <w:pPr>
        <w:numPr>
          <w:ilvl w:val="0"/>
          <w:numId w:val="7"/>
        </w:numPr>
        <w:ind w:firstLine="640" w:firstLineChars="200"/>
        <w:rPr>
          <w:rFonts w:hint="eastAsia" w:ascii="仿宋" w:hAnsi="仿宋" w:eastAsia="仿宋" w:cs="仿宋"/>
          <w:sz w:val="32"/>
          <w:szCs w:val="32"/>
        </w:rPr>
      </w:pPr>
      <w:r>
        <w:rPr>
          <w:rFonts w:hint="eastAsia" w:ascii="仿宋" w:hAnsi="仿宋" w:eastAsia="仿宋" w:cs="仿宋"/>
          <w:sz w:val="32"/>
          <w:szCs w:val="32"/>
        </w:rPr>
        <w:t>“一般公共服务支出”（类）2018年度决算770.48万元，比2018年年初预算增加53.77万元，增长7.5%。其中：</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“政府办公厅（室）及相关机构事务”（款） 2018年度决算769.92万元，比2018年年初预算增加54.18万元，增长7.57%。主要原因：人员增加。</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“组织事务”（款）2018年度决算0.56万元，比2018年初预算减少0.4万元，减少41.67%。主要原因：人员减少。</w:t>
      </w:r>
    </w:p>
    <w:p>
      <w:pPr>
        <w:numPr>
          <w:ilvl w:val="0"/>
          <w:numId w:val="7"/>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“教育支出”(类)2018年度决算0万元，比2018年年初预算减少1.9万元，减少100%。其中：</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“进修培训”（款）2018年度决算0万元，比2018年年初预算减少1.9万元，减少100%。主要原因：培训未使用经费。</w:t>
      </w:r>
    </w:p>
    <w:p>
      <w:pPr>
        <w:numPr>
          <w:ilvl w:val="0"/>
          <w:numId w:val="7"/>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“文化体育与传媒”(类)2018年度决算1713.97万元，比2018年年初预算减少14.84万元，下降0.86 %。其中：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“文化”（款）2018年度决算1200.64万元，比2018年年初预算增加428.04万元，增加55.4 %。主要原因：项目调整增加。</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“体育”（款）2018年度决算0万元，比2018年年初预算减少43万元，下降100%。主要原因：项目未开展。</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“其他文化体育与传媒支出”（款）2018年度决算513.33万元，比2018年年初预算减少399.88万元，下降43.79%。主要原因：项目调整减少。</w:t>
      </w:r>
    </w:p>
    <w:p>
      <w:pPr>
        <w:numPr>
          <w:ilvl w:val="0"/>
          <w:numId w:val="7"/>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“社会保障和就业”(类)2018年度决算166.26万元，比2018年年初预算增加72.09万元，增长76.55%。其中：</w:t>
      </w:r>
    </w:p>
    <w:p>
      <w:pPr>
        <w:numPr>
          <w:ilvl w:val="0"/>
          <w:numId w:val="0"/>
        </w:numPr>
        <w:ind w:firstLine="640"/>
        <w:rPr>
          <w:rFonts w:hint="eastAsia" w:ascii="仿宋" w:hAnsi="仿宋" w:eastAsia="仿宋" w:cs="仿宋"/>
          <w:sz w:val="32"/>
          <w:szCs w:val="32"/>
        </w:rPr>
      </w:pPr>
      <w:r>
        <w:rPr>
          <w:rFonts w:hint="eastAsia" w:ascii="仿宋" w:hAnsi="仿宋" w:eastAsia="仿宋" w:cs="仿宋"/>
          <w:sz w:val="32"/>
          <w:szCs w:val="32"/>
        </w:rPr>
        <w:t>“行政事业单位离退休”（款）2018年度决算166.26万元，比2018年年初预算增加72.09万元，增长76.55%。主要原因：增加抚恤金、职业年金虚账做实。</w:t>
      </w:r>
    </w:p>
    <w:p>
      <w:pPr>
        <w:numPr>
          <w:ilvl w:val="0"/>
          <w:numId w:val="7"/>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“住房保障支出”(类)2018年度决算172.57万元，比2018年年初预算增加7.29万元，增加4.41%。其中：</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“住房改革支出”（款）2018年度决算172.57万元，比2018年年初预算增加7.29万元，增加4.41%。主要原因：人员调入，结构工资调整。</w:t>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 xml:space="preserve">政府性基金预算财政拨款支出决算情况说明 </w:t>
      </w:r>
    </w:p>
    <w:p>
      <w:pPr>
        <w:numPr>
          <w:ilvl w:val="0"/>
          <w:numId w:val="8"/>
        </w:numPr>
        <w:ind w:firstLine="640" w:firstLineChars="200"/>
        <w:rPr>
          <w:rFonts w:hint="eastAsia" w:ascii="仿宋" w:hAnsi="仿宋" w:eastAsia="仿宋" w:cs="仿宋"/>
          <w:sz w:val="32"/>
          <w:szCs w:val="32"/>
        </w:rPr>
      </w:pPr>
      <w:r>
        <w:rPr>
          <w:rFonts w:hint="eastAsia" w:ascii="仿宋" w:hAnsi="仿宋" w:eastAsia="仿宋" w:cs="仿宋"/>
          <w:sz w:val="32"/>
          <w:szCs w:val="32"/>
        </w:rPr>
        <w:t>政府性基金预算财政拨款支出决算总体情况 2018年度政府性基金预算财政拨款支出0万元，主要用于以下方面（按大类）：城乡社区支出0万元，占本年财政拨款支出0.00%。</w:t>
      </w:r>
    </w:p>
    <w:p>
      <w:pPr>
        <w:numPr>
          <w:ilvl w:val="0"/>
          <w:numId w:val="8"/>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xml:space="preserve">政府性基金预算财政拨款支出决算具体情况 “城乡社区支出”（类）2018年度决算0万元，比2018年年初预算增加0万元，增长0.00%。其中： “城市公用事业附加及对应专项债务收入安排的支出”（款）2018年度决算0万元，比2018年年初预算增加0万元，增长0.00%。主要原因：无。 </w:t>
      </w:r>
      <w:r>
        <w:rPr>
          <w:rFonts w:hint="eastAsia" w:ascii="仿宋" w:hAnsi="仿宋" w:eastAsia="仿宋" w:cs="仿宋"/>
          <w:sz w:val="32"/>
          <w:szCs w:val="32"/>
          <w:lang w:val="en-US" w:eastAsia="zh-CN"/>
        </w:rPr>
        <w:t xml:space="preserve"> </w:t>
      </w:r>
    </w:p>
    <w:p>
      <w:pPr>
        <w:numPr>
          <w:ilvl w:val="0"/>
          <w:numId w:val="0"/>
        </w:numPr>
        <w:ind w:left="630" w:leftChars="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财政拨款基本支出决算情况说明</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2018年本部门使用一般公共预算财政拨款安排基本支出1,108.75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 </w:t>
      </w:r>
    </w:p>
    <w:p>
      <w:pPr>
        <w:numPr>
          <w:ilvl w:val="0"/>
          <w:numId w:val="0"/>
        </w:numPr>
        <w:rPr>
          <w:rFonts w:hint="eastAsia" w:ascii="仿宋" w:hAnsi="仿宋" w:eastAsia="仿宋" w:cs="仿宋"/>
          <w:sz w:val="32"/>
          <w:szCs w:val="32"/>
        </w:rPr>
      </w:pPr>
    </w:p>
    <w:p>
      <w:pPr>
        <w:numPr>
          <w:ilvl w:val="0"/>
          <w:numId w:val="0"/>
        </w:num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第二部分2018年度其他重要事项的情况说明</w:t>
      </w:r>
    </w:p>
    <w:p>
      <w:pPr>
        <w:numPr>
          <w:ilvl w:val="0"/>
          <w:numId w:val="0"/>
        </w:numPr>
        <w:rPr>
          <w:rFonts w:hint="eastAsia" w:ascii="仿宋" w:hAnsi="仿宋" w:eastAsia="仿宋" w:cs="仿宋"/>
          <w:sz w:val="32"/>
          <w:szCs w:val="32"/>
        </w:rPr>
      </w:pPr>
    </w:p>
    <w:p>
      <w:pPr>
        <w:numPr>
          <w:ilvl w:val="0"/>
          <w:numId w:val="9"/>
        </w:numPr>
        <w:ind w:firstLine="640" w:firstLineChars="200"/>
        <w:rPr>
          <w:rFonts w:hint="eastAsia" w:ascii="黑体" w:hAnsi="黑体" w:eastAsia="黑体" w:cs="黑体"/>
          <w:sz w:val="32"/>
          <w:szCs w:val="32"/>
        </w:rPr>
      </w:pPr>
      <w:r>
        <w:rPr>
          <w:rFonts w:hint="eastAsia" w:ascii="黑体" w:hAnsi="黑体" w:eastAsia="黑体" w:cs="黑体"/>
          <w:sz w:val="32"/>
          <w:szCs w:val="32"/>
        </w:rPr>
        <w:t>“三公”经费财政拨款决算情况</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“三公”经费包括本部门所属1个行政单位、2个事业单位。2018年“三公”经费财政拨款决算数0万元，比2018年“三公”经费财政拨款年初预算0万元，增加0万元。其中：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因公出国（境）费用。2018年决算数0万元，比2018年年初预算数0万元增加0万元。主要原因：按照我区出国经费管理办法，因公出国（境）费用的年初预算数均为0；2018年组织因公出国（境）团组0个、0人次，人均因公出国（境）费用0万元。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公务接待费。2018年决算数0万元，比2018年年初预算数0万元增加0万元。</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公务用车购置及运行维护费。2018年决算数0万元，比2018年年初预算数0万元增加0万元。其中，公务用车购置费2018年决算数0万元，比2018年年初预算数0万元增加0万元。2018年购置（更新）0辆，车均购置费0万元。公务用车运行维护费2018年决算数0万元，比2018年年初预算数0万元增加0万元。2018年公务用车运行维护费中，公务用车加油0万元，公务用车维修0万元，公务用车保险0万元，公务用车其他支出0万元。2018年公务用车保有量0辆，车均运行维护费0万元。</w:t>
      </w:r>
    </w:p>
    <w:p>
      <w:pPr>
        <w:numPr>
          <w:ilvl w:val="0"/>
          <w:numId w:val="9"/>
        </w:num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机关运行经费支出情况</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2018年本部门行政单位（含参照公务员法管理事业单位）使用一般公共预算财政拨款安排的基本支出中的日常公用经费支出，合计71.20万元，比上年增加5.48万元，增加原因：人员增加。 </w:t>
      </w:r>
    </w:p>
    <w:p>
      <w:pPr>
        <w:numPr>
          <w:ilvl w:val="0"/>
          <w:numId w:val="9"/>
        </w:num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政府采购支出情况</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2018年中共北京市丰台区委宣传部政府采购支出总额749.08万元，其中：政府采购货物支出13.57万元，政府采购工程支出0万元，政府采购服务支出735.51万元。授予中小企业合同金额749.18万元，占政府采购支出总额的100%，其中：授予小微企业合同金额0万元，占政府采购支出总额的0.00%。 </w:t>
      </w:r>
    </w:p>
    <w:p>
      <w:pPr>
        <w:numPr>
          <w:ilvl w:val="0"/>
          <w:numId w:val="9"/>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国有资产占用情况</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固定资产总额0.00万元，其中：汽车0辆，0万元；单价100万元以上的专用设备0台（套），0万元。</w:t>
      </w:r>
    </w:p>
    <w:p>
      <w:pPr>
        <w:numPr>
          <w:ilvl w:val="0"/>
          <w:numId w:val="9"/>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行政事业性收费重点项目情况说明</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无此项内容。</w:t>
      </w:r>
    </w:p>
    <w:p>
      <w:pPr>
        <w:numPr>
          <w:ilvl w:val="0"/>
          <w:numId w:val="9"/>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国有资本经营预算财政拨款收支情况</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2018年国有资本经营预算财政拨款收入总计0万元，国有资本经营预算财政拨款支出总计0万元。</w:t>
      </w:r>
    </w:p>
    <w:p>
      <w:pPr>
        <w:numPr>
          <w:ilvl w:val="0"/>
          <w:numId w:val="9"/>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政府购买服务支出说明</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2018年本部门政府购买服务决算735.51万元。</w:t>
      </w:r>
    </w:p>
    <w:p>
      <w:pPr>
        <w:numPr>
          <w:ilvl w:val="0"/>
          <w:numId w:val="9"/>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专业名词解释</w:t>
      </w:r>
    </w:p>
    <w:p>
      <w:pPr>
        <w:numPr>
          <w:ilvl w:val="0"/>
          <w:numId w:val="10"/>
        </w:numPr>
        <w:ind w:firstLine="640" w:firstLineChars="200"/>
        <w:rPr>
          <w:rFonts w:hint="eastAsia" w:ascii="仿宋" w:hAnsi="仿宋" w:eastAsia="仿宋" w:cs="仿宋"/>
          <w:sz w:val="32"/>
          <w:szCs w:val="32"/>
        </w:rPr>
      </w:pPr>
      <w:r>
        <w:rPr>
          <w:rFonts w:hint="eastAsia" w:ascii="仿宋" w:hAnsi="仿宋" w:eastAsia="仿宋" w:cs="仿宋"/>
          <w:sz w:val="32"/>
          <w:szCs w:val="32"/>
        </w:rPr>
        <w:t>“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单位按规定保留的公务用车租用费、燃料费、维修费、过路过桥费、保险费、安全奖励费等支出；公务接待费指单位按规定开支的各类公务接待（含外宾接待）支出。</w:t>
      </w:r>
    </w:p>
    <w:p>
      <w:pPr>
        <w:numPr>
          <w:ilvl w:val="0"/>
          <w:numId w:val="10"/>
        </w:num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仿宋"/>
          <w:sz w:val="32"/>
          <w:szCs w:val="32"/>
          <w:lang w:eastAsia="zh-CN"/>
        </w:rPr>
        <w:t>。</w:t>
      </w:r>
    </w:p>
    <w:p>
      <w:pPr>
        <w:numPr>
          <w:ilvl w:val="0"/>
          <w:numId w:val="10"/>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政府采购：指各级国家机关、事业单位和团体组织，使用财政性资金采购依法制定的集中目录以内的或者采购限额标准以上的货物、工程和服务的行为。</w:t>
      </w:r>
    </w:p>
    <w:p>
      <w:pPr>
        <w:numPr>
          <w:ilvl w:val="0"/>
          <w:numId w:val="10"/>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政府购买服务：是指各级党的机关、政府机关、人大机关、政协机关、审判机关、检察机关、民主党派机关、完全或主要承担行政职能的事业单位、纳入行政编制管理且经费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pPr>
        <w:numPr>
          <w:ilvl w:val="0"/>
          <w:numId w:val="10"/>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调整预算数：指填列经调整后的全年预算数，包括年初预算数和预算调整调减数。</w:t>
      </w:r>
    </w:p>
    <w:p>
      <w:pPr>
        <w:numPr>
          <w:ilvl w:val="0"/>
          <w:numId w:val="0"/>
        </w:numPr>
        <w:rPr>
          <w:rFonts w:hint="eastAsia" w:ascii="仿宋" w:hAnsi="仿宋" w:eastAsia="仿宋" w:cs="仿宋"/>
          <w:sz w:val="32"/>
          <w:szCs w:val="32"/>
        </w:rPr>
      </w:pPr>
    </w:p>
    <w:p>
      <w:pPr>
        <w:numPr>
          <w:ilvl w:val="0"/>
          <w:numId w:val="0"/>
        </w:numPr>
        <w:ind w:leftChars="0"/>
        <w:jc w:val="center"/>
        <w:rPr>
          <w:rFonts w:hint="eastAsia" w:ascii="仿宋" w:hAnsi="仿宋" w:eastAsia="仿宋" w:cs="仿宋"/>
          <w:sz w:val="32"/>
          <w:szCs w:val="32"/>
        </w:rPr>
      </w:pPr>
      <w:r>
        <w:rPr>
          <w:rFonts w:hint="eastAsia" w:ascii="方正小标宋简体" w:hAnsi="方正小标宋简体" w:eastAsia="方正小标宋简体" w:cs="方正小标宋简体"/>
          <w:sz w:val="32"/>
          <w:szCs w:val="32"/>
          <w:lang w:eastAsia="zh-CN"/>
        </w:rPr>
        <w:t>第三部分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2018年度部门绩效评价情况</w:t>
      </w:r>
    </w:p>
    <w:p>
      <w:pPr>
        <w:numPr>
          <w:ilvl w:val="0"/>
          <w:numId w:val="0"/>
        </w:numPr>
        <w:ind w:leftChars="0"/>
        <w:rPr>
          <w:rFonts w:hint="eastAsia" w:ascii="仿宋" w:hAnsi="仿宋" w:eastAsia="仿宋" w:cs="仿宋"/>
          <w:sz w:val="32"/>
          <w:szCs w:val="32"/>
        </w:rPr>
      </w:pPr>
    </w:p>
    <w:p>
      <w:pPr>
        <w:numPr>
          <w:ilvl w:val="0"/>
          <w:numId w:val="11"/>
        </w:numPr>
        <w:ind w:leftChars="0" w:firstLine="640" w:firstLineChars="200"/>
        <w:rPr>
          <w:rFonts w:hint="eastAsia" w:ascii="仿宋" w:hAnsi="仿宋" w:eastAsia="仿宋" w:cs="仿宋"/>
          <w:sz w:val="32"/>
          <w:szCs w:val="32"/>
        </w:rPr>
      </w:pPr>
      <w:r>
        <w:rPr>
          <w:rFonts w:hint="eastAsia" w:ascii="仿宋" w:hAnsi="仿宋" w:eastAsia="仿宋" w:cs="仿宋"/>
          <w:sz w:val="32"/>
          <w:szCs w:val="32"/>
        </w:rPr>
        <w:t>绩效评价工作开展情况。</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2018年，区委宣传部对2018年度部门项目支出实施绩效评价，评价项目2个</w:t>
      </w:r>
      <w:r>
        <w:rPr>
          <w:rFonts w:hint="eastAsia" w:ascii="仿宋" w:hAnsi="仿宋" w:eastAsia="仿宋" w:cs="仿宋"/>
          <w:sz w:val="32"/>
          <w:szCs w:val="32"/>
          <w:lang w:eastAsia="zh-CN"/>
        </w:rPr>
        <w:t>，</w:t>
      </w:r>
      <w:r>
        <w:rPr>
          <w:rFonts w:hint="eastAsia" w:ascii="仿宋" w:hAnsi="仿宋" w:eastAsia="仿宋" w:cs="仿宋"/>
          <w:sz w:val="32"/>
          <w:szCs w:val="32"/>
        </w:rPr>
        <w:t>涉及金额340万元。</w:t>
      </w:r>
    </w:p>
    <w:p>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 xml:space="preserve">专版费项目绩效评价报告 </w:t>
      </w:r>
    </w:p>
    <w:p>
      <w:pPr>
        <w:numPr>
          <w:ilvl w:val="0"/>
          <w:numId w:val="12"/>
        </w:numPr>
        <w:ind w:firstLine="640" w:firstLineChars="200"/>
        <w:rPr>
          <w:rFonts w:hint="eastAsia" w:ascii="仿宋" w:hAnsi="仿宋" w:eastAsia="仿宋" w:cs="仿宋"/>
          <w:sz w:val="32"/>
          <w:szCs w:val="32"/>
        </w:rPr>
      </w:pPr>
      <w:r>
        <w:rPr>
          <w:rFonts w:hint="eastAsia" w:ascii="仿宋" w:hAnsi="仿宋" w:eastAsia="仿宋" w:cs="仿宋"/>
          <w:sz w:val="32"/>
          <w:szCs w:val="32"/>
        </w:rPr>
        <w:t>评价对象概况 2018年，围绕全国两会、市区“两会”、街巷治理、功能区建设、改革开放40周年等主题，在《人民政协报》《北京日报》等中央市属媒体制作推出系列专版报道。</w:t>
      </w:r>
    </w:p>
    <w:p>
      <w:pPr>
        <w:numPr>
          <w:ilvl w:val="0"/>
          <w:numId w:val="12"/>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评价结论 </w:t>
      </w:r>
    </w:p>
    <w:p>
      <w:pPr>
        <w:numPr>
          <w:ilvl w:val="0"/>
          <w:numId w:val="13"/>
        </w:numPr>
        <w:ind w:firstLine="640" w:firstLineChars="200"/>
        <w:rPr>
          <w:rFonts w:hint="eastAsia" w:ascii="仿宋" w:hAnsi="仿宋" w:eastAsia="仿宋" w:cs="仿宋"/>
          <w:sz w:val="32"/>
          <w:szCs w:val="32"/>
        </w:rPr>
      </w:pPr>
      <w:r>
        <w:rPr>
          <w:rFonts w:hint="eastAsia" w:ascii="仿宋" w:hAnsi="仿宋" w:eastAsia="仿宋" w:cs="仿宋"/>
          <w:sz w:val="32"/>
          <w:szCs w:val="32"/>
        </w:rPr>
        <w:t>本项目绩效目标明确，各子项目阶段性目标细化。</w:t>
      </w:r>
    </w:p>
    <w:p>
      <w:pPr>
        <w:numPr>
          <w:ilvl w:val="0"/>
          <w:numId w:val="1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本项目决策过程合理可行，决策依据充分，决策程序合理合法。</w:t>
      </w:r>
      <w:bookmarkStart w:id="0" w:name="_GoBack"/>
      <w:bookmarkEnd w:id="0"/>
    </w:p>
    <w:p>
      <w:pPr>
        <w:numPr>
          <w:ilvl w:val="0"/>
          <w:numId w:val="1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本项目管理完善。（1）本项目建立了完善的组织架构和相应的管理制度</w:t>
      </w:r>
      <w:r>
        <w:rPr>
          <w:rFonts w:hint="eastAsia" w:ascii="仿宋" w:hAnsi="仿宋" w:eastAsia="仿宋" w:cs="仿宋"/>
          <w:sz w:val="32"/>
          <w:szCs w:val="32"/>
          <w:lang w:eastAsia="zh-CN"/>
        </w:rPr>
        <w:t>。</w:t>
      </w:r>
      <w:r>
        <w:rPr>
          <w:rFonts w:hint="eastAsia" w:ascii="仿宋" w:hAnsi="仿宋" w:eastAsia="仿宋" w:cs="仿宋"/>
          <w:sz w:val="32"/>
          <w:szCs w:val="32"/>
        </w:rPr>
        <w:t xml:space="preserve">（2）项目预算编制合理细化，并获得了财政部门的预算批复；资金使用严格按照《管理办法》执行。（3）项目实施过程合理合法。各子项目均依法进行了招投标工作；聘请了律师事务所和会计师事务所全程跟踪服务；项目资料管理完善。（4）项目绩效目标均达到了预期目标，项目产出符合绩效目标，项目产出成本控制批复预算内，项目效果良好。（5）通过专版报道，讲述好丰台故事，传播好丰台好声音，塑造好丰台品牌，展示好丰台形象，为区域发展营造了良好舆论氛围。 </w:t>
      </w:r>
    </w:p>
    <w:p>
      <w:pPr>
        <w:numPr>
          <w:ilvl w:val="0"/>
          <w:numId w:val="12"/>
        </w:num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存在问题</w:t>
      </w:r>
    </w:p>
    <w:p>
      <w:pPr>
        <w:numPr>
          <w:ilvl w:val="0"/>
          <w:numId w:val="0"/>
        </w:numPr>
        <w:ind w:leftChars="200"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无</w:t>
      </w:r>
      <w:r>
        <w:rPr>
          <w:rFonts w:hint="eastAsia" w:ascii="仿宋" w:hAnsi="仿宋" w:eastAsia="仿宋" w:cs="仿宋"/>
          <w:sz w:val="32"/>
          <w:szCs w:val="32"/>
          <w:lang w:eastAsia="zh-CN"/>
        </w:rPr>
        <w:t>。</w:t>
      </w:r>
    </w:p>
    <w:p>
      <w:pPr>
        <w:numPr>
          <w:ilvl w:val="0"/>
          <w:numId w:val="12"/>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建议</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 xml:space="preserve">无 </w:t>
      </w:r>
      <w:r>
        <w:rPr>
          <w:rFonts w:hint="eastAsia" w:ascii="仿宋" w:hAnsi="仿宋" w:eastAsia="仿宋" w:cs="仿宋"/>
          <w:sz w:val="32"/>
          <w:szCs w:val="32"/>
          <w:lang w:eastAsia="zh-CN"/>
        </w:rPr>
        <w:t>。</w:t>
      </w:r>
    </w:p>
    <w:p>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北京电视台战略合作经费项目绩效评价报告</w:t>
      </w:r>
    </w:p>
    <w:p>
      <w:pPr>
        <w:numPr>
          <w:ilvl w:val="0"/>
          <w:numId w:val="14"/>
        </w:numPr>
        <w:ind w:firstLine="640" w:firstLineChars="200"/>
        <w:rPr>
          <w:rFonts w:hint="eastAsia" w:ascii="仿宋" w:hAnsi="仿宋" w:eastAsia="仿宋" w:cs="仿宋"/>
          <w:sz w:val="32"/>
          <w:szCs w:val="32"/>
        </w:rPr>
      </w:pPr>
      <w:r>
        <w:rPr>
          <w:rFonts w:hint="eastAsia" w:ascii="仿宋" w:hAnsi="仿宋" w:eastAsia="仿宋" w:cs="仿宋"/>
          <w:sz w:val="32"/>
          <w:szCs w:val="32"/>
        </w:rPr>
        <w:t>评价对象概况： 北京电视台围绕2018中国戏曲文化周的特色亮点，首次开设“聚焦中国戏曲文化周”专栏, 通过探秘活动筹备、探访重点活动，在北京电视台《北京新闻》《特别关注》等栏目共计播发了16期宣传报道。</w:t>
      </w:r>
    </w:p>
    <w:p>
      <w:pPr>
        <w:numPr>
          <w:ilvl w:val="0"/>
          <w:numId w:val="14"/>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评价结论：</w:t>
      </w:r>
    </w:p>
    <w:p>
      <w:pPr>
        <w:numPr>
          <w:ilvl w:val="0"/>
          <w:numId w:val="15"/>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本项目绩效目标明确，各子项目阶段性目标细化。 </w:t>
      </w:r>
    </w:p>
    <w:p>
      <w:pPr>
        <w:numPr>
          <w:ilvl w:val="0"/>
          <w:numId w:val="15"/>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本项目决策过程合理可行，决策依据充分，决策程序合理合法。</w:t>
      </w:r>
    </w:p>
    <w:p>
      <w:pPr>
        <w:numPr>
          <w:ilvl w:val="0"/>
          <w:numId w:val="15"/>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本项目管理完善。（1）本项目建立了完善的组织架构和相应的管理制度。（2）项目预算编制合理细化，并获得了财政部门的预算批复；资金使用严格按照《管理办法》执行。（3）项目实施过程合理合法。各子项目均依法进行了招投标工作；聘请了律师事务所和会计师事务所全程跟踪服务；项目资料管理完善。（4）项目绩效目标均达到了预期目标，项目产出符合绩效目标，项目产出成本控制批复预算内，项目效果良好。（5）通过系列报道，有力弘扬了中华优秀传统文化，打造戏曲文化品牌，为首都增添喜庆、热闹的节日氛围，彰显了丰台区的城市形象。</w:t>
      </w:r>
    </w:p>
    <w:p>
      <w:pPr>
        <w:numPr>
          <w:ilvl w:val="0"/>
          <w:numId w:val="14"/>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存在问题</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无</w:t>
      </w:r>
      <w:r>
        <w:rPr>
          <w:rFonts w:hint="eastAsia" w:ascii="仿宋" w:hAnsi="仿宋" w:eastAsia="仿宋" w:cs="仿宋"/>
          <w:sz w:val="32"/>
          <w:szCs w:val="32"/>
          <w:lang w:eastAsia="zh-CN"/>
        </w:rPr>
        <w:t>。</w:t>
      </w:r>
    </w:p>
    <w:p>
      <w:pPr>
        <w:numPr>
          <w:ilvl w:val="0"/>
          <w:numId w:val="14"/>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建议</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无</w:t>
      </w:r>
      <w:r>
        <w:rPr>
          <w:rFonts w:hint="eastAsia" w:ascii="仿宋" w:hAnsi="仿宋" w:eastAsia="仿宋" w:cs="仿宋"/>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2B1A3"/>
    <w:multiLevelType w:val="singleLevel"/>
    <w:tmpl w:val="96E2B1A3"/>
    <w:lvl w:ilvl="0" w:tentative="0">
      <w:start w:val="1"/>
      <w:numFmt w:val="chineseCounting"/>
      <w:suff w:val="nothing"/>
      <w:lvlText w:val="（%1）"/>
      <w:lvlJc w:val="left"/>
      <w:rPr>
        <w:rFonts w:hint="eastAsia"/>
      </w:rPr>
    </w:lvl>
  </w:abstractNum>
  <w:abstractNum w:abstractNumId="1">
    <w:nsid w:val="9D629590"/>
    <w:multiLevelType w:val="singleLevel"/>
    <w:tmpl w:val="9D629590"/>
    <w:lvl w:ilvl="0" w:tentative="0">
      <w:start w:val="1"/>
      <w:numFmt w:val="decimal"/>
      <w:suff w:val="nothing"/>
      <w:lvlText w:val="%1、"/>
      <w:lvlJc w:val="left"/>
    </w:lvl>
  </w:abstractNum>
  <w:abstractNum w:abstractNumId="2">
    <w:nsid w:val="B9514641"/>
    <w:multiLevelType w:val="singleLevel"/>
    <w:tmpl w:val="B9514641"/>
    <w:lvl w:ilvl="0" w:tentative="0">
      <w:start w:val="1"/>
      <w:numFmt w:val="chineseCounting"/>
      <w:suff w:val="space"/>
      <w:lvlText w:val="第%1部分"/>
      <w:lvlJc w:val="left"/>
      <w:rPr>
        <w:rFonts w:hint="eastAsia"/>
      </w:rPr>
    </w:lvl>
  </w:abstractNum>
  <w:abstractNum w:abstractNumId="3">
    <w:nsid w:val="C660D419"/>
    <w:multiLevelType w:val="singleLevel"/>
    <w:tmpl w:val="C660D419"/>
    <w:lvl w:ilvl="0" w:tentative="0">
      <w:start w:val="1"/>
      <w:numFmt w:val="chineseCounting"/>
      <w:suff w:val="nothing"/>
      <w:lvlText w:val="（%1）"/>
      <w:lvlJc w:val="left"/>
      <w:rPr>
        <w:rFonts w:hint="eastAsia"/>
      </w:rPr>
    </w:lvl>
  </w:abstractNum>
  <w:abstractNum w:abstractNumId="4">
    <w:nsid w:val="CCB94F69"/>
    <w:multiLevelType w:val="singleLevel"/>
    <w:tmpl w:val="CCB94F69"/>
    <w:lvl w:ilvl="0" w:tentative="0">
      <w:start w:val="1"/>
      <w:numFmt w:val="chineseCounting"/>
      <w:suff w:val="space"/>
      <w:lvlText w:val="%1、"/>
      <w:lvlJc w:val="left"/>
      <w:pPr>
        <w:ind w:left="-10"/>
      </w:pPr>
      <w:rPr>
        <w:rFonts w:hint="eastAsia"/>
      </w:rPr>
    </w:lvl>
  </w:abstractNum>
  <w:abstractNum w:abstractNumId="5">
    <w:nsid w:val="E5374BD6"/>
    <w:multiLevelType w:val="singleLevel"/>
    <w:tmpl w:val="E5374BD6"/>
    <w:lvl w:ilvl="0" w:tentative="0">
      <w:start w:val="1"/>
      <w:numFmt w:val="chineseCounting"/>
      <w:suff w:val="nothing"/>
      <w:lvlText w:val="%1、"/>
      <w:lvlJc w:val="left"/>
      <w:rPr>
        <w:rFonts w:hint="eastAsia"/>
      </w:rPr>
    </w:lvl>
  </w:abstractNum>
  <w:abstractNum w:abstractNumId="6">
    <w:nsid w:val="E6AA98C2"/>
    <w:multiLevelType w:val="singleLevel"/>
    <w:tmpl w:val="E6AA98C2"/>
    <w:lvl w:ilvl="0" w:tentative="0">
      <w:start w:val="1"/>
      <w:numFmt w:val="decimal"/>
      <w:suff w:val="nothing"/>
      <w:lvlText w:val="%1、"/>
      <w:lvlJc w:val="left"/>
    </w:lvl>
  </w:abstractNum>
  <w:abstractNum w:abstractNumId="7">
    <w:nsid w:val="FFA6A113"/>
    <w:multiLevelType w:val="singleLevel"/>
    <w:tmpl w:val="FFA6A113"/>
    <w:lvl w:ilvl="0" w:tentative="0">
      <w:start w:val="1"/>
      <w:numFmt w:val="decimal"/>
      <w:suff w:val="nothing"/>
      <w:lvlText w:val="%1、"/>
      <w:lvlJc w:val="left"/>
    </w:lvl>
  </w:abstractNum>
  <w:abstractNum w:abstractNumId="8">
    <w:nsid w:val="020D2C45"/>
    <w:multiLevelType w:val="singleLevel"/>
    <w:tmpl w:val="020D2C45"/>
    <w:lvl w:ilvl="0" w:tentative="0">
      <w:start w:val="1"/>
      <w:numFmt w:val="chineseCounting"/>
      <w:suff w:val="nothing"/>
      <w:lvlText w:val="（%1）"/>
      <w:lvlJc w:val="left"/>
      <w:rPr>
        <w:rFonts w:hint="eastAsia"/>
      </w:rPr>
    </w:lvl>
  </w:abstractNum>
  <w:abstractNum w:abstractNumId="9">
    <w:nsid w:val="1897E027"/>
    <w:multiLevelType w:val="singleLevel"/>
    <w:tmpl w:val="1897E027"/>
    <w:lvl w:ilvl="0" w:tentative="0">
      <w:start w:val="1"/>
      <w:numFmt w:val="chineseCounting"/>
      <w:suff w:val="nothing"/>
      <w:lvlText w:val="%1、"/>
      <w:lvlJc w:val="left"/>
      <w:rPr>
        <w:rFonts w:hint="eastAsia"/>
      </w:rPr>
    </w:lvl>
  </w:abstractNum>
  <w:abstractNum w:abstractNumId="10">
    <w:nsid w:val="18A2B099"/>
    <w:multiLevelType w:val="singleLevel"/>
    <w:tmpl w:val="18A2B099"/>
    <w:lvl w:ilvl="0" w:tentative="0">
      <w:start w:val="1"/>
      <w:numFmt w:val="decimal"/>
      <w:suff w:val="nothing"/>
      <w:lvlText w:val="%1、"/>
      <w:lvlJc w:val="left"/>
    </w:lvl>
  </w:abstractNum>
  <w:abstractNum w:abstractNumId="11">
    <w:nsid w:val="1DDE4EA2"/>
    <w:multiLevelType w:val="singleLevel"/>
    <w:tmpl w:val="1DDE4EA2"/>
    <w:lvl w:ilvl="0" w:tentative="0">
      <w:start w:val="1"/>
      <w:numFmt w:val="chineseCounting"/>
      <w:suff w:val="nothing"/>
      <w:lvlText w:val="（%1）"/>
      <w:lvlJc w:val="left"/>
      <w:rPr>
        <w:rFonts w:hint="eastAsia"/>
      </w:rPr>
    </w:lvl>
  </w:abstractNum>
  <w:abstractNum w:abstractNumId="12">
    <w:nsid w:val="35688C79"/>
    <w:multiLevelType w:val="singleLevel"/>
    <w:tmpl w:val="35688C79"/>
    <w:lvl w:ilvl="0" w:tentative="0">
      <w:start w:val="1"/>
      <w:numFmt w:val="decimal"/>
      <w:lvlText w:val="%1."/>
      <w:lvlJc w:val="left"/>
      <w:pPr>
        <w:tabs>
          <w:tab w:val="left" w:pos="312"/>
        </w:tabs>
      </w:pPr>
    </w:lvl>
  </w:abstractNum>
  <w:abstractNum w:abstractNumId="13">
    <w:nsid w:val="62891368"/>
    <w:multiLevelType w:val="singleLevel"/>
    <w:tmpl w:val="62891368"/>
    <w:lvl w:ilvl="0" w:tentative="0">
      <w:start w:val="1"/>
      <w:numFmt w:val="chineseCounting"/>
      <w:suff w:val="nothing"/>
      <w:lvlText w:val="（%1）"/>
      <w:lvlJc w:val="left"/>
      <w:rPr>
        <w:rFonts w:hint="eastAsia"/>
      </w:rPr>
    </w:lvl>
  </w:abstractNum>
  <w:abstractNum w:abstractNumId="14">
    <w:nsid w:val="6D3E82BF"/>
    <w:multiLevelType w:val="singleLevel"/>
    <w:tmpl w:val="6D3E82BF"/>
    <w:lvl w:ilvl="0" w:tentative="0">
      <w:start w:val="1"/>
      <w:numFmt w:val="chineseCounting"/>
      <w:suff w:val="nothing"/>
      <w:lvlText w:val="（%1）"/>
      <w:lvlJc w:val="left"/>
      <w:rPr>
        <w:rFonts w:hint="eastAsia"/>
      </w:rPr>
    </w:lvl>
  </w:abstractNum>
  <w:num w:numId="1">
    <w:abstractNumId w:val="2"/>
  </w:num>
  <w:num w:numId="2">
    <w:abstractNumId w:val="4"/>
  </w:num>
  <w:num w:numId="3">
    <w:abstractNumId w:val="11"/>
  </w:num>
  <w:num w:numId="4">
    <w:abstractNumId w:val="7"/>
  </w:num>
  <w:num w:numId="5">
    <w:abstractNumId w:val="3"/>
  </w:num>
  <w:num w:numId="6">
    <w:abstractNumId w:val="0"/>
  </w:num>
  <w:num w:numId="7">
    <w:abstractNumId w:val="6"/>
  </w:num>
  <w:num w:numId="8">
    <w:abstractNumId w:val="14"/>
  </w:num>
  <w:num w:numId="9">
    <w:abstractNumId w:val="5"/>
  </w:num>
  <w:num w:numId="10">
    <w:abstractNumId w:val="12"/>
  </w:num>
  <w:num w:numId="11">
    <w:abstractNumId w:val="9"/>
  </w:num>
  <w:num w:numId="12">
    <w:abstractNumId w:val="8"/>
  </w:num>
  <w:num w:numId="13">
    <w:abstractNumId w:val="1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adade130-f3ab-4578-9a6a-6d51cf9c8af1"/>
  </w:docVars>
  <w:rsids>
    <w:rsidRoot w:val="459D073C"/>
    <w:rsid w:val="172320A5"/>
    <w:rsid w:val="18AB41D0"/>
    <w:rsid w:val="1B53398E"/>
    <w:rsid w:val="290E5BF9"/>
    <w:rsid w:val="320E2661"/>
    <w:rsid w:val="459D073C"/>
    <w:rsid w:val="7BA77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4619</Words>
  <Characters>5201</Characters>
  <Lines>0</Lines>
  <Paragraphs>0</Paragraphs>
  <TotalTime>21</TotalTime>
  <ScaleCrop>false</ScaleCrop>
  <LinksUpToDate>false</LinksUpToDate>
  <CharactersWithSpaces>5230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2021-06-16T03:22:00Z</dcterms:created>
  <dc:creator>SYSTEM</dc:creator>
  <cp:lastModifiedBy>血月舞殇</cp:lastModifiedBy>
  <dcterms:modified xsi:type="dcterms:W3CDTF">2025-03-26T07:34:06Z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2E73C6A02D4941E3899302CD9916ADF0</vt:lpwstr>
  </property>
</Properties>
</file>