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F602B">
      <w:pPr>
        <w:spacing w:before="62" w:beforeLines="20" w:line="540" w:lineRule="exact"/>
        <w:jc w:val="center"/>
        <w:rPr>
          <w:rFonts w:ascii="方正小标宋简体" w:hAnsi="宋体" w:eastAsia="方正小标宋简体" w:cs="宋体"/>
          <w:bCs/>
          <w:spacing w:val="20"/>
          <w:sz w:val="44"/>
          <w:szCs w:val="44"/>
        </w:rPr>
      </w:pPr>
      <w:r>
        <w:rPr>
          <w:rFonts w:hint="eastAsia" w:ascii="方正小标宋简体" w:hAnsi="宋体" w:eastAsia="方正小标宋简体" w:cs="宋体"/>
          <w:bCs/>
          <w:spacing w:val="20"/>
          <w:sz w:val="44"/>
          <w:szCs w:val="44"/>
        </w:rPr>
        <w:t>关于丰台区2018年决算草案的报告</w:t>
      </w:r>
      <w:bookmarkStart w:id="0" w:name="_GoBack"/>
      <w:bookmarkEnd w:id="0"/>
    </w:p>
    <w:p w14:paraId="33A3A452">
      <w:pPr>
        <w:spacing w:before="62" w:beforeLines="20" w:line="540" w:lineRule="exact"/>
        <w:jc w:val="center"/>
        <w:rPr>
          <w:rFonts w:ascii="仿宋_GB2312" w:hAnsi="Times New Roman" w:eastAsia="仿宋_GB2312" w:cs="Times New Roman"/>
          <w:spacing w:val="20"/>
          <w:kern w:val="0"/>
          <w:sz w:val="32"/>
          <w:szCs w:val="32"/>
        </w:rPr>
      </w:pPr>
    </w:p>
    <w:p w14:paraId="59CBA365">
      <w:pPr>
        <w:adjustRightInd w:val="0"/>
        <w:snapToGrid w:val="0"/>
        <w:spacing w:before="62" w:beforeLines="20" w:line="540" w:lineRule="exact"/>
        <w:jc w:val="center"/>
        <w:rPr>
          <w:rFonts w:ascii="仿宋_GB2312" w:hAnsi="Times New Roman" w:eastAsia="仿宋_GB2312" w:cs="Times New Roman"/>
          <w:spacing w:val="20"/>
          <w:kern w:val="0"/>
          <w:sz w:val="32"/>
          <w:szCs w:val="32"/>
        </w:rPr>
      </w:pPr>
      <w:r>
        <w:rPr>
          <w:rFonts w:hint="eastAsia" w:ascii="仿宋_GB2312" w:hAnsi="Times New Roman" w:eastAsia="仿宋_GB2312" w:cs="Times New Roman"/>
          <w:spacing w:val="20"/>
          <w:kern w:val="0"/>
          <w:sz w:val="32"/>
          <w:szCs w:val="32"/>
        </w:rPr>
        <w:t>——2019年7月25日在丰台区第十六届人民代表大会常务委员会第二十一次会议上</w:t>
      </w:r>
    </w:p>
    <w:p w14:paraId="6AC0CBC2">
      <w:pPr>
        <w:spacing w:before="62" w:beforeLines="20" w:line="540" w:lineRule="exact"/>
        <w:jc w:val="center"/>
        <w:rPr>
          <w:rFonts w:ascii="楷体_GB2312" w:hAnsi="楷体" w:eastAsia="楷体_GB2312" w:cs="Times New Roman"/>
          <w:b/>
          <w:sz w:val="32"/>
          <w:szCs w:val="32"/>
        </w:rPr>
      </w:pPr>
      <w:r>
        <w:rPr>
          <w:rFonts w:hint="eastAsia" w:ascii="楷体_GB2312" w:hAnsi="楷体" w:eastAsia="楷体_GB2312" w:cs="Times New Roman"/>
          <w:b/>
          <w:sz w:val="32"/>
          <w:szCs w:val="32"/>
        </w:rPr>
        <w:t>丰台区财政局局长  陈燃</w:t>
      </w:r>
    </w:p>
    <w:p w14:paraId="2FC0E4F8">
      <w:pPr>
        <w:spacing w:before="62" w:beforeLines="20" w:line="540" w:lineRule="exact"/>
        <w:rPr>
          <w:rFonts w:ascii="楷体_GB2312" w:hAnsi="Times New Roman" w:eastAsia="楷体_GB2312" w:cs="Times New Roman"/>
          <w:b/>
          <w:bCs/>
          <w:sz w:val="32"/>
          <w:szCs w:val="32"/>
        </w:rPr>
      </w:pPr>
    </w:p>
    <w:p w14:paraId="258D74C1">
      <w:pPr>
        <w:spacing w:line="560" w:lineRule="exact"/>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主任、各位副主任、各位委员：</w:t>
      </w:r>
    </w:p>
    <w:p w14:paraId="736C234D">
      <w:pPr>
        <w:spacing w:line="560" w:lineRule="exact"/>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区十六届人大六次会议审查批准了《关于丰台区2018年预算执行情况和2018年预算草案的报告》。目前丰台区2018年决算草案已汇编完成，按照《中华人民共和国预算法》、《北京市丰台区预算审查监督办法》及区人大常委会工作安排，我受区人民政府委托，向区人大常委会汇报丰台区2018年决算情况，请予审查。</w:t>
      </w:r>
    </w:p>
    <w:p w14:paraId="00CF9983">
      <w:pPr>
        <w:spacing w:line="560" w:lineRule="exact"/>
        <w:ind w:firstLine="640" w:firstLineChars="200"/>
        <w:jc w:val="left"/>
        <w:rPr>
          <w:rFonts w:ascii="黑体" w:hAnsi="黑体" w:eastAsia="黑体"/>
          <w:sz w:val="32"/>
          <w:szCs w:val="32"/>
        </w:rPr>
      </w:pPr>
      <w:r>
        <w:rPr>
          <w:rFonts w:hint="eastAsia" w:ascii="黑体" w:hAnsi="黑体" w:eastAsia="黑体"/>
          <w:sz w:val="32"/>
          <w:szCs w:val="32"/>
        </w:rPr>
        <w:t>一、2018年财政决算情况</w:t>
      </w:r>
    </w:p>
    <w:p w14:paraId="2C61A91B">
      <w:pPr>
        <w:spacing w:line="560" w:lineRule="exact"/>
        <w:ind w:firstLine="643" w:firstLineChars="200"/>
        <w:jc w:val="left"/>
        <w:rPr>
          <w:rFonts w:ascii="楷体_GB2312" w:hAnsi="楷体" w:eastAsia="楷体_GB2312"/>
          <w:b/>
          <w:sz w:val="32"/>
          <w:szCs w:val="32"/>
        </w:rPr>
      </w:pPr>
      <w:r>
        <w:rPr>
          <w:rFonts w:hint="eastAsia" w:ascii="楷体_GB2312" w:hAnsi="楷体" w:eastAsia="楷体_GB2312"/>
          <w:b/>
          <w:sz w:val="32"/>
          <w:szCs w:val="32"/>
        </w:rPr>
        <w:t>（一）一般公共预算收支决算情况</w:t>
      </w:r>
    </w:p>
    <w:p w14:paraId="62D53123">
      <w:pPr>
        <w:spacing w:line="560" w:lineRule="exact"/>
        <w:ind w:firstLine="640" w:firstLineChars="200"/>
        <w:rPr>
          <w:rFonts w:ascii="仿宋_GB2312" w:eastAsia="仿宋_GB2312"/>
          <w:sz w:val="32"/>
          <w:szCs w:val="32"/>
        </w:rPr>
      </w:pPr>
      <w:r>
        <w:rPr>
          <w:rFonts w:hint="eastAsia" w:ascii="仿宋_GB2312" w:eastAsia="仿宋_GB2312"/>
          <w:sz w:val="32"/>
          <w:szCs w:val="32"/>
        </w:rPr>
        <w:t>1.一般公共预算收入情况</w:t>
      </w:r>
    </w:p>
    <w:p w14:paraId="1FFF032C">
      <w:pPr>
        <w:spacing w:line="560" w:lineRule="exact"/>
        <w:ind w:firstLine="643" w:firstLineChars="200"/>
        <w:rPr>
          <w:rFonts w:ascii="仿宋_GB2312" w:eastAsia="仿宋_GB2312"/>
          <w:sz w:val="32"/>
          <w:szCs w:val="32"/>
        </w:rPr>
      </w:pPr>
      <w:r>
        <w:rPr>
          <w:rFonts w:hint="eastAsia" w:ascii="仿宋_GB2312" w:eastAsia="仿宋_GB2312"/>
          <w:b/>
          <w:sz w:val="32"/>
          <w:szCs w:val="32"/>
        </w:rPr>
        <w:t>一般公共预算收入</w:t>
      </w:r>
      <w:r>
        <w:rPr>
          <w:rFonts w:hint="eastAsia" w:ascii="仿宋_GB2312" w:eastAsia="仿宋_GB2312"/>
          <w:sz w:val="32"/>
          <w:szCs w:val="32"/>
        </w:rPr>
        <w:t>完成1</w:t>
      </w:r>
      <w:r>
        <w:rPr>
          <w:rFonts w:ascii="仿宋_GB2312" w:eastAsia="仿宋_GB2312"/>
          <w:sz w:val="32"/>
          <w:szCs w:val="32"/>
        </w:rPr>
        <w:t>,</w:t>
      </w:r>
      <w:r>
        <w:rPr>
          <w:rFonts w:hint="eastAsia" w:ascii="仿宋_GB2312" w:eastAsia="仿宋_GB2312"/>
          <w:sz w:val="32"/>
          <w:szCs w:val="32"/>
        </w:rPr>
        <w:t>216,034万元，增长7.5%，完成调整预算1</w:t>
      </w:r>
      <w:r>
        <w:rPr>
          <w:rFonts w:ascii="仿宋_GB2312" w:eastAsia="仿宋_GB2312"/>
          <w:sz w:val="32"/>
          <w:szCs w:val="32"/>
        </w:rPr>
        <w:t>,</w:t>
      </w:r>
      <w:r>
        <w:rPr>
          <w:rFonts w:hint="eastAsia" w:ascii="仿宋_GB2312" w:eastAsia="仿宋_GB2312"/>
          <w:sz w:val="32"/>
          <w:szCs w:val="32"/>
        </w:rPr>
        <w:t>216</w:t>
      </w:r>
      <w:r>
        <w:rPr>
          <w:rFonts w:ascii="仿宋_GB2312" w:eastAsia="仿宋_GB2312"/>
          <w:sz w:val="32"/>
          <w:szCs w:val="32"/>
        </w:rPr>
        <w:t>,</w:t>
      </w:r>
      <w:r>
        <w:rPr>
          <w:rFonts w:hint="eastAsia" w:ascii="仿宋_GB2312" w:eastAsia="仿宋_GB2312"/>
          <w:sz w:val="32"/>
          <w:szCs w:val="32"/>
        </w:rPr>
        <w:t>000万元的100%。</w:t>
      </w:r>
    </w:p>
    <w:p w14:paraId="60D78169">
      <w:pPr>
        <w:spacing w:line="560" w:lineRule="exact"/>
        <w:ind w:firstLine="640" w:firstLineChars="200"/>
        <w:rPr>
          <w:rFonts w:ascii="仿宋_GB2312" w:eastAsia="仿宋_GB2312"/>
          <w:sz w:val="32"/>
          <w:szCs w:val="32"/>
        </w:rPr>
      </w:pPr>
      <w:r>
        <w:rPr>
          <w:rFonts w:hint="eastAsia" w:ascii="仿宋_GB2312" w:eastAsia="仿宋_GB2312"/>
          <w:sz w:val="32"/>
          <w:szCs w:val="32"/>
        </w:rPr>
        <w:t>在收入完成1,216,034万元基础上，加上市体制返还及补助815,818万元、预算稳定调节基金调入</w:t>
      </w:r>
      <w:r>
        <w:rPr>
          <w:rFonts w:ascii="仿宋_GB2312" w:eastAsia="仿宋_GB2312"/>
          <w:sz w:val="32"/>
          <w:szCs w:val="32"/>
        </w:rPr>
        <w:t>106,1</w:t>
      </w:r>
      <w:r>
        <w:rPr>
          <w:rFonts w:hint="eastAsia" w:ascii="仿宋_GB2312" w:eastAsia="仿宋_GB2312"/>
          <w:sz w:val="32"/>
          <w:szCs w:val="32"/>
        </w:rPr>
        <w:t>11万元、国有资本经营预算调入637万元和其他资金调入1,673万元，以及动用上年结余资金</w:t>
      </w:r>
      <w:r>
        <w:rPr>
          <w:rFonts w:ascii="仿宋_GB2312" w:eastAsia="仿宋_GB2312"/>
          <w:sz w:val="32"/>
          <w:szCs w:val="32"/>
        </w:rPr>
        <w:t>16</w:t>
      </w: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sz w:val="32"/>
          <w:szCs w:val="32"/>
        </w:rPr>
        <w:t>006万元和再融资债券转贷收入84</w:t>
      </w:r>
      <w:r>
        <w:rPr>
          <w:rFonts w:ascii="仿宋_GB2312" w:eastAsia="仿宋_GB2312"/>
          <w:sz w:val="32"/>
          <w:szCs w:val="32"/>
        </w:rPr>
        <w:t>,</w:t>
      </w:r>
      <w:r>
        <w:rPr>
          <w:rFonts w:hint="eastAsia" w:ascii="仿宋_GB2312" w:eastAsia="仿宋_GB2312"/>
          <w:sz w:val="32"/>
          <w:szCs w:val="32"/>
        </w:rPr>
        <w:t>199万元，</w:t>
      </w:r>
      <w:r>
        <w:rPr>
          <w:rFonts w:hint="eastAsia" w:ascii="仿宋_GB2312" w:eastAsia="仿宋_GB2312"/>
          <w:b/>
          <w:sz w:val="32"/>
          <w:szCs w:val="32"/>
        </w:rPr>
        <w:t>区级收入</w:t>
      </w:r>
      <w:r>
        <w:rPr>
          <w:rFonts w:hint="eastAsia" w:ascii="仿宋_GB2312" w:eastAsia="仿宋_GB2312"/>
          <w:sz w:val="32"/>
          <w:szCs w:val="32"/>
        </w:rPr>
        <w:t>为2</w:t>
      </w:r>
      <w:r>
        <w:rPr>
          <w:rFonts w:ascii="仿宋_GB2312" w:eastAsia="仿宋_GB2312"/>
          <w:sz w:val="32"/>
          <w:szCs w:val="32"/>
        </w:rPr>
        <w:t>,</w:t>
      </w:r>
      <w:r>
        <w:rPr>
          <w:rFonts w:hint="eastAsia" w:ascii="仿宋_GB2312" w:eastAsia="仿宋_GB2312"/>
          <w:sz w:val="32"/>
          <w:szCs w:val="32"/>
        </w:rPr>
        <w:t>386,478万元。再加上专项转移支付资金462,888万元，</w:t>
      </w:r>
      <w:r>
        <w:rPr>
          <w:rFonts w:hint="eastAsia" w:ascii="仿宋_GB2312" w:eastAsia="仿宋_GB2312"/>
          <w:b/>
          <w:sz w:val="32"/>
          <w:szCs w:val="32"/>
        </w:rPr>
        <w:t>一般公共预算收入总量</w:t>
      </w:r>
      <w:r>
        <w:rPr>
          <w:rFonts w:hint="eastAsia" w:ascii="仿宋_GB2312" w:eastAsia="仿宋_GB2312"/>
          <w:sz w:val="32"/>
          <w:szCs w:val="32"/>
        </w:rPr>
        <w:t>为2,849,366万元。</w:t>
      </w:r>
    </w:p>
    <w:p w14:paraId="2018EA94">
      <w:pPr>
        <w:spacing w:line="560" w:lineRule="exact"/>
        <w:ind w:firstLine="640" w:firstLineChars="200"/>
        <w:rPr>
          <w:rFonts w:ascii="仿宋_GB2312" w:eastAsia="仿宋_GB2312"/>
          <w:sz w:val="32"/>
          <w:szCs w:val="32"/>
        </w:rPr>
      </w:pPr>
      <w:r>
        <w:rPr>
          <w:rFonts w:hint="eastAsia" w:ascii="仿宋_GB2312" w:eastAsia="仿宋_GB2312"/>
          <w:sz w:val="32"/>
          <w:szCs w:val="32"/>
        </w:rPr>
        <w:t>从收入决算的具体情况来看，</w:t>
      </w:r>
      <w:r>
        <w:rPr>
          <w:rFonts w:hint="eastAsia" w:ascii="仿宋_GB2312" w:eastAsia="仿宋_GB2312"/>
          <w:b/>
          <w:sz w:val="32"/>
          <w:szCs w:val="32"/>
        </w:rPr>
        <w:t>区本级税收收入</w:t>
      </w:r>
      <w:r>
        <w:rPr>
          <w:rFonts w:hint="eastAsia" w:ascii="仿宋_GB2312" w:eastAsia="仿宋_GB2312"/>
          <w:sz w:val="32"/>
          <w:szCs w:val="32"/>
        </w:rPr>
        <w:t>完成1,047,356万元，增长2.7%。其中：</w:t>
      </w:r>
      <w:r>
        <w:rPr>
          <w:rFonts w:hint="eastAsia" w:ascii="仿宋_GB2312" w:eastAsia="仿宋_GB2312"/>
          <w:b/>
          <w:sz w:val="32"/>
          <w:szCs w:val="32"/>
        </w:rPr>
        <w:t>增值税</w:t>
      </w:r>
      <w:r>
        <w:rPr>
          <w:rFonts w:hint="eastAsia" w:ascii="仿宋_GB2312" w:eastAsia="仿宋_GB2312"/>
          <w:sz w:val="32"/>
          <w:szCs w:val="32"/>
        </w:rPr>
        <w:t>完成410,463万元，同比增长5.3%，主要是经济运行平稳，金融、科技等产业发展较快，带动增值税持续稳定增长；</w:t>
      </w:r>
      <w:r>
        <w:rPr>
          <w:rFonts w:hint="eastAsia" w:ascii="仿宋_GB2312" w:eastAsia="仿宋_GB2312"/>
          <w:b/>
          <w:sz w:val="32"/>
          <w:szCs w:val="32"/>
        </w:rPr>
        <w:t>企业所得税</w:t>
      </w:r>
      <w:r>
        <w:rPr>
          <w:rFonts w:hint="eastAsia" w:ascii="仿宋_GB2312" w:eastAsia="仿宋_GB2312"/>
          <w:sz w:val="32"/>
          <w:szCs w:val="32"/>
        </w:rPr>
        <w:t>完成225,089万元，同比增长9.0%，主要是随着营商环境不断改善，市场活力得到有效释放，企业经营效益持续改善，带动企业所得税快速增长；</w:t>
      </w:r>
      <w:r>
        <w:rPr>
          <w:rFonts w:hint="eastAsia" w:ascii="仿宋_GB2312" w:eastAsia="仿宋_GB2312"/>
          <w:b/>
          <w:sz w:val="32"/>
          <w:szCs w:val="32"/>
        </w:rPr>
        <w:t>土地增值税</w:t>
      </w:r>
      <w:r>
        <w:rPr>
          <w:rFonts w:hint="eastAsia" w:ascii="仿宋_GB2312" w:eastAsia="仿宋_GB2312"/>
          <w:sz w:val="32"/>
          <w:szCs w:val="32"/>
        </w:rPr>
        <w:t>完成67,427万元，同比下降31.4%，受房地产宏观调控影响，土地上市节奏放缓，以及上年懋源置业缴纳5.3亿元土地增值税的一次性因素抬高同期基数，导致土地增值税呈现负增长；</w:t>
      </w:r>
      <w:r>
        <w:rPr>
          <w:rFonts w:hint="eastAsia" w:ascii="仿宋_GB2312" w:eastAsia="仿宋_GB2312"/>
          <w:b/>
          <w:sz w:val="32"/>
          <w:szCs w:val="32"/>
        </w:rPr>
        <w:t>房产税</w:t>
      </w:r>
      <w:r>
        <w:rPr>
          <w:rFonts w:hint="eastAsia" w:ascii="仿宋_GB2312" w:eastAsia="仿宋_GB2312"/>
          <w:sz w:val="32"/>
          <w:szCs w:val="32"/>
        </w:rPr>
        <w:t>完成165,640万元，同比增长13.4%，主要是房产税征管政策由按照房产原值征收调整为按照房屋租金价格征收，随着房屋租金价格上涨进一步带动了房产税增收。</w:t>
      </w:r>
    </w:p>
    <w:p w14:paraId="091C8F55">
      <w:pPr>
        <w:spacing w:line="560" w:lineRule="exact"/>
        <w:ind w:firstLine="643" w:firstLineChars="200"/>
        <w:rPr>
          <w:rFonts w:ascii="仿宋_GB2312" w:eastAsia="仿宋_GB2312"/>
          <w:sz w:val="32"/>
          <w:szCs w:val="32"/>
        </w:rPr>
      </w:pPr>
      <w:r>
        <w:rPr>
          <w:rFonts w:hint="eastAsia" w:ascii="仿宋_GB2312" w:eastAsia="仿宋_GB2312"/>
          <w:b/>
          <w:sz w:val="32"/>
          <w:szCs w:val="32"/>
        </w:rPr>
        <w:t>区本级非税收入</w:t>
      </w:r>
      <w:r>
        <w:rPr>
          <w:rFonts w:hint="eastAsia" w:ascii="仿宋_GB2312" w:eastAsia="仿宋_GB2312"/>
          <w:sz w:val="32"/>
          <w:szCs w:val="32"/>
        </w:rPr>
        <w:t>完成168,678万元，增长51.3%。其中：</w:t>
      </w:r>
      <w:r>
        <w:rPr>
          <w:rFonts w:hint="eastAsia" w:ascii="仿宋_GB2312" w:eastAsia="仿宋_GB2312"/>
          <w:b/>
          <w:sz w:val="32"/>
          <w:szCs w:val="32"/>
        </w:rPr>
        <w:t>专项收入</w:t>
      </w:r>
      <w:r>
        <w:rPr>
          <w:rFonts w:hint="eastAsia" w:ascii="仿宋_GB2312" w:eastAsia="仿宋_GB2312"/>
          <w:sz w:val="32"/>
          <w:szCs w:val="32"/>
        </w:rPr>
        <w:t>完成104,698万元，同比增长80.3%，主要是按规定从土地出让收益中计提的教育资金收入大幅增加，带动专项收入增长高于上年同期；</w:t>
      </w:r>
      <w:r>
        <w:rPr>
          <w:rFonts w:hint="eastAsia" w:ascii="仿宋_GB2312" w:eastAsia="仿宋_GB2312"/>
          <w:b/>
          <w:sz w:val="32"/>
          <w:szCs w:val="32"/>
        </w:rPr>
        <w:t>罚没收入</w:t>
      </w:r>
      <w:r>
        <w:rPr>
          <w:rFonts w:hint="eastAsia" w:ascii="仿宋_GB2312" w:eastAsia="仿宋_GB2312"/>
          <w:sz w:val="32"/>
          <w:szCs w:val="32"/>
        </w:rPr>
        <w:t>完成26,041万元，增长265.3%，主要是规划罚没18,000万元一次性收入因素带动罚没收入增长高于预期。</w:t>
      </w:r>
    </w:p>
    <w:p w14:paraId="01442416">
      <w:pPr>
        <w:spacing w:line="560" w:lineRule="exact"/>
        <w:ind w:firstLine="640" w:firstLineChars="200"/>
        <w:rPr>
          <w:rFonts w:ascii="仿宋_GB2312" w:eastAsia="仿宋_GB2312"/>
          <w:sz w:val="32"/>
          <w:szCs w:val="32"/>
        </w:rPr>
      </w:pPr>
      <w:r>
        <w:rPr>
          <w:rFonts w:hint="eastAsia" w:ascii="仿宋_GB2312" w:eastAsia="仿宋_GB2312"/>
          <w:sz w:val="32"/>
          <w:szCs w:val="32"/>
        </w:rPr>
        <w:t>2.一般公共预算支出情况</w:t>
      </w:r>
    </w:p>
    <w:p w14:paraId="5DDD017B">
      <w:pPr>
        <w:spacing w:line="560" w:lineRule="exact"/>
        <w:ind w:firstLine="643" w:firstLineChars="200"/>
        <w:rPr>
          <w:rFonts w:ascii="仿宋_GB2312" w:eastAsia="仿宋_GB2312"/>
          <w:sz w:val="32"/>
          <w:szCs w:val="32"/>
        </w:rPr>
      </w:pPr>
      <w:r>
        <w:rPr>
          <w:rFonts w:hint="eastAsia" w:ascii="仿宋_GB2312" w:eastAsia="仿宋_GB2312"/>
          <w:b/>
          <w:sz w:val="32"/>
          <w:szCs w:val="32"/>
        </w:rPr>
        <w:t>一般公共预算支出</w:t>
      </w:r>
      <w:r>
        <w:rPr>
          <w:rFonts w:hint="eastAsia" w:ascii="仿宋_GB2312" w:eastAsia="仿宋_GB2312"/>
          <w:sz w:val="32"/>
          <w:szCs w:val="32"/>
        </w:rPr>
        <w:t>完成2,021,456万元，完成调整预算1</w:t>
      </w:r>
      <w:r>
        <w:rPr>
          <w:rFonts w:ascii="仿宋_GB2312" w:eastAsia="仿宋_GB2312"/>
          <w:sz w:val="32"/>
          <w:szCs w:val="32"/>
        </w:rPr>
        <w:t>,</w:t>
      </w:r>
      <w:r>
        <w:rPr>
          <w:rFonts w:hint="eastAsia" w:ascii="仿宋_GB2312" w:eastAsia="仿宋_GB2312"/>
          <w:sz w:val="32"/>
          <w:szCs w:val="32"/>
        </w:rPr>
        <w:t>964</w:t>
      </w:r>
      <w:r>
        <w:rPr>
          <w:rFonts w:ascii="仿宋_GB2312" w:eastAsia="仿宋_GB2312"/>
          <w:sz w:val="32"/>
          <w:szCs w:val="32"/>
        </w:rPr>
        <w:t>,</w:t>
      </w:r>
      <w:r>
        <w:rPr>
          <w:rFonts w:hint="eastAsia" w:ascii="仿宋_GB2312" w:eastAsia="仿宋_GB2312"/>
          <w:sz w:val="32"/>
          <w:szCs w:val="32"/>
        </w:rPr>
        <w:t>003万元的102.9%。</w:t>
      </w:r>
    </w:p>
    <w:p w14:paraId="6A1C1CBF">
      <w:pPr>
        <w:spacing w:line="560" w:lineRule="exact"/>
        <w:ind w:firstLine="640" w:firstLineChars="200"/>
        <w:rPr>
          <w:rFonts w:ascii="仿宋_GB2312" w:eastAsia="仿宋_GB2312"/>
          <w:sz w:val="32"/>
          <w:szCs w:val="32"/>
        </w:rPr>
      </w:pPr>
      <w:r>
        <w:rPr>
          <w:rFonts w:hint="eastAsia" w:ascii="仿宋_GB2312" w:eastAsia="仿宋_GB2312"/>
          <w:sz w:val="32"/>
          <w:szCs w:val="32"/>
        </w:rPr>
        <w:t>在支出完成2,021,456万元的基础上，加上补充预算稳定调节基金3,943万元和上解上级支出187,415万元，以及结转下年的支出173,664万元，区级支出为</w:t>
      </w:r>
      <w:r>
        <w:rPr>
          <w:rFonts w:ascii="仿宋_GB2312" w:eastAsia="仿宋_GB2312"/>
          <w:sz w:val="32"/>
          <w:szCs w:val="32"/>
        </w:rPr>
        <w:t>2,3</w:t>
      </w:r>
      <w:r>
        <w:rPr>
          <w:rFonts w:hint="eastAsia" w:ascii="仿宋_GB2312" w:eastAsia="仿宋_GB2312"/>
          <w:sz w:val="32"/>
          <w:szCs w:val="32"/>
        </w:rPr>
        <w:t>86</w:t>
      </w:r>
      <w:r>
        <w:rPr>
          <w:rFonts w:ascii="仿宋_GB2312" w:eastAsia="仿宋_GB2312"/>
          <w:sz w:val="32"/>
          <w:szCs w:val="32"/>
        </w:rPr>
        <w:t>,</w:t>
      </w:r>
      <w:r>
        <w:rPr>
          <w:rFonts w:hint="eastAsia" w:ascii="仿宋_GB2312" w:eastAsia="仿宋_GB2312"/>
          <w:sz w:val="32"/>
          <w:szCs w:val="32"/>
        </w:rPr>
        <w:t>478万元。再加上专项转移支付支出</w:t>
      </w:r>
      <w:r>
        <w:rPr>
          <w:rFonts w:ascii="仿宋_GB2312" w:eastAsia="仿宋_GB2312"/>
          <w:sz w:val="32"/>
          <w:szCs w:val="32"/>
        </w:rPr>
        <w:t>456,088</w:t>
      </w:r>
      <w:r>
        <w:rPr>
          <w:rFonts w:hint="eastAsia" w:ascii="仿宋_GB2312" w:eastAsia="仿宋_GB2312"/>
          <w:sz w:val="32"/>
          <w:szCs w:val="32"/>
        </w:rPr>
        <w:t>万元及结转下年的专项转移支付支出6,800万元，一般公共预算支出总量为</w:t>
      </w:r>
      <w:r>
        <w:rPr>
          <w:rFonts w:ascii="仿宋_GB2312" w:eastAsia="仿宋_GB2312"/>
          <w:sz w:val="32"/>
          <w:szCs w:val="32"/>
        </w:rPr>
        <w:t>2,</w:t>
      </w:r>
      <w:r>
        <w:rPr>
          <w:rFonts w:hint="eastAsia" w:ascii="仿宋_GB2312" w:eastAsia="仿宋_GB2312"/>
          <w:sz w:val="32"/>
          <w:szCs w:val="32"/>
        </w:rPr>
        <w:t>849</w:t>
      </w:r>
      <w:r>
        <w:rPr>
          <w:rFonts w:ascii="仿宋_GB2312" w:eastAsia="仿宋_GB2312"/>
          <w:sz w:val="32"/>
          <w:szCs w:val="32"/>
        </w:rPr>
        <w:t>,</w:t>
      </w:r>
      <w:r>
        <w:rPr>
          <w:rFonts w:hint="eastAsia" w:ascii="仿宋_GB2312" w:eastAsia="仿宋_GB2312"/>
          <w:sz w:val="32"/>
          <w:szCs w:val="32"/>
        </w:rPr>
        <w:t>366万元。</w:t>
      </w:r>
    </w:p>
    <w:p w14:paraId="7A58B148">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一般公共预算主要支出项目决算情况主要有：</w:t>
      </w:r>
    </w:p>
    <w:p w14:paraId="5E3F3CAC">
      <w:pPr>
        <w:spacing w:line="560" w:lineRule="exact"/>
        <w:ind w:firstLine="643" w:firstLineChars="200"/>
        <w:rPr>
          <w:rFonts w:ascii="仿宋_GB2312" w:eastAsia="仿宋_GB2312"/>
          <w:sz w:val="32"/>
          <w:szCs w:val="32"/>
        </w:rPr>
      </w:pPr>
      <w:r>
        <w:rPr>
          <w:rFonts w:hint="eastAsia" w:ascii="仿宋_GB2312" w:eastAsia="仿宋_GB2312"/>
          <w:b/>
          <w:sz w:val="32"/>
          <w:szCs w:val="32"/>
        </w:rPr>
        <w:t>一般公共服务支出</w:t>
      </w:r>
      <w:r>
        <w:rPr>
          <w:rFonts w:hint="eastAsia" w:ascii="仿宋_GB2312" w:eastAsia="仿宋_GB2312"/>
          <w:sz w:val="32"/>
          <w:szCs w:val="32"/>
        </w:rPr>
        <w:t>267</w:t>
      </w:r>
      <w:r>
        <w:rPr>
          <w:rFonts w:ascii="仿宋_GB2312" w:eastAsia="仿宋_GB2312"/>
          <w:sz w:val="32"/>
          <w:szCs w:val="32"/>
        </w:rPr>
        <w:t>,</w:t>
      </w:r>
      <w:r>
        <w:rPr>
          <w:rFonts w:hint="eastAsia" w:ascii="仿宋_GB2312" w:eastAsia="仿宋_GB2312"/>
          <w:sz w:val="32"/>
          <w:szCs w:val="32"/>
        </w:rPr>
        <w:t>382万元，完成调整预算的107.8%,同比增长9.1%。主要用于保障市、区两级社会事业项目开展，支持街道、乡镇社会治理水平提升，增强基层公共服务资源供给能力，落实部门依法履职经费等。</w:t>
      </w:r>
    </w:p>
    <w:p w14:paraId="0ED3375B">
      <w:pPr>
        <w:spacing w:line="560" w:lineRule="exact"/>
        <w:ind w:firstLine="643" w:firstLineChars="200"/>
        <w:rPr>
          <w:rFonts w:ascii="仿宋_GB2312" w:eastAsia="仿宋_GB2312"/>
          <w:sz w:val="32"/>
          <w:szCs w:val="32"/>
        </w:rPr>
      </w:pPr>
      <w:r>
        <w:rPr>
          <w:rFonts w:hint="eastAsia" w:ascii="仿宋_GB2312" w:eastAsia="仿宋_GB2312"/>
          <w:b/>
          <w:sz w:val="32"/>
          <w:szCs w:val="32"/>
        </w:rPr>
        <w:t>公共安全支出</w:t>
      </w:r>
      <w:r>
        <w:rPr>
          <w:rFonts w:hint="eastAsia" w:ascii="仿宋_GB2312" w:eastAsia="仿宋_GB2312"/>
          <w:sz w:val="32"/>
          <w:szCs w:val="32"/>
        </w:rPr>
        <w:t>154,956万元，完成调整预算的102.2%,同比增长2.5%。主要用于保障政法机关运转经费支出，提高政法部门工作人员工资待遇，支持立体化社会治安防控体系建设等。</w:t>
      </w:r>
    </w:p>
    <w:p w14:paraId="13E515C7">
      <w:pPr>
        <w:spacing w:line="560" w:lineRule="exact"/>
        <w:ind w:firstLine="643" w:firstLineChars="200"/>
        <w:rPr>
          <w:rFonts w:ascii="仿宋_GB2312" w:eastAsia="仿宋_GB2312"/>
          <w:sz w:val="32"/>
          <w:szCs w:val="32"/>
        </w:rPr>
      </w:pPr>
      <w:r>
        <w:rPr>
          <w:rFonts w:hint="eastAsia" w:ascii="仿宋_GB2312" w:eastAsia="仿宋_GB2312"/>
          <w:b/>
          <w:sz w:val="32"/>
          <w:szCs w:val="32"/>
        </w:rPr>
        <w:t>教育支出</w:t>
      </w:r>
      <w:r>
        <w:rPr>
          <w:rFonts w:ascii="仿宋_GB2312" w:eastAsia="仿宋_GB2312"/>
          <w:sz w:val="32"/>
          <w:szCs w:val="32"/>
        </w:rPr>
        <w:t>3</w:t>
      </w:r>
      <w:r>
        <w:rPr>
          <w:rFonts w:hint="eastAsia" w:ascii="仿宋_GB2312" w:eastAsia="仿宋_GB2312"/>
          <w:sz w:val="32"/>
          <w:szCs w:val="32"/>
        </w:rPr>
        <w:t>70</w:t>
      </w:r>
      <w:r>
        <w:rPr>
          <w:rFonts w:ascii="仿宋_GB2312" w:eastAsia="仿宋_GB2312"/>
          <w:sz w:val="32"/>
          <w:szCs w:val="32"/>
        </w:rPr>
        <w:t>,</w:t>
      </w:r>
      <w:r>
        <w:rPr>
          <w:rFonts w:hint="eastAsia" w:ascii="仿宋_GB2312" w:eastAsia="仿宋_GB2312"/>
          <w:sz w:val="32"/>
          <w:szCs w:val="32"/>
        </w:rPr>
        <w:t>935万元，完成调整预算的95.9%,同比增长13.7%。主要用于保障教育综合改革经费，支持教育资源均衡发展，扩大改善学前教育和中小学教育资源，支持职业教育发展，落实教育基本建设支出等。决算与预算差异的主要原因是部分学前教育经费及部分中小学的工程建设支出转由市级资金承担导致。</w:t>
      </w:r>
    </w:p>
    <w:p w14:paraId="15513960">
      <w:pPr>
        <w:spacing w:line="560" w:lineRule="exact"/>
        <w:ind w:firstLine="643" w:firstLineChars="200"/>
        <w:rPr>
          <w:rFonts w:ascii="仿宋_GB2312" w:eastAsia="仿宋_GB2312"/>
          <w:sz w:val="32"/>
          <w:szCs w:val="32"/>
        </w:rPr>
      </w:pPr>
      <w:r>
        <w:rPr>
          <w:rFonts w:hint="eastAsia" w:ascii="仿宋_GB2312" w:eastAsia="仿宋_GB2312"/>
          <w:b/>
          <w:sz w:val="32"/>
          <w:szCs w:val="32"/>
        </w:rPr>
        <w:t>科学技术和资源勘探信息合计支出</w:t>
      </w:r>
      <w:r>
        <w:rPr>
          <w:rFonts w:hint="eastAsia" w:ascii="仿宋_GB2312" w:eastAsia="仿宋_GB2312"/>
          <w:sz w:val="32"/>
          <w:szCs w:val="32"/>
        </w:rPr>
        <w:t>83,286万元，完成调整预算的104.8%,同比增长46.6%。科学技术支出主要用于落实政府对科技创新的支持措施，提升科技创新服务能力建设，支持开展科普宣传活动，支持丰台科技园区环境升级等；资源勘探信息支出主要用于支持中小企业发展支出及安全生产和监管等。为支持我区高新产业发展，2018年我区将原安排在科学技术科目下的科创企业支持资金、经济发展专项资金等奖励扶持资金统筹合并设立了区级产业发展基金，支出科目由科学技术支出调整为资源勘探信息支出。</w:t>
      </w:r>
    </w:p>
    <w:p w14:paraId="67F10766">
      <w:pPr>
        <w:spacing w:line="560" w:lineRule="exact"/>
        <w:ind w:firstLine="643" w:firstLineChars="200"/>
        <w:rPr>
          <w:rFonts w:ascii="仿宋_GB2312" w:eastAsia="仿宋_GB2312"/>
          <w:sz w:val="32"/>
          <w:szCs w:val="32"/>
        </w:rPr>
      </w:pPr>
      <w:r>
        <w:rPr>
          <w:rFonts w:hint="eastAsia" w:ascii="仿宋_GB2312" w:eastAsia="仿宋_GB2312"/>
          <w:b/>
          <w:sz w:val="32"/>
          <w:szCs w:val="32"/>
        </w:rPr>
        <w:t>文化体育与传媒支出</w:t>
      </w:r>
      <w:r>
        <w:rPr>
          <w:rFonts w:hint="eastAsia" w:ascii="仿宋_GB2312" w:eastAsia="仿宋_GB2312"/>
          <w:sz w:val="32"/>
          <w:szCs w:val="32"/>
        </w:rPr>
        <w:t>36,060万元，完成调整预算的73.1%，同比增长12%。主要用于保障基层文化、体育活动经费，加强文物保护修缮与收藏征集，支持举办铁人三项赛等赛事，促进全民健身事业发展，落实文化体育基本建设支出等。决算与预算差异的主要原因是部分文创产业项目进展较慢，拨付的经费相应减少。</w:t>
      </w:r>
    </w:p>
    <w:p w14:paraId="19B4E7D1">
      <w:pPr>
        <w:spacing w:line="560" w:lineRule="exact"/>
        <w:ind w:firstLine="643" w:firstLineChars="200"/>
        <w:rPr>
          <w:rFonts w:ascii="仿宋_GB2312" w:eastAsia="仿宋_GB2312"/>
          <w:sz w:val="32"/>
          <w:szCs w:val="32"/>
        </w:rPr>
      </w:pPr>
      <w:r>
        <w:rPr>
          <w:rFonts w:hint="eastAsia" w:ascii="仿宋_GB2312" w:eastAsia="仿宋_GB2312"/>
          <w:b/>
          <w:sz w:val="32"/>
          <w:szCs w:val="32"/>
        </w:rPr>
        <w:t>社会保障和就业支出</w:t>
      </w:r>
      <w:r>
        <w:rPr>
          <w:rFonts w:hint="eastAsia" w:ascii="仿宋_GB2312" w:eastAsia="仿宋_GB2312"/>
          <w:sz w:val="32"/>
          <w:szCs w:val="32"/>
        </w:rPr>
        <w:t>390,181万元，完成调整预算的116.7%,同比增长42.4%。主要用于保障养老保险财政补助支出，推进养老服务改革，落实各项困难群众基本生活补贴、社会救助、就业再就业等社会保障政策，提高低收入人群生活质量，支持做好退役军人安置工作等。同比增长较高主要是养老保险缴费标准提高及机关事业单位退休人员养老保险补差导致。</w:t>
      </w:r>
    </w:p>
    <w:p w14:paraId="2E833C8F">
      <w:pPr>
        <w:spacing w:line="560" w:lineRule="exact"/>
        <w:ind w:firstLine="643" w:firstLineChars="200"/>
        <w:rPr>
          <w:rFonts w:ascii="仿宋_GB2312" w:eastAsia="仿宋_GB2312"/>
          <w:sz w:val="32"/>
          <w:szCs w:val="32"/>
        </w:rPr>
      </w:pPr>
      <w:r>
        <w:rPr>
          <w:rFonts w:hint="eastAsia" w:ascii="仿宋_GB2312" w:eastAsia="仿宋_GB2312"/>
          <w:b/>
          <w:sz w:val="32"/>
          <w:szCs w:val="32"/>
        </w:rPr>
        <w:t>医疗卫生支出</w:t>
      </w:r>
      <w:r>
        <w:rPr>
          <w:rFonts w:hint="eastAsia" w:ascii="仿宋_GB2312" w:eastAsia="仿宋_GB2312"/>
          <w:sz w:val="32"/>
          <w:szCs w:val="32"/>
        </w:rPr>
        <w:t>114,826万元，完成调整预算的102.8%,同比增长9.2%。主要用于落实城乡居民基本医疗保险和新农合报销补助政策，支持公立医院综合改革和基层医疗卫生机构建设，推进中医综合服务能力提升，保障基本和重大公共卫生服务支出，支持食品药品安全监管体系建设等。</w:t>
      </w:r>
    </w:p>
    <w:p w14:paraId="4914C4E2">
      <w:pPr>
        <w:spacing w:line="560" w:lineRule="exact"/>
        <w:ind w:firstLine="643" w:firstLineChars="200"/>
        <w:rPr>
          <w:rFonts w:ascii="仿宋_GB2312" w:eastAsia="仿宋_GB2312"/>
          <w:sz w:val="32"/>
          <w:szCs w:val="32"/>
        </w:rPr>
      </w:pPr>
      <w:r>
        <w:rPr>
          <w:rFonts w:hint="eastAsia" w:ascii="仿宋_GB2312" w:eastAsia="仿宋_GB2312"/>
          <w:b/>
          <w:sz w:val="32"/>
          <w:szCs w:val="32"/>
        </w:rPr>
        <w:t>节能环保支出</w:t>
      </w:r>
      <w:r>
        <w:rPr>
          <w:rFonts w:hint="eastAsia" w:ascii="仿宋_GB2312" w:eastAsia="仿宋_GB2312"/>
          <w:sz w:val="32"/>
          <w:szCs w:val="32"/>
        </w:rPr>
        <w:t>12</w:t>
      </w:r>
      <w:r>
        <w:rPr>
          <w:rFonts w:ascii="仿宋_GB2312" w:eastAsia="仿宋_GB2312"/>
          <w:sz w:val="32"/>
          <w:szCs w:val="32"/>
        </w:rPr>
        <w:t>,</w:t>
      </w:r>
      <w:r>
        <w:rPr>
          <w:rFonts w:hint="eastAsia" w:ascii="仿宋_GB2312" w:eastAsia="仿宋_GB2312"/>
          <w:sz w:val="32"/>
          <w:szCs w:val="32"/>
        </w:rPr>
        <w:t>301万元，完成调整预算的40.7%,同比减少45.2%。主要用于落实清洁空气行动计划，推进与大气污染防治有关的节能环保项目开展等。决算与预算差异的原因主要是变电站建设、“煤改电”线路改造等工程建设已基本完成，大额项目支出减少，2018年逐步转为根据不同污染源开展专项整治工作的精细化治污。</w:t>
      </w:r>
    </w:p>
    <w:p w14:paraId="212B99A2">
      <w:pPr>
        <w:spacing w:line="560" w:lineRule="exact"/>
        <w:ind w:firstLine="643" w:firstLineChars="200"/>
        <w:rPr>
          <w:rFonts w:ascii="仿宋_GB2312" w:eastAsia="仿宋_GB2312"/>
          <w:sz w:val="32"/>
          <w:szCs w:val="32"/>
        </w:rPr>
      </w:pPr>
      <w:r>
        <w:rPr>
          <w:rFonts w:hint="eastAsia" w:ascii="仿宋_GB2312" w:eastAsia="仿宋_GB2312"/>
          <w:b/>
          <w:sz w:val="32"/>
          <w:szCs w:val="32"/>
        </w:rPr>
        <w:t>城乡社区支出</w:t>
      </w:r>
      <w:r>
        <w:rPr>
          <w:rFonts w:hint="eastAsia" w:ascii="仿宋_GB2312" w:eastAsia="仿宋_GB2312"/>
          <w:sz w:val="32"/>
          <w:szCs w:val="32"/>
        </w:rPr>
        <w:t>334,448万元，完成调整预算的102.8%,同比增长9.2%。主要用于加大基础设施和环境整治资金投入，推进城市治理优化升级，安排“疏整促”专项资金，提升基层服务保障能力，安排“街乡吹哨、部门报到”专项资金等。</w:t>
      </w:r>
    </w:p>
    <w:p w14:paraId="7AE603B6">
      <w:pPr>
        <w:spacing w:line="560" w:lineRule="exact"/>
        <w:ind w:firstLine="643" w:firstLineChars="200"/>
        <w:rPr>
          <w:rFonts w:ascii="仿宋_GB2312" w:eastAsia="仿宋_GB2312"/>
          <w:sz w:val="32"/>
          <w:szCs w:val="32"/>
        </w:rPr>
      </w:pPr>
      <w:r>
        <w:rPr>
          <w:rFonts w:hint="eastAsia" w:ascii="仿宋_GB2312" w:eastAsia="仿宋_GB2312"/>
          <w:b/>
          <w:sz w:val="32"/>
          <w:szCs w:val="32"/>
        </w:rPr>
        <w:t>农林水支出</w:t>
      </w:r>
      <w:r>
        <w:rPr>
          <w:rFonts w:hint="eastAsia" w:ascii="仿宋_GB2312" w:eastAsia="仿宋_GB2312"/>
          <w:sz w:val="32"/>
          <w:szCs w:val="32"/>
        </w:rPr>
        <w:t>78,753万元，完成调整预算的90.3%，同比增长10.5%。主要用于支持农业农村生态发展，支持造林绿化和水环境治理工程等。决算与预算差异的原因主要是部分绿化工程转由市级资金承担导致。</w:t>
      </w:r>
    </w:p>
    <w:p w14:paraId="0C47270B">
      <w:pPr>
        <w:spacing w:line="560" w:lineRule="exact"/>
        <w:ind w:firstLine="643" w:firstLineChars="200"/>
        <w:jc w:val="left"/>
        <w:rPr>
          <w:rFonts w:ascii="仿宋_GB2312" w:eastAsia="仿宋_GB2312"/>
          <w:sz w:val="32"/>
          <w:szCs w:val="32"/>
        </w:rPr>
      </w:pPr>
      <w:r>
        <w:rPr>
          <w:rFonts w:hint="eastAsia" w:ascii="仿宋_GB2312" w:eastAsia="仿宋_GB2312"/>
          <w:b/>
          <w:sz w:val="32"/>
          <w:szCs w:val="32"/>
        </w:rPr>
        <w:t>住房保障支出</w:t>
      </w:r>
      <w:r>
        <w:rPr>
          <w:rFonts w:hint="eastAsia" w:ascii="仿宋_GB2312" w:eastAsia="仿宋_GB2312"/>
          <w:sz w:val="32"/>
          <w:szCs w:val="32"/>
        </w:rPr>
        <w:t>160,150万元，完成调整预算的128.3%,同比增长39.85%。主要用于深化住房保障体系建设，加强保障性住房管理。超额完成预算的主要原因是按规定增加行政事业单位在职人员补充公积金、购房补贴等。</w:t>
      </w:r>
    </w:p>
    <w:p w14:paraId="708ADAD2">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3.其他需要说明的事项</w:t>
      </w:r>
    </w:p>
    <w:p w14:paraId="0DA41BDA">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（1）按照《预算法》有关规定，2018年安排预备费预算22</w:t>
      </w:r>
      <w:r>
        <w:rPr>
          <w:rFonts w:ascii="仿宋_GB2312" w:eastAsia="仿宋_GB2312"/>
          <w:sz w:val="32"/>
          <w:szCs w:val="32"/>
        </w:rPr>
        <w:t>,</w:t>
      </w:r>
      <w:r>
        <w:rPr>
          <w:rFonts w:hint="eastAsia" w:ascii="仿宋_GB2312" w:eastAsia="仿宋_GB2312"/>
          <w:sz w:val="32"/>
          <w:szCs w:val="32"/>
        </w:rPr>
        <w:t>000万元，实际支出22</w:t>
      </w:r>
      <w:r>
        <w:rPr>
          <w:rFonts w:ascii="仿宋_GB2312" w:eastAsia="仿宋_GB2312"/>
          <w:sz w:val="32"/>
          <w:szCs w:val="32"/>
        </w:rPr>
        <w:t>,</w:t>
      </w:r>
      <w:r>
        <w:rPr>
          <w:rFonts w:hint="eastAsia" w:ascii="仿宋_GB2312" w:eastAsia="仿宋_GB2312"/>
          <w:sz w:val="32"/>
          <w:szCs w:val="32"/>
        </w:rPr>
        <w:t>000万元，其中安排10</w:t>
      </w:r>
      <w:r>
        <w:rPr>
          <w:rFonts w:ascii="仿宋_GB2312" w:eastAsia="仿宋_GB2312"/>
          <w:sz w:val="32"/>
          <w:szCs w:val="32"/>
        </w:rPr>
        <w:t>,</w:t>
      </w:r>
      <w:r>
        <w:rPr>
          <w:rFonts w:hint="eastAsia" w:ascii="仿宋_GB2312" w:eastAsia="仿宋_GB2312"/>
          <w:sz w:val="32"/>
          <w:szCs w:val="32"/>
        </w:rPr>
        <w:t>500万元用于保障“街乡吹哨、部门报到”工作开展，安排11</w:t>
      </w:r>
      <w:r>
        <w:rPr>
          <w:rFonts w:ascii="仿宋_GB2312" w:eastAsia="仿宋_GB2312"/>
          <w:sz w:val="32"/>
          <w:szCs w:val="32"/>
        </w:rPr>
        <w:t>,</w:t>
      </w:r>
      <w:r>
        <w:rPr>
          <w:rFonts w:hint="eastAsia" w:ascii="仿宋_GB2312" w:eastAsia="仿宋_GB2312"/>
          <w:sz w:val="32"/>
          <w:szCs w:val="32"/>
        </w:rPr>
        <w:t>500万元用于支持社区工作者规范、提高工资标准。</w:t>
      </w:r>
    </w:p>
    <w:p w14:paraId="080482D5">
      <w:pPr>
        <w:spacing w:line="560" w:lineRule="exact"/>
        <w:ind w:firstLine="640" w:firstLineChars="200"/>
        <w:rPr>
          <w:rFonts w:ascii="仿宋_GB2312" w:eastAsia="仿宋_GB2312"/>
          <w:sz w:val="32"/>
          <w:szCs w:val="32"/>
        </w:rPr>
      </w:pPr>
      <w:r>
        <w:rPr>
          <w:rFonts w:hint="eastAsia" w:ascii="仿宋_GB2312" w:eastAsia="仿宋_GB2312"/>
          <w:sz w:val="32"/>
          <w:szCs w:val="32"/>
        </w:rPr>
        <w:t>（2）2018年，一般公共预算收入超收34万元，全部用于补充预算稳定调节基金，2018年末预算稳定调节基金余额为3,943万元。</w:t>
      </w:r>
    </w:p>
    <w:p w14:paraId="58FD265B">
      <w:pPr>
        <w:spacing w:line="560" w:lineRule="exact"/>
        <w:ind w:firstLine="640" w:firstLineChars="200"/>
        <w:rPr>
          <w:rFonts w:ascii="仿宋_GB2312" w:eastAsia="仿宋_GB2312"/>
          <w:sz w:val="32"/>
          <w:szCs w:val="32"/>
        </w:rPr>
      </w:pPr>
      <w:r>
        <w:rPr>
          <w:rFonts w:hint="eastAsia" w:ascii="仿宋_GB2312" w:eastAsia="仿宋_GB2312"/>
          <w:sz w:val="32"/>
          <w:szCs w:val="32"/>
        </w:rPr>
        <w:t>（3）2018年各部门深入贯彻中央八项规定精神，严控行政成本，党政机关、财政补助事业单位的“三公”经费财政拨款支出合计4,153万元，比预算减少3,423万元。其中，因公出国（境）费482万元，减少145万元；公务用车购置及运行费3,669万元（其中，购置费971万元，运行费2,698万元），减少3,017万元（其中购置费减少29万元，运行费减少2,988万元）；公务接待费2万元，减少261万元。</w:t>
      </w:r>
    </w:p>
    <w:p w14:paraId="142A88F4">
      <w:pPr>
        <w:spacing w:line="560" w:lineRule="exact"/>
        <w:ind w:firstLine="640" w:firstLineChars="200"/>
        <w:rPr>
          <w:rFonts w:ascii="仿宋_GB2312" w:eastAsia="仿宋_GB2312"/>
          <w:sz w:val="32"/>
          <w:szCs w:val="32"/>
        </w:rPr>
      </w:pPr>
      <w:r>
        <w:rPr>
          <w:rFonts w:hint="eastAsia" w:ascii="仿宋_GB2312" w:eastAsia="仿宋_GB2312"/>
          <w:sz w:val="32"/>
          <w:szCs w:val="32"/>
        </w:rPr>
        <w:t>（4）与向区十六届人大六次会议报告的执行数相比，区级收入增加44,761万元，主要是市体制返还及补助增加44,761万元，区级支出增加44,761万元，主要是安排上解支出增加8,914万元，年终结余增加35,847万元。</w:t>
      </w:r>
    </w:p>
    <w:p w14:paraId="7474BB18">
      <w:pPr>
        <w:spacing w:line="560" w:lineRule="exact"/>
        <w:ind w:firstLine="640" w:firstLineChars="200"/>
        <w:rPr>
          <w:rFonts w:ascii="仿宋_GB2312" w:eastAsia="仿宋_GB2312"/>
          <w:sz w:val="32"/>
          <w:szCs w:val="32"/>
        </w:rPr>
      </w:pPr>
      <w:r>
        <w:rPr>
          <w:rFonts w:hint="eastAsia" w:ascii="仿宋_GB2312" w:eastAsia="仿宋_GB2312"/>
          <w:sz w:val="32"/>
          <w:szCs w:val="32"/>
        </w:rPr>
        <w:t>（5）2019年上半年，共对2018年使用区级资金的38个重点项目启动了事后绩效评价，涉及金额42,803万元，项目涉及道路养护工程、医疗设备购置、文化活动等多个领域的项目。评价结果将为2020年预算编制提供参考依据。</w:t>
      </w:r>
    </w:p>
    <w:p w14:paraId="0E61CC3E">
      <w:pPr>
        <w:spacing w:line="560" w:lineRule="exact"/>
        <w:ind w:firstLine="643" w:firstLineChars="200"/>
        <w:jc w:val="left"/>
        <w:rPr>
          <w:rFonts w:ascii="仿宋_GB2312" w:eastAsia="仿宋_GB2312"/>
          <w:b/>
          <w:sz w:val="32"/>
          <w:szCs w:val="32"/>
        </w:rPr>
      </w:pPr>
      <w:r>
        <w:rPr>
          <w:rFonts w:hint="eastAsia" w:ascii="楷体_GB2312" w:hAnsi="楷体" w:eastAsia="楷体_GB2312"/>
          <w:b/>
          <w:sz w:val="32"/>
          <w:szCs w:val="32"/>
        </w:rPr>
        <w:t>（二）政府性基金预算收支决算情况</w:t>
      </w:r>
    </w:p>
    <w:p w14:paraId="51FE4F95">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1.政府性基金预算收入情况</w:t>
      </w:r>
    </w:p>
    <w:p w14:paraId="13BF93A9">
      <w:pPr>
        <w:adjustRightInd w:val="0"/>
        <w:snapToGrid w:val="0"/>
        <w:spacing w:line="560" w:lineRule="exact"/>
        <w:ind w:firstLine="643" w:firstLineChars="200"/>
        <w:rPr>
          <w:rFonts w:ascii="仿宋_GB2312" w:eastAsia="仿宋_GB2312"/>
          <w:sz w:val="32"/>
          <w:szCs w:val="32"/>
        </w:rPr>
      </w:pPr>
      <w:r>
        <w:rPr>
          <w:rFonts w:hint="eastAsia" w:ascii="仿宋_GB2312" w:eastAsia="仿宋_GB2312"/>
          <w:b/>
          <w:sz w:val="32"/>
          <w:szCs w:val="32"/>
        </w:rPr>
        <w:t>政府性基金预算收入</w:t>
      </w:r>
      <w:r>
        <w:rPr>
          <w:rFonts w:hint="eastAsia" w:ascii="仿宋_GB2312" w:eastAsia="仿宋_GB2312"/>
          <w:sz w:val="32"/>
          <w:szCs w:val="32"/>
        </w:rPr>
        <w:t>完成1,299,619万元，完成调整预算1</w:t>
      </w:r>
      <w:r>
        <w:rPr>
          <w:rFonts w:ascii="仿宋_GB2312" w:eastAsia="仿宋_GB2312"/>
          <w:sz w:val="32"/>
          <w:szCs w:val="32"/>
        </w:rPr>
        <w:t>,</w:t>
      </w:r>
      <w:r>
        <w:rPr>
          <w:rFonts w:hint="eastAsia" w:ascii="仿宋_GB2312" w:eastAsia="仿宋_GB2312"/>
          <w:sz w:val="32"/>
          <w:szCs w:val="32"/>
        </w:rPr>
        <w:t>299</w:t>
      </w:r>
      <w:r>
        <w:rPr>
          <w:rFonts w:ascii="仿宋_GB2312" w:eastAsia="仿宋_GB2312"/>
          <w:sz w:val="32"/>
          <w:szCs w:val="32"/>
        </w:rPr>
        <w:t>,</w:t>
      </w:r>
      <w:r>
        <w:rPr>
          <w:rFonts w:hint="eastAsia" w:ascii="仿宋_GB2312" w:eastAsia="仿宋_GB2312"/>
          <w:sz w:val="32"/>
          <w:szCs w:val="32"/>
        </w:rPr>
        <w:t>600万元的100%，其中国有土地使用权出让收入1,299,600万元，另有彩票发行机构和彩票销售机构的业务费用收入19万元。</w:t>
      </w:r>
    </w:p>
    <w:p w14:paraId="0AB04D25">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在收入完成</w:t>
      </w:r>
      <w:r>
        <w:rPr>
          <w:rFonts w:ascii="仿宋_GB2312" w:eastAsia="仿宋_GB2312"/>
          <w:sz w:val="32"/>
          <w:szCs w:val="32"/>
        </w:rPr>
        <w:t>1,299,619</w:t>
      </w:r>
      <w:r>
        <w:rPr>
          <w:rFonts w:hint="eastAsia" w:ascii="仿宋_GB2312" w:eastAsia="仿宋_GB2312"/>
          <w:sz w:val="32"/>
          <w:szCs w:val="32"/>
        </w:rPr>
        <w:t>万元的基础上，加上动用上年结余资金458</w:t>
      </w:r>
      <w:r>
        <w:rPr>
          <w:rFonts w:ascii="仿宋_GB2312" w:eastAsia="仿宋_GB2312"/>
          <w:sz w:val="32"/>
          <w:szCs w:val="32"/>
        </w:rPr>
        <w:t>,</w:t>
      </w:r>
      <w:r>
        <w:rPr>
          <w:rFonts w:hint="eastAsia" w:ascii="仿宋_GB2312" w:eastAsia="仿宋_GB2312"/>
          <w:sz w:val="32"/>
          <w:szCs w:val="32"/>
        </w:rPr>
        <w:t>008万元、调入资金6,522万元，</w:t>
      </w:r>
      <w:r>
        <w:rPr>
          <w:rFonts w:hint="eastAsia" w:ascii="仿宋_GB2312" w:eastAsia="仿宋_GB2312"/>
          <w:b/>
          <w:sz w:val="32"/>
          <w:szCs w:val="32"/>
        </w:rPr>
        <w:t>区级收入</w:t>
      </w:r>
      <w:r>
        <w:rPr>
          <w:rFonts w:hint="eastAsia" w:ascii="仿宋_GB2312" w:eastAsia="仿宋_GB2312"/>
          <w:sz w:val="32"/>
          <w:szCs w:val="32"/>
        </w:rPr>
        <w:t>为1,764,149万元。再加上专项转移支付收入44</w:t>
      </w:r>
      <w:r>
        <w:rPr>
          <w:rFonts w:ascii="仿宋_GB2312" w:eastAsia="仿宋_GB2312"/>
          <w:sz w:val="32"/>
          <w:szCs w:val="32"/>
        </w:rPr>
        <w:t>,</w:t>
      </w:r>
      <w:r>
        <w:rPr>
          <w:rFonts w:hint="eastAsia" w:ascii="仿宋_GB2312" w:eastAsia="仿宋_GB2312"/>
          <w:sz w:val="32"/>
          <w:szCs w:val="32"/>
        </w:rPr>
        <w:t>225万元，</w:t>
      </w:r>
      <w:r>
        <w:rPr>
          <w:rFonts w:hint="eastAsia" w:ascii="仿宋_GB2312" w:eastAsia="仿宋_GB2312"/>
          <w:b/>
          <w:sz w:val="32"/>
          <w:szCs w:val="32"/>
        </w:rPr>
        <w:t>政府性基金预算收入总量</w:t>
      </w:r>
      <w:r>
        <w:rPr>
          <w:rFonts w:hint="eastAsia" w:ascii="仿宋_GB2312" w:eastAsia="仿宋_GB2312"/>
          <w:sz w:val="32"/>
          <w:szCs w:val="32"/>
        </w:rPr>
        <w:t>为1,808,374万元。</w:t>
      </w:r>
    </w:p>
    <w:p w14:paraId="6745BC4F">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2.政府性基金预算支出情况</w:t>
      </w:r>
    </w:p>
    <w:p w14:paraId="2665A63C">
      <w:pPr>
        <w:adjustRightInd w:val="0"/>
        <w:snapToGrid w:val="0"/>
        <w:spacing w:line="560" w:lineRule="exact"/>
        <w:ind w:firstLine="643" w:firstLineChars="200"/>
        <w:rPr>
          <w:rFonts w:ascii="仿宋_GB2312" w:eastAsia="仿宋_GB2312"/>
          <w:sz w:val="32"/>
          <w:szCs w:val="32"/>
        </w:rPr>
      </w:pPr>
      <w:r>
        <w:rPr>
          <w:rFonts w:hint="eastAsia" w:ascii="仿宋_GB2312" w:eastAsia="仿宋_GB2312"/>
          <w:b/>
          <w:sz w:val="32"/>
          <w:szCs w:val="32"/>
        </w:rPr>
        <w:t>政府性基金预算支出</w:t>
      </w:r>
      <w:r>
        <w:rPr>
          <w:rFonts w:hint="eastAsia" w:ascii="仿宋_GB2312" w:eastAsia="仿宋_GB2312"/>
          <w:sz w:val="32"/>
          <w:szCs w:val="32"/>
        </w:rPr>
        <w:t>完成1</w:t>
      </w:r>
      <w:r>
        <w:rPr>
          <w:rFonts w:ascii="仿宋_GB2312" w:eastAsia="仿宋_GB2312"/>
          <w:sz w:val="32"/>
          <w:szCs w:val="32"/>
        </w:rPr>
        <w:t>,</w:t>
      </w:r>
      <w:r>
        <w:rPr>
          <w:rFonts w:hint="eastAsia" w:ascii="仿宋_GB2312" w:eastAsia="仿宋_GB2312"/>
          <w:sz w:val="32"/>
          <w:szCs w:val="32"/>
        </w:rPr>
        <w:t>499,502万元，完成调整预算</w:t>
      </w:r>
      <w:r>
        <w:rPr>
          <w:rFonts w:ascii="仿宋_GB2312" w:eastAsia="仿宋_GB2312"/>
          <w:sz w:val="32"/>
          <w:szCs w:val="32"/>
        </w:rPr>
        <w:t>1,499,50</w:t>
      </w:r>
      <w:r>
        <w:rPr>
          <w:rFonts w:hint="eastAsia" w:ascii="仿宋_GB2312" w:eastAsia="仿宋_GB2312"/>
          <w:sz w:val="32"/>
          <w:szCs w:val="32"/>
        </w:rPr>
        <w:t>2万元的100%，主要用于征地拆迁和补偿支出、土地开发支出、城市建设支出、补助被征地农民支出等。</w:t>
      </w:r>
    </w:p>
    <w:p w14:paraId="58D70FB8">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在支出完成</w:t>
      </w:r>
      <w:r>
        <w:rPr>
          <w:rFonts w:ascii="仿宋_GB2312" w:eastAsia="仿宋_GB2312"/>
          <w:sz w:val="32"/>
          <w:szCs w:val="32"/>
        </w:rPr>
        <w:t>1,499,502</w:t>
      </w:r>
      <w:r>
        <w:rPr>
          <w:rFonts w:hint="eastAsia" w:ascii="仿宋_GB2312" w:eastAsia="仿宋_GB2312"/>
          <w:sz w:val="32"/>
          <w:szCs w:val="32"/>
        </w:rPr>
        <w:t>万元的基础上，加上解上级支出52,917万元，以及结转下年的支出211,730万元，</w:t>
      </w:r>
      <w:r>
        <w:rPr>
          <w:rFonts w:hint="eastAsia" w:ascii="仿宋_GB2312" w:eastAsia="仿宋_GB2312"/>
          <w:b/>
          <w:sz w:val="32"/>
          <w:szCs w:val="32"/>
        </w:rPr>
        <w:t>区级支出</w:t>
      </w:r>
      <w:r>
        <w:rPr>
          <w:rFonts w:hint="eastAsia" w:ascii="仿宋_GB2312" w:eastAsia="仿宋_GB2312"/>
          <w:sz w:val="32"/>
          <w:szCs w:val="32"/>
        </w:rPr>
        <w:t>为1,764,149万元。再加上转移支付支出</w:t>
      </w:r>
      <w:r>
        <w:rPr>
          <w:rFonts w:ascii="仿宋_GB2312" w:eastAsia="仿宋_GB2312"/>
          <w:sz w:val="32"/>
          <w:szCs w:val="32"/>
        </w:rPr>
        <w:t>44,225</w:t>
      </w:r>
      <w:r>
        <w:rPr>
          <w:rFonts w:hint="eastAsia" w:ascii="仿宋_GB2312" w:eastAsia="仿宋_GB2312"/>
          <w:sz w:val="32"/>
          <w:szCs w:val="32"/>
        </w:rPr>
        <w:t>万元，</w:t>
      </w:r>
      <w:r>
        <w:rPr>
          <w:rFonts w:hint="eastAsia" w:ascii="仿宋_GB2312" w:eastAsia="仿宋_GB2312"/>
          <w:b/>
          <w:sz w:val="32"/>
          <w:szCs w:val="32"/>
        </w:rPr>
        <w:t>政府性基金支出总量</w:t>
      </w:r>
      <w:r>
        <w:rPr>
          <w:rFonts w:hint="eastAsia" w:ascii="仿宋_GB2312" w:eastAsia="仿宋_GB2312"/>
          <w:sz w:val="32"/>
          <w:szCs w:val="32"/>
        </w:rPr>
        <w:t>为</w:t>
      </w:r>
      <w:r>
        <w:rPr>
          <w:rFonts w:ascii="仿宋_GB2312" w:eastAsia="仿宋_GB2312"/>
          <w:sz w:val="32"/>
          <w:szCs w:val="32"/>
        </w:rPr>
        <w:t>1,808,374</w:t>
      </w:r>
      <w:r>
        <w:rPr>
          <w:rFonts w:hint="eastAsia" w:ascii="仿宋_GB2312" w:eastAsia="仿宋_GB2312"/>
          <w:sz w:val="32"/>
          <w:szCs w:val="32"/>
        </w:rPr>
        <w:t>万元。</w:t>
      </w:r>
    </w:p>
    <w:p w14:paraId="50B75CBD">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3. 与向区十六届人大六次会议报告的执行数相比，政府性基金预算收入增加6,522万元，主要是调入资金增加6,522万元，区级支出增加6,522万元，主要是安排上解支出增加6,522万元。</w:t>
      </w:r>
    </w:p>
    <w:p w14:paraId="03EBC7B6">
      <w:pPr>
        <w:adjustRightInd w:val="0"/>
        <w:snapToGrid w:val="0"/>
        <w:spacing w:line="560" w:lineRule="exact"/>
        <w:ind w:firstLine="643" w:firstLineChars="200"/>
        <w:jc w:val="left"/>
        <w:rPr>
          <w:rFonts w:ascii="仿宋_GB2312" w:eastAsia="仿宋_GB2312"/>
          <w:b/>
          <w:sz w:val="32"/>
          <w:szCs w:val="32"/>
        </w:rPr>
      </w:pPr>
      <w:r>
        <w:rPr>
          <w:rFonts w:hint="eastAsia" w:ascii="楷体_GB2312" w:eastAsia="楷体_GB2312"/>
          <w:b/>
          <w:sz w:val="32"/>
          <w:szCs w:val="32"/>
        </w:rPr>
        <w:t>（三）国有资本经营预算收支决算情况</w:t>
      </w:r>
    </w:p>
    <w:p w14:paraId="66BD2AE5">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1.国有资本经营预算收入情况</w:t>
      </w:r>
    </w:p>
    <w:p w14:paraId="5B141FF3">
      <w:pPr>
        <w:adjustRightInd w:val="0"/>
        <w:snapToGrid w:val="0"/>
        <w:spacing w:line="560" w:lineRule="exact"/>
        <w:ind w:firstLine="643" w:firstLineChars="200"/>
        <w:rPr>
          <w:rFonts w:ascii="仿宋_GB2312" w:eastAsia="仿宋_GB2312"/>
          <w:sz w:val="32"/>
          <w:szCs w:val="32"/>
        </w:rPr>
      </w:pPr>
      <w:r>
        <w:rPr>
          <w:rFonts w:hint="eastAsia" w:ascii="仿宋_GB2312" w:eastAsia="仿宋_GB2312"/>
          <w:b/>
          <w:sz w:val="32"/>
          <w:szCs w:val="32"/>
        </w:rPr>
        <w:t>国有资本经营预算收入</w:t>
      </w:r>
      <w:r>
        <w:rPr>
          <w:rFonts w:hint="eastAsia" w:ascii="仿宋_GB2312" w:eastAsia="仿宋_GB2312"/>
          <w:sz w:val="32"/>
          <w:szCs w:val="32"/>
        </w:rPr>
        <w:t>完成</w:t>
      </w:r>
      <w:r>
        <w:rPr>
          <w:rFonts w:ascii="仿宋_GB2312" w:eastAsia="仿宋_GB2312"/>
          <w:sz w:val="32"/>
          <w:szCs w:val="32"/>
        </w:rPr>
        <w:t>3,18</w:t>
      </w:r>
      <w:r>
        <w:rPr>
          <w:rFonts w:hint="eastAsia" w:ascii="仿宋_GB2312" w:eastAsia="仿宋_GB2312"/>
          <w:sz w:val="32"/>
          <w:szCs w:val="32"/>
        </w:rPr>
        <w:t>7万元，全部为国有企业利润收入，完成年初预算2</w:t>
      </w:r>
      <w:r>
        <w:rPr>
          <w:rFonts w:ascii="仿宋_GB2312" w:eastAsia="仿宋_GB2312"/>
          <w:sz w:val="32"/>
          <w:szCs w:val="32"/>
        </w:rPr>
        <w:t>,</w:t>
      </w:r>
      <w:r>
        <w:rPr>
          <w:rFonts w:hint="eastAsia" w:ascii="仿宋_GB2312" w:eastAsia="仿宋_GB2312"/>
          <w:sz w:val="32"/>
          <w:szCs w:val="32"/>
        </w:rPr>
        <w:t>863万元的111.3%。主要是区国资中心等国有企业经济效益增长高于预期。</w:t>
      </w:r>
    </w:p>
    <w:p w14:paraId="63587403">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在收入完成3</w:t>
      </w:r>
      <w:r>
        <w:rPr>
          <w:rFonts w:ascii="仿宋_GB2312" w:eastAsia="仿宋_GB2312"/>
          <w:sz w:val="32"/>
          <w:szCs w:val="32"/>
        </w:rPr>
        <w:t>,</w:t>
      </w:r>
      <w:r>
        <w:rPr>
          <w:rFonts w:hint="eastAsia" w:ascii="仿宋_GB2312" w:eastAsia="仿宋_GB2312"/>
          <w:sz w:val="32"/>
          <w:szCs w:val="32"/>
        </w:rPr>
        <w:t>187万元的基础上，加上动用上年结余资金1万元，</w:t>
      </w:r>
      <w:r>
        <w:rPr>
          <w:rFonts w:hint="eastAsia" w:ascii="仿宋_GB2312" w:eastAsia="仿宋_GB2312"/>
          <w:b/>
          <w:sz w:val="32"/>
          <w:szCs w:val="32"/>
        </w:rPr>
        <w:t>国有资本经营预算收入总量</w:t>
      </w:r>
      <w:r>
        <w:rPr>
          <w:rFonts w:hint="eastAsia" w:ascii="仿宋_GB2312" w:eastAsia="仿宋_GB2312"/>
          <w:sz w:val="32"/>
          <w:szCs w:val="32"/>
        </w:rPr>
        <w:t>为3</w:t>
      </w:r>
      <w:r>
        <w:rPr>
          <w:rFonts w:ascii="仿宋_GB2312" w:eastAsia="仿宋_GB2312"/>
          <w:sz w:val="32"/>
          <w:szCs w:val="32"/>
        </w:rPr>
        <w:t>,</w:t>
      </w:r>
      <w:r>
        <w:rPr>
          <w:rFonts w:hint="eastAsia" w:ascii="仿宋_GB2312" w:eastAsia="仿宋_GB2312"/>
          <w:sz w:val="32"/>
          <w:szCs w:val="32"/>
        </w:rPr>
        <w:t>188万元。</w:t>
      </w:r>
    </w:p>
    <w:p w14:paraId="0212BB17">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 国有资本经营预算支出情况</w:t>
      </w:r>
    </w:p>
    <w:p w14:paraId="7470E6E4">
      <w:pPr>
        <w:adjustRightInd w:val="0"/>
        <w:snapToGrid w:val="0"/>
        <w:spacing w:line="560" w:lineRule="exact"/>
        <w:ind w:firstLine="643" w:firstLineChars="200"/>
        <w:rPr>
          <w:rFonts w:ascii="仿宋_GB2312" w:eastAsia="仿宋_GB2312"/>
          <w:sz w:val="32"/>
          <w:szCs w:val="32"/>
        </w:rPr>
      </w:pPr>
      <w:r>
        <w:rPr>
          <w:rFonts w:hint="eastAsia" w:ascii="仿宋_GB2312" w:eastAsia="仿宋_GB2312"/>
          <w:b/>
          <w:sz w:val="32"/>
          <w:szCs w:val="32"/>
        </w:rPr>
        <w:t>国有资本经营预算支出</w:t>
      </w:r>
      <w:r>
        <w:rPr>
          <w:rFonts w:hint="eastAsia" w:ascii="仿宋_GB2312" w:eastAsia="仿宋_GB2312"/>
          <w:sz w:val="32"/>
          <w:szCs w:val="32"/>
        </w:rPr>
        <w:t>完成3</w:t>
      </w:r>
      <w:r>
        <w:rPr>
          <w:rFonts w:ascii="仿宋_GB2312" w:eastAsia="仿宋_GB2312"/>
          <w:sz w:val="32"/>
          <w:szCs w:val="32"/>
        </w:rPr>
        <w:t>,</w:t>
      </w:r>
      <w:r>
        <w:rPr>
          <w:rFonts w:hint="eastAsia" w:ascii="仿宋_GB2312" w:eastAsia="仿宋_GB2312"/>
          <w:sz w:val="32"/>
          <w:szCs w:val="32"/>
        </w:rPr>
        <w:t>185万元，完成年初预算2</w:t>
      </w:r>
      <w:r>
        <w:rPr>
          <w:rFonts w:ascii="仿宋_GB2312" w:eastAsia="仿宋_GB2312"/>
          <w:sz w:val="32"/>
          <w:szCs w:val="32"/>
        </w:rPr>
        <w:t>,</w:t>
      </w:r>
      <w:r>
        <w:rPr>
          <w:rFonts w:hint="eastAsia" w:ascii="仿宋_GB2312" w:eastAsia="仿宋_GB2312"/>
          <w:sz w:val="32"/>
          <w:szCs w:val="32"/>
        </w:rPr>
        <w:t>864万元的111.2%。其中资本性支出2</w:t>
      </w:r>
      <w:r>
        <w:rPr>
          <w:rFonts w:ascii="仿宋_GB2312" w:eastAsia="仿宋_GB2312"/>
          <w:sz w:val="32"/>
          <w:szCs w:val="32"/>
        </w:rPr>
        <w:t>,</w:t>
      </w:r>
      <w:r>
        <w:rPr>
          <w:rFonts w:hint="eastAsia" w:ascii="仿宋_GB2312" w:eastAsia="仿宋_GB2312"/>
          <w:sz w:val="32"/>
          <w:szCs w:val="32"/>
        </w:rPr>
        <w:t>548万元，主要用于支持北京静态交通丰台有限公司增资和园区产业基地东三期产业用地开发项目，另有调出到一般公共预算637万元。</w:t>
      </w:r>
    </w:p>
    <w:p w14:paraId="64684515">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在支出完成3,185万元的基础上，加上结转下年的支出3万元，</w:t>
      </w:r>
      <w:r>
        <w:rPr>
          <w:rFonts w:hint="eastAsia" w:ascii="仿宋_GB2312" w:eastAsia="仿宋_GB2312"/>
          <w:b/>
          <w:sz w:val="32"/>
          <w:szCs w:val="32"/>
        </w:rPr>
        <w:t>国有资本经营预算支出总量</w:t>
      </w:r>
      <w:r>
        <w:rPr>
          <w:rFonts w:hint="eastAsia" w:ascii="仿宋_GB2312" w:eastAsia="仿宋_GB2312"/>
          <w:sz w:val="32"/>
          <w:szCs w:val="32"/>
        </w:rPr>
        <w:t>为3,188万元。</w:t>
      </w:r>
    </w:p>
    <w:p w14:paraId="0D8311BC">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3.与向区十六届人大六次会议报告的执行数相比，国有资本经营预算收入和支出均无变化。</w:t>
      </w:r>
    </w:p>
    <w:p w14:paraId="428E2770">
      <w:pPr>
        <w:adjustRightInd w:val="0"/>
        <w:snapToGrid w:val="0"/>
        <w:spacing w:line="560" w:lineRule="exact"/>
        <w:ind w:firstLine="643" w:firstLineChars="200"/>
        <w:jc w:val="left"/>
        <w:rPr>
          <w:rFonts w:ascii="仿宋_GB2312" w:eastAsia="仿宋_GB2312"/>
          <w:b/>
          <w:sz w:val="32"/>
          <w:szCs w:val="32"/>
        </w:rPr>
      </w:pPr>
      <w:r>
        <w:rPr>
          <w:rFonts w:hint="eastAsia" w:ascii="楷体_GB2312" w:eastAsia="楷体_GB2312"/>
          <w:b/>
          <w:sz w:val="32"/>
          <w:szCs w:val="32"/>
        </w:rPr>
        <w:t>（四）社会保险基金预算收支决算情况</w:t>
      </w:r>
    </w:p>
    <w:p w14:paraId="5552BA10">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1.社会保险基金预算收入情况</w:t>
      </w:r>
    </w:p>
    <w:p w14:paraId="36742510">
      <w:pPr>
        <w:adjustRightInd w:val="0"/>
        <w:snapToGrid w:val="0"/>
        <w:spacing w:line="560" w:lineRule="exact"/>
        <w:ind w:firstLine="643" w:firstLineChars="200"/>
        <w:rPr>
          <w:rFonts w:ascii="仿宋_GB2312" w:eastAsia="仿宋_GB2312"/>
          <w:sz w:val="32"/>
          <w:szCs w:val="32"/>
        </w:rPr>
      </w:pPr>
      <w:r>
        <w:rPr>
          <w:rFonts w:hint="eastAsia" w:ascii="仿宋_GB2312" w:eastAsia="仿宋_GB2312"/>
          <w:b/>
          <w:sz w:val="32"/>
          <w:szCs w:val="32"/>
        </w:rPr>
        <w:t>社会保险基金预算收入</w:t>
      </w:r>
      <w:r>
        <w:rPr>
          <w:rFonts w:hint="eastAsia" w:ascii="仿宋_GB2312" w:eastAsia="仿宋_GB2312"/>
          <w:sz w:val="32"/>
          <w:szCs w:val="32"/>
        </w:rPr>
        <w:t>46,987万元，完成年初预算的98.2</w:t>
      </w:r>
      <w:r>
        <w:rPr>
          <w:rFonts w:ascii="仿宋_GB2312" w:eastAsia="仿宋_GB2312"/>
          <w:sz w:val="32"/>
          <w:szCs w:val="32"/>
        </w:rPr>
        <w:t>%</w:t>
      </w:r>
      <w:r>
        <w:rPr>
          <w:rFonts w:hint="eastAsia" w:ascii="仿宋_GB2312" w:eastAsia="仿宋_GB2312"/>
          <w:sz w:val="32"/>
          <w:szCs w:val="32"/>
        </w:rPr>
        <w:t>。其中，新型农村合作医疗基金预算收入4</w:t>
      </w:r>
      <w:r>
        <w:rPr>
          <w:rFonts w:ascii="仿宋_GB2312" w:eastAsia="仿宋_GB2312"/>
          <w:sz w:val="32"/>
          <w:szCs w:val="32"/>
        </w:rPr>
        <w:t>,</w:t>
      </w:r>
      <w:r>
        <w:rPr>
          <w:rFonts w:hint="eastAsia" w:ascii="仿宋_GB2312" w:eastAsia="仿宋_GB2312"/>
          <w:sz w:val="32"/>
          <w:szCs w:val="32"/>
        </w:rPr>
        <w:t>017万元，城乡居民养老保险基金预算收入42</w:t>
      </w:r>
      <w:r>
        <w:rPr>
          <w:rFonts w:ascii="仿宋_GB2312" w:eastAsia="仿宋_GB2312"/>
          <w:sz w:val="32"/>
          <w:szCs w:val="32"/>
        </w:rPr>
        <w:t>,</w:t>
      </w:r>
      <w:r>
        <w:rPr>
          <w:rFonts w:hint="eastAsia" w:ascii="仿宋_GB2312" w:eastAsia="仿宋_GB2312"/>
          <w:sz w:val="32"/>
          <w:szCs w:val="32"/>
        </w:rPr>
        <w:t>970万元。</w:t>
      </w:r>
    </w:p>
    <w:p w14:paraId="58311F71">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在收入完成46,987万元的基础上，加上年结余收入111</w:t>
      </w:r>
      <w:r>
        <w:rPr>
          <w:rFonts w:ascii="仿宋_GB2312" w:eastAsia="仿宋_GB2312"/>
          <w:sz w:val="32"/>
          <w:szCs w:val="32"/>
        </w:rPr>
        <w:t>,</w:t>
      </w:r>
      <w:r>
        <w:rPr>
          <w:rFonts w:hint="eastAsia" w:ascii="仿宋_GB2312" w:eastAsia="仿宋_GB2312"/>
          <w:sz w:val="32"/>
          <w:szCs w:val="32"/>
        </w:rPr>
        <w:t>414万元，</w:t>
      </w:r>
      <w:r>
        <w:rPr>
          <w:rFonts w:hint="eastAsia" w:ascii="仿宋_GB2312" w:eastAsia="仿宋_GB2312"/>
          <w:b/>
          <w:sz w:val="32"/>
          <w:szCs w:val="32"/>
        </w:rPr>
        <w:t>社会保险基金预算收入总量</w:t>
      </w:r>
      <w:r>
        <w:rPr>
          <w:rFonts w:hint="eastAsia" w:ascii="仿宋_GB2312" w:eastAsia="仿宋_GB2312"/>
          <w:sz w:val="32"/>
          <w:szCs w:val="32"/>
        </w:rPr>
        <w:t>为158</w:t>
      </w:r>
      <w:r>
        <w:rPr>
          <w:rFonts w:ascii="仿宋_GB2312" w:eastAsia="仿宋_GB2312"/>
          <w:sz w:val="32"/>
          <w:szCs w:val="32"/>
        </w:rPr>
        <w:t>,</w:t>
      </w:r>
      <w:r>
        <w:rPr>
          <w:rFonts w:hint="eastAsia" w:ascii="仿宋_GB2312" w:eastAsia="仿宋_GB2312"/>
          <w:sz w:val="32"/>
          <w:szCs w:val="32"/>
        </w:rPr>
        <w:t>401万元。</w:t>
      </w:r>
    </w:p>
    <w:p w14:paraId="30A0F6DC">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2.社会保险基金预算支出情况</w:t>
      </w:r>
    </w:p>
    <w:p w14:paraId="7FDADD4A">
      <w:pPr>
        <w:adjustRightInd w:val="0"/>
        <w:snapToGrid w:val="0"/>
        <w:spacing w:line="560" w:lineRule="exact"/>
        <w:ind w:firstLine="643" w:firstLineChars="200"/>
        <w:rPr>
          <w:rFonts w:ascii="仿宋_GB2312" w:eastAsia="仿宋_GB2312"/>
          <w:sz w:val="32"/>
          <w:szCs w:val="32"/>
        </w:rPr>
      </w:pPr>
      <w:r>
        <w:rPr>
          <w:rFonts w:hint="eastAsia" w:ascii="仿宋_GB2312" w:eastAsia="仿宋_GB2312"/>
          <w:b/>
          <w:sz w:val="32"/>
          <w:szCs w:val="32"/>
        </w:rPr>
        <w:t>社会保险基金预算支出</w:t>
      </w:r>
      <w:r>
        <w:rPr>
          <w:rFonts w:hint="eastAsia" w:ascii="仿宋_GB2312" w:eastAsia="仿宋_GB2312"/>
          <w:sz w:val="32"/>
          <w:szCs w:val="32"/>
        </w:rPr>
        <w:t>46</w:t>
      </w:r>
      <w:r>
        <w:rPr>
          <w:rFonts w:ascii="仿宋_GB2312" w:eastAsia="仿宋_GB2312"/>
          <w:sz w:val="32"/>
          <w:szCs w:val="32"/>
        </w:rPr>
        <w:t>,</w:t>
      </w:r>
      <w:r>
        <w:rPr>
          <w:rFonts w:hint="eastAsia" w:ascii="仿宋_GB2312" w:eastAsia="仿宋_GB2312"/>
          <w:sz w:val="32"/>
          <w:szCs w:val="32"/>
        </w:rPr>
        <w:t>415万元，完成年初预算的94.3</w:t>
      </w:r>
      <w:r>
        <w:rPr>
          <w:rFonts w:ascii="仿宋_GB2312" w:eastAsia="仿宋_GB2312"/>
          <w:sz w:val="32"/>
          <w:szCs w:val="32"/>
        </w:rPr>
        <w:t>%</w:t>
      </w:r>
      <w:r>
        <w:rPr>
          <w:rFonts w:hint="eastAsia" w:ascii="仿宋_GB2312" w:eastAsia="仿宋_GB2312"/>
          <w:sz w:val="32"/>
          <w:szCs w:val="32"/>
        </w:rPr>
        <w:t>。其中，新型农村合作医疗基金预算支出5</w:t>
      </w:r>
      <w:r>
        <w:rPr>
          <w:rFonts w:ascii="仿宋_GB2312" w:eastAsia="仿宋_GB2312"/>
          <w:sz w:val="32"/>
          <w:szCs w:val="32"/>
        </w:rPr>
        <w:t>,</w:t>
      </w:r>
      <w:r>
        <w:rPr>
          <w:rFonts w:hint="eastAsia" w:ascii="仿宋_GB2312" w:eastAsia="仿宋_GB2312"/>
          <w:sz w:val="32"/>
          <w:szCs w:val="32"/>
        </w:rPr>
        <w:t>800万元，城乡居民养老保险基金预算支出40,615万元。</w:t>
      </w:r>
    </w:p>
    <w:p w14:paraId="5E1C849B">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在支出完成46,415万元的基础上，加年终结余111</w:t>
      </w:r>
      <w:r>
        <w:rPr>
          <w:rFonts w:ascii="仿宋_GB2312" w:eastAsia="仿宋_GB2312"/>
          <w:sz w:val="32"/>
          <w:szCs w:val="32"/>
        </w:rPr>
        <w:t>,</w:t>
      </w:r>
      <w:r>
        <w:rPr>
          <w:rFonts w:hint="eastAsia" w:ascii="仿宋_GB2312" w:eastAsia="仿宋_GB2312"/>
          <w:sz w:val="32"/>
          <w:szCs w:val="32"/>
        </w:rPr>
        <w:t>986万元，</w:t>
      </w:r>
      <w:r>
        <w:rPr>
          <w:rFonts w:hint="eastAsia" w:ascii="仿宋_GB2312" w:eastAsia="仿宋_GB2312"/>
          <w:b/>
          <w:sz w:val="32"/>
          <w:szCs w:val="32"/>
        </w:rPr>
        <w:t>社会保险基金预算支出总量</w:t>
      </w:r>
      <w:r>
        <w:rPr>
          <w:rFonts w:hint="eastAsia" w:ascii="仿宋_GB2312" w:eastAsia="仿宋_GB2312"/>
          <w:sz w:val="32"/>
          <w:szCs w:val="32"/>
        </w:rPr>
        <w:t>为158</w:t>
      </w:r>
      <w:r>
        <w:rPr>
          <w:rFonts w:ascii="仿宋_GB2312" w:eastAsia="仿宋_GB2312"/>
          <w:sz w:val="32"/>
          <w:szCs w:val="32"/>
        </w:rPr>
        <w:t>,</w:t>
      </w:r>
      <w:r>
        <w:rPr>
          <w:rFonts w:hint="eastAsia" w:ascii="仿宋_GB2312" w:eastAsia="仿宋_GB2312"/>
          <w:sz w:val="32"/>
          <w:szCs w:val="32"/>
        </w:rPr>
        <w:t>401万元。</w:t>
      </w:r>
    </w:p>
    <w:p w14:paraId="65AB2F3B">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3.与向区十六届人大六次会议报告的执行数相比，社会保险基金预算收入和支出均无变化。</w:t>
      </w:r>
    </w:p>
    <w:p w14:paraId="6053CD00">
      <w:pPr>
        <w:adjustRightInd w:val="0"/>
        <w:snapToGrid w:val="0"/>
        <w:spacing w:line="560" w:lineRule="exact"/>
        <w:ind w:firstLine="643" w:firstLineChars="200"/>
        <w:rPr>
          <w:rFonts w:ascii="楷体_GB2312" w:eastAsia="楷体_GB2312"/>
          <w:b/>
          <w:sz w:val="32"/>
          <w:szCs w:val="32"/>
        </w:rPr>
      </w:pPr>
      <w:r>
        <w:rPr>
          <w:rFonts w:hint="eastAsia" w:ascii="楷体_GB2312" w:eastAsia="楷体_GB2312"/>
          <w:b/>
          <w:sz w:val="32"/>
          <w:szCs w:val="32"/>
        </w:rPr>
        <w:t>（五）政府债务情况</w:t>
      </w:r>
    </w:p>
    <w:p w14:paraId="5DC698CB">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2018年我区政府债务应还本金84,200万元，全部为一般政府债券，实际偿还本金84,200万元，其中，使用再融资政府债券偿还本金84</w:t>
      </w:r>
      <w:r>
        <w:rPr>
          <w:rFonts w:ascii="仿宋_GB2312" w:eastAsia="仿宋_GB2312"/>
          <w:sz w:val="32"/>
          <w:szCs w:val="32"/>
        </w:rPr>
        <w:t>,</w:t>
      </w:r>
      <w:r>
        <w:rPr>
          <w:rFonts w:hint="eastAsia" w:ascii="仿宋_GB2312" w:eastAsia="仿宋_GB2312"/>
          <w:sz w:val="32"/>
          <w:szCs w:val="32"/>
        </w:rPr>
        <w:t>199万元，安排一般公共预算资金偿还本金1万元。</w:t>
      </w:r>
    </w:p>
    <w:p w14:paraId="78D28FE7">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2018年应付一般债务利息及相关手续费43,990万元，全部使用一般公共预算资金支付；应付专项债务利息及相关手续费46,395万元，全部使用政府性基金资金支付。</w:t>
      </w:r>
    </w:p>
    <w:p w14:paraId="6748B8DA">
      <w:pPr>
        <w:adjustRightInd w:val="0"/>
        <w:snapToGrid w:val="0"/>
        <w:spacing w:line="560" w:lineRule="exact"/>
        <w:ind w:firstLine="640" w:firstLineChars="200"/>
        <w:rPr>
          <w:rFonts w:ascii="楷体_GB2312" w:eastAsia="楷体_GB2312"/>
          <w:sz w:val="32"/>
          <w:szCs w:val="32"/>
        </w:rPr>
      </w:pPr>
      <w:r>
        <w:rPr>
          <w:rFonts w:hint="eastAsia" w:ascii="仿宋_GB2312" w:eastAsia="仿宋_GB2312"/>
          <w:sz w:val="32"/>
          <w:szCs w:val="32"/>
        </w:rPr>
        <w:t>截至2018年末，我区政府债务余额为2</w:t>
      </w:r>
      <w:r>
        <w:rPr>
          <w:rFonts w:ascii="仿宋_GB2312" w:eastAsia="仿宋_GB2312"/>
          <w:sz w:val="32"/>
          <w:szCs w:val="32"/>
        </w:rPr>
        <w:t>,</w:t>
      </w:r>
      <w:r>
        <w:rPr>
          <w:rFonts w:hint="eastAsia" w:ascii="仿宋_GB2312" w:eastAsia="仿宋_GB2312"/>
          <w:sz w:val="32"/>
          <w:szCs w:val="32"/>
        </w:rPr>
        <w:t>517</w:t>
      </w:r>
      <w:r>
        <w:rPr>
          <w:rFonts w:ascii="仿宋_GB2312" w:eastAsia="仿宋_GB2312"/>
          <w:sz w:val="32"/>
          <w:szCs w:val="32"/>
        </w:rPr>
        <w:t>,</w:t>
      </w:r>
      <w:r>
        <w:rPr>
          <w:rFonts w:hint="eastAsia" w:ascii="仿宋_GB2312" w:eastAsia="仿宋_GB2312"/>
          <w:sz w:val="32"/>
          <w:szCs w:val="32"/>
        </w:rPr>
        <w:t>573万元，其中一般债务</w:t>
      </w:r>
      <w:r>
        <w:rPr>
          <w:rFonts w:ascii="仿宋_GB2312" w:eastAsia="仿宋_GB2312"/>
          <w:sz w:val="32"/>
          <w:szCs w:val="32"/>
        </w:rPr>
        <w:t>1,297,57</w:t>
      </w:r>
      <w:r>
        <w:rPr>
          <w:rFonts w:hint="eastAsia" w:ascii="仿宋_GB2312" w:eastAsia="仿宋_GB2312"/>
          <w:sz w:val="32"/>
          <w:szCs w:val="32"/>
        </w:rPr>
        <w:t>3万元，专项债务</w:t>
      </w:r>
      <w:r>
        <w:rPr>
          <w:rFonts w:ascii="仿宋_GB2312" w:eastAsia="仿宋_GB2312"/>
          <w:sz w:val="32"/>
          <w:szCs w:val="32"/>
        </w:rPr>
        <w:t>1,220,000</w:t>
      </w:r>
      <w:r>
        <w:rPr>
          <w:rFonts w:hint="eastAsia" w:ascii="仿宋_GB2312" w:eastAsia="仿宋_GB2312"/>
          <w:sz w:val="32"/>
          <w:szCs w:val="32"/>
        </w:rPr>
        <w:t>万元。债务总额控制在市政府批准的4</w:t>
      </w:r>
      <w:r>
        <w:rPr>
          <w:rFonts w:ascii="仿宋_GB2312" w:eastAsia="仿宋_GB2312"/>
          <w:sz w:val="32"/>
          <w:szCs w:val="32"/>
        </w:rPr>
        <w:t>,</w:t>
      </w:r>
      <w:r>
        <w:rPr>
          <w:rFonts w:hint="eastAsia" w:ascii="仿宋_GB2312" w:eastAsia="仿宋_GB2312"/>
          <w:sz w:val="32"/>
          <w:szCs w:val="32"/>
        </w:rPr>
        <w:t>401</w:t>
      </w:r>
      <w:r>
        <w:rPr>
          <w:rFonts w:ascii="仿宋_GB2312" w:eastAsia="仿宋_GB2312"/>
          <w:sz w:val="32"/>
          <w:szCs w:val="32"/>
        </w:rPr>
        <w:t>,</w:t>
      </w:r>
      <w:r>
        <w:rPr>
          <w:rFonts w:hint="eastAsia" w:ascii="仿宋_GB2312" w:eastAsia="仿宋_GB2312"/>
          <w:sz w:val="32"/>
          <w:szCs w:val="32"/>
        </w:rPr>
        <w:t>100万元（其中，一般债务1</w:t>
      </w:r>
      <w:r>
        <w:rPr>
          <w:rFonts w:ascii="仿宋_GB2312" w:eastAsia="仿宋_GB2312"/>
          <w:sz w:val="32"/>
          <w:szCs w:val="32"/>
        </w:rPr>
        <w:t>,</w:t>
      </w:r>
      <w:r>
        <w:rPr>
          <w:rFonts w:hint="eastAsia" w:ascii="仿宋_GB2312" w:eastAsia="仿宋_GB2312"/>
          <w:sz w:val="32"/>
          <w:szCs w:val="32"/>
        </w:rPr>
        <w:t>793</w:t>
      </w:r>
      <w:r>
        <w:rPr>
          <w:rFonts w:ascii="仿宋_GB2312" w:eastAsia="仿宋_GB2312"/>
          <w:sz w:val="32"/>
          <w:szCs w:val="32"/>
        </w:rPr>
        <w:t>,</w:t>
      </w:r>
      <w:r>
        <w:rPr>
          <w:rFonts w:hint="eastAsia" w:ascii="仿宋_GB2312" w:eastAsia="仿宋_GB2312"/>
          <w:sz w:val="32"/>
          <w:szCs w:val="32"/>
        </w:rPr>
        <w:t>800万元，专项债务2</w:t>
      </w:r>
      <w:r>
        <w:rPr>
          <w:rFonts w:ascii="仿宋_GB2312" w:eastAsia="仿宋_GB2312"/>
          <w:sz w:val="32"/>
          <w:szCs w:val="32"/>
        </w:rPr>
        <w:t>,</w:t>
      </w:r>
      <w:r>
        <w:rPr>
          <w:rFonts w:hint="eastAsia" w:ascii="仿宋_GB2312" w:eastAsia="仿宋_GB2312"/>
          <w:sz w:val="32"/>
          <w:szCs w:val="32"/>
        </w:rPr>
        <w:t>607</w:t>
      </w:r>
      <w:r>
        <w:rPr>
          <w:rFonts w:ascii="仿宋_GB2312" w:eastAsia="仿宋_GB2312"/>
          <w:sz w:val="32"/>
          <w:szCs w:val="32"/>
        </w:rPr>
        <w:t>,</w:t>
      </w:r>
      <w:r>
        <w:rPr>
          <w:rFonts w:hint="eastAsia" w:ascii="仿宋_GB2312" w:eastAsia="仿宋_GB2312"/>
          <w:sz w:val="32"/>
          <w:szCs w:val="32"/>
        </w:rPr>
        <w:t>300万元）限额以内。</w:t>
      </w:r>
    </w:p>
    <w:p w14:paraId="2D91AB5D">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二、落实重点政策和区人大预算决议情况</w:t>
      </w:r>
    </w:p>
    <w:p w14:paraId="4B680932">
      <w:pPr>
        <w:spacing w:line="560" w:lineRule="exact"/>
        <w:ind w:firstLine="640" w:firstLineChars="200"/>
        <w:rPr>
          <w:rFonts w:ascii="仿宋_GB2312" w:eastAsia="仿宋_GB2312"/>
          <w:sz w:val="32"/>
          <w:szCs w:val="32"/>
        </w:rPr>
      </w:pPr>
      <w:r>
        <w:rPr>
          <w:rFonts w:hint="eastAsia" w:ascii="仿宋_GB2312" w:eastAsia="仿宋_GB2312"/>
          <w:sz w:val="32"/>
          <w:szCs w:val="32"/>
        </w:rPr>
        <w:t>2018年，面对严峻复杂的财政经济形势，区政府及各部门坚决贯彻落实市委市政府工作要求和区委工作部署，认真落实区人大会议决议及相关审查意见，决算情况总体良好，财政运行稳中有进，预算管理工作不断提升。</w:t>
      </w:r>
    </w:p>
    <w:p w14:paraId="3D7454ED">
      <w:pPr>
        <w:spacing w:line="560" w:lineRule="exact"/>
        <w:ind w:firstLine="643" w:firstLineChars="200"/>
        <w:rPr>
          <w:rFonts w:ascii="楷体_GB2312" w:eastAsia="楷体_GB2312"/>
          <w:b/>
          <w:sz w:val="32"/>
          <w:szCs w:val="32"/>
        </w:rPr>
      </w:pPr>
      <w:r>
        <w:rPr>
          <w:rFonts w:hint="eastAsia" w:ascii="楷体_GB2312" w:eastAsia="楷体_GB2312"/>
          <w:b/>
          <w:sz w:val="32"/>
          <w:szCs w:val="32"/>
        </w:rPr>
        <w:t>（一）财政收入实现稳定增长，财源建设体系加快成熟</w:t>
      </w:r>
    </w:p>
    <w:p w14:paraId="62E01BEC">
      <w:pPr>
        <w:spacing w:line="560" w:lineRule="exact"/>
        <w:ind w:firstLine="640" w:firstLineChars="200"/>
        <w:rPr>
          <w:rFonts w:ascii="仿宋_GB2312" w:eastAsia="仿宋_GB2312"/>
          <w:sz w:val="32"/>
          <w:szCs w:val="32"/>
        </w:rPr>
      </w:pPr>
      <w:r>
        <w:rPr>
          <w:rFonts w:hint="eastAsia" w:ascii="仿宋_GB2312" w:eastAsia="仿宋_GB2312"/>
          <w:sz w:val="32"/>
          <w:szCs w:val="32"/>
        </w:rPr>
        <w:t>2018年，面对经济下行压力，区政府及各部门积极应对，全面落实减税降费政策，持续优化营商环境，大力调整优化产业结构，积极培养后劲财源，经济实现稳步增长。全区一般公共预算收入完成1</w:t>
      </w:r>
      <w:r>
        <w:rPr>
          <w:rFonts w:ascii="仿宋_GB2312" w:eastAsia="仿宋_GB2312"/>
          <w:sz w:val="32"/>
          <w:szCs w:val="32"/>
        </w:rPr>
        <w:t>,</w:t>
      </w:r>
      <w:r>
        <w:rPr>
          <w:rFonts w:hint="eastAsia" w:ascii="仿宋_GB2312" w:eastAsia="仿宋_GB2312"/>
          <w:sz w:val="32"/>
          <w:szCs w:val="32"/>
        </w:rPr>
        <w:t>216,034万元，增长7.5%，超过全市一般公共预算增幅1个百分点。从结构上看，丽泽金融商务区留区税收呈指数型增长，科技园区留区税收稳步提高，全区高新产业财政收入增长8.8</w:t>
      </w:r>
      <w:r>
        <w:rPr>
          <w:rFonts w:ascii="仿宋_GB2312" w:eastAsia="仿宋_GB2312"/>
          <w:sz w:val="32"/>
          <w:szCs w:val="32"/>
        </w:rPr>
        <w:t>%</w:t>
      </w:r>
      <w:r>
        <w:rPr>
          <w:rFonts w:hint="eastAsia" w:ascii="仿宋_GB2312" w:eastAsia="仿宋_GB2312"/>
          <w:sz w:val="32"/>
          <w:szCs w:val="32"/>
        </w:rPr>
        <w:t>，高于区级一般公共预算收入增幅1.3个百分点，对收入增长的贡献进一步提升。财政收入实现平稳增长离不开我区财源建设体系的运转成熟。围绕全年预算收入目标和经济形势预期，区政府及各部门聚焦优化营商环境建设，建立区域重点企业“服务包”制度和定期沟通走访机制，促进异地纳税企业等潜在税源项目落地，进一步简化行政审批流程，充分发挥财政资金对产业扶持的积极作用，夯实财源建设中的街道乡镇属地职能和行业主管部门职能，提高涵养税源力度。2018年新引进注册资本金5,000万以上企业399家，增长24%，市场活力持续释放，区域财力规模进一步增强。</w:t>
      </w:r>
    </w:p>
    <w:p w14:paraId="067A8E4D">
      <w:pPr>
        <w:spacing w:line="560" w:lineRule="exact"/>
        <w:ind w:firstLine="643" w:firstLineChars="200"/>
        <w:rPr>
          <w:rFonts w:ascii="楷体_GB2312" w:eastAsia="楷体_GB2312"/>
          <w:b/>
          <w:sz w:val="32"/>
          <w:szCs w:val="32"/>
        </w:rPr>
      </w:pPr>
      <w:r>
        <w:rPr>
          <w:rFonts w:hint="eastAsia" w:ascii="楷体_GB2312" w:eastAsia="楷体_GB2312"/>
          <w:b/>
          <w:sz w:val="32"/>
          <w:szCs w:val="32"/>
        </w:rPr>
        <w:t>（二）调整优化支出结构，集中财力保障重点领域支出</w:t>
      </w:r>
    </w:p>
    <w:p w14:paraId="277AFE26">
      <w:pPr>
        <w:spacing w:line="560" w:lineRule="exact"/>
        <w:ind w:firstLine="640" w:firstLineChars="200"/>
        <w:rPr>
          <w:rFonts w:ascii="仿宋_GB2312" w:eastAsia="仿宋_GB2312"/>
          <w:sz w:val="32"/>
          <w:szCs w:val="32"/>
        </w:rPr>
      </w:pPr>
      <w:r>
        <w:rPr>
          <w:rFonts w:hint="eastAsia" w:ascii="仿宋_GB2312" w:eastAsia="仿宋_GB2312"/>
          <w:sz w:val="32"/>
          <w:szCs w:val="32"/>
        </w:rPr>
        <w:t>2018年，区政府及各部门牢固树立过紧日子的思想，按照有保有压的原则，持续调整优化支出结构。继续压缩一般性支出，从严控制非紧急、非刚性支出，全年区级“三公”经费支出同比降低7.6%。加强预算绩效管理，提升财政资金使用效益，全年共完成事前绩效评估项目54个，节约财政资金11,553万元。提高财政资金统筹力度，集中财力保障重点领域和薄弱环节投入，支持重点政策落地生根。在保证各重点领域支出基本同比增长的基础上，全年又盘活存量资金433,429万元统筹用于基础设施建设、生态环保等社会发展亟需资金支持的领域。全区城市绿化面积同比增长5.3%，大气优良天数同比增加24天，市级黑臭水体治理全面完成，美丽乡村加快推进，城市环境明显改善，丽泽金融商务区发展全面提速，科技园区服务环境继续优化升级，南中轴和南苑-大红门地区、卢沟桥国家文化公园规划稳步推进，城市建设和城市治理水平持续提升，社会保障更加有力。</w:t>
      </w:r>
    </w:p>
    <w:p w14:paraId="21B82714">
      <w:pPr>
        <w:spacing w:line="560" w:lineRule="exact"/>
        <w:ind w:firstLine="643" w:firstLineChars="200"/>
        <w:rPr>
          <w:rFonts w:ascii="楷体_GB2312" w:eastAsia="楷体_GB2312"/>
          <w:b/>
          <w:sz w:val="32"/>
          <w:szCs w:val="32"/>
        </w:rPr>
      </w:pPr>
      <w:r>
        <w:rPr>
          <w:rFonts w:hint="eastAsia" w:ascii="楷体_GB2312" w:eastAsia="楷体_GB2312"/>
          <w:b/>
          <w:sz w:val="32"/>
          <w:szCs w:val="32"/>
        </w:rPr>
        <w:t>（三）加快预算体系改革，提升财政管理现代化水平</w:t>
      </w:r>
    </w:p>
    <w:p w14:paraId="23D8EF13">
      <w:pPr>
        <w:spacing w:line="560" w:lineRule="exact"/>
        <w:ind w:firstLine="640" w:firstLineChars="200"/>
        <w:rPr>
          <w:rFonts w:ascii="仿宋_GB2312" w:eastAsia="仿宋_GB2312"/>
          <w:sz w:val="32"/>
          <w:szCs w:val="32"/>
        </w:rPr>
      </w:pPr>
      <w:r>
        <w:rPr>
          <w:rFonts w:hint="eastAsia" w:ascii="仿宋_GB2312" w:eastAsia="仿宋_GB2312"/>
          <w:sz w:val="32"/>
          <w:szCs w:val="32"/>
        </w:rPr>
        <w:t>夯实预算管理基础。完善定员定额标准，依托项目库实施跨年度项目管理，规范年中预算调整流程，强化预算硬约束；完成新一轮街道乡镇体制编制工作；建立健全“疏整促”、“吹哨报到”等5项专项资金管理办法；强化绩效管理水平，实现政府预算、部门和单位预算、政策和项目预算绩效的全方位管理，构建事前、事中、事后的全过程绩效管理闭环系统，认真落实预算审查监督重点向支出预算和政策拓展有关要求，向人大财经委报送2019年预算编制中的重点项目和重点支出政策。提高预算执行效率。完善以加快支出进度为核心的预算执行督导机制，加大存量资金消化进度，全面提升财政资源配置效率；在全市范围内率先实现国库集中支付业务电子化全覆盖，建立国库现金流量预测体。深化财政风险防控。规范政府债务预算管理，建立政府隐性债务监管体系；发挥财政监督职能，开展“开墙打洞”专项资金、会计监督、财政票据等多项专项检查；建立与人大、审计等部门协同监管机制，认真落实审计整改意见；推进行政事业单位内控制度落地执行，建立“回头看上年度+新评价本年度”的外评机制；细化预决算公开内容，规范项目绩效公开形式，除涉密信息外区级部门预决算公开全覆盖。</w:t>
      </w:r>
    </w:p>
    <w:p w14:paraId="0FF7C7D9">
      <w:pPr>
        <w:spacing w:line="560" w:lineRule="exact"/>
        <w:ind w:firstLine="640" w:firstLineChars="200"/>
        <w:rPr>
          <w:rFonts w:ascii="黑体" w:hAnsi="黑体" w:eastAsia="黑体"/>
          <w:sz w:val="32"/>
          <w:szCs w:val="32"/>
        </w:rPr>
      </w:pPr>
      <w:r>
        <w:rPr>
          <w:rFonts w:hint="eastAsia" w:ascii="黑体" w:hAnsi="黑体" w:eastAsia="黑体"/>
          <w:sz w:val="32"/>
          <w:szCs w:val="32"/>
        </w:rPr>
        <w:t>三、财政预算执行管理中需要关注的问题及解决措施</w:t>
      </w:r>
    </w:p>
    <w:p w14:paraId="2042470B">
      <w:pPr>
        <w:spacing w:line="550" w:lineRule="exact"/>
        <w:ind w:firstLine="640" w:firstLineChars="200"/>
        <w:rPr>
          <w:rFonts w:ascii="仿宋_GB2312" w:eastAsia="仿宋_GB2312"/>
          <w:sz w:val="32"/>
          <w:szCs w:val="32"/>
        </w:rPr>
      </w:pPr>
      <w:r>
        <w:rPr>
          <w:rFonts w:hint="eastAsia" w:ascii="仿宋_GB2312" w:eastAsia="仿宋_GB2312"/>
          <w:sz w:val="32"/>
          <w:szCs w:val="32"/>
        </w:rPr>
        <w:t>2018年各项工作均取得积极进展，但财政工作中仍存在一些需要关注的问题：</w:t>
      </w:r>
      <w:r>
        <w:rPr>
          <w:rFonts w:hint="eastAsia" w:ascii="仿宋_GB2312" w:eastAsia="仿宋_GB2312"/>
          <w:b/>
          <w:sz w:val="32"/>
          <w:szCs w:val="32"/>
        </w:rPr>
        <w:t>一是</w:t>
      </w:r>
      <w:r>
        <w:rPr>
          <w:rFonts w:hint="eastAsia" w:ascii="仿宋_GB2312" w:eastAsia="仿宋_GB2312"/>
          <w:sz w:val="32"/>
          <w:szCs w:val="32"/>
        </w:rPr>
        <w:t>财政收支矛盾日益突出，减税降费政策对财政增收的影响加快显现，财政刚性支出快速增长，财政收支紧平衡特征不断凸显，财政资金配资效率仍需进一步提高；</w:t>
      </w:r>
      <w:r>
        <w:rPr>
          <w:rFonts w:hint="eastAsia" w:ascii="仿宋_GB2312" w:eastAsia="仿宋_GB2312"/>
          <w:b/>
          <w:sz w:val="32"/>
          <w:szCs w:val="32"/>
        </w:rPr>
        <w:t>二是</w:t>
      </w:r>
      <w:r>
        <w:rPr>
          <w:rFonts w:hint="eastAsia" w:ascii="仿宋_GB2312" w:eastAsia="仿宋_GB2312"/>
          <w:sz w:val="32"/>
          <w:szCs w:val="32"/>
        </w:rPr>
        <w:t>绩效目标设置、绩效评价、绩效结果运用等与全面实施绩效管理的要求尚有差距，绩效管理的覆盖面还需扩大，绩效管理水平有待继续完善;</w:t>
      </w:r>
      <w:r>
        <w:rPr>
          <w:rFonts w:hint="eastAsia" w:ascii="仿宋_GB2312" w:eastAsia="仿宋_GB2312"/>
          <w:b/>
          <w:sz w:val="32"/>
          <w:szCs w:val="32"/>
        </w:rPr>
        <w:t>三是</w:t>
      </w:r>
      <w:r>
        <w:rPr>
          <w:rFonts w:hint="eastAsia" w:ascii="仿宋_GB2312" w:eastAsia="仿宋_GB2312"/>
          <w:sz w:val="32"/>
          <w:szCs w:val="32"/>
        </w:rPr>
        <w:t>对标建立全面规范透明、标准科学、约束有力的现代预算制度的要求，财政预算管理仍存在薄弱环节，审计报告中也反映出个别领域的财政资金使用效益不高、个别预算单位执行绩效评价和投资评审等政策不规范等问题。</w:t>
      </w:r>
    </w:p>
    <w:p w14:paraId="48482EF1">
      <w:pPr>
        <w:spacing w:line="550" w:lineRule="exact"/>
        <w:ind w:firstLine="640" w:firstLineChars="200"/>
        <w:rPr>
          <w:rFonts w:ascii="仿宋_GB2312" w:eastAsia="仿宋_GB2312"/>
          <w:sz w:val="32"/>
          <w:szCs w:val="32"/>
        </w:rPr>
      </w:pPr>
      <w:r>
        <w:rPr>
          <w:rFonts w:hint="eastAsia" w:ascii="仿宋_GB2312" w:eastAsia="仿宋_GB2312"/>
          <w:sz w:val="32"/>
          <w:szCs w:val="32"/>
        </w:rPr>
        <w:t>对此，区政府高度重视，要求相关部门深入研究分析影响财政收支运行的不确定因素以及预算管理中存在的问题，切实采取有力措施。一是继续全面深入落实优化营商环境政策措施，提高精准服务水平，培育涵养税源，促进财政收入持续稳定增长；支出方面，适度向北京市申请增加专项债券额度，支持重大在建项目建设，继续压缩一般性支出，聚焦重点领域优化支出结构，提高财政资金配置效率。二是全面推进绩效管理，提高财政资金使用效益，加快构建以绩效预算为导向的预算管理制度，试点开展绩效成本预算管理，将绩效管理范围覆盖所有预算资金，推动预算全过程绩效管理，特别是注重区级资金保障的重点政策、重点项目绩效评价及应用。三是全面落实</w:t>
      </w:r>
      <w:r>
        <w:rPr>
          <w:rFonts w:hint="eastAsia" w:ascii="仿宋_GB2312" w:hAnsi="Times New Roman" w:eastAsia="仿宋_GB2312" w:cs="Times New Roman"/>
          <w:sz w:val="32"/>
          <w:szCs w:val="32"/>
        </w:rPr>
        <w:t>《中华人民共和国预算法》和《北京市丰台区预算审查监督办法》，进一步明确预算编制、执行过程中财政部门和预算部门的管理责任，严格落实预决算编制执行的各项规定，强化预算硬约束，提高预算编制准确性，加强财政行政执法，加快建立现代财政制度。</w:t>
      </w:r>
    </w:p>
    <w:p w14:paraId="0E20EE4B">
      <w:pPr>
        <w:spacing w:line="560" w:lineRule="exact"/>
        <w:ind w:firstLine="640" w:firstLineChars="200"/>
        <w:rPr>
          <w:rFonts w:ascii="仿宋_GB2312" w:eastAsia="仿宋_GB2312"/>
          <w:sz w:val="32"/>
          <w:szCs w:val="32"/>
        </w:rPr>
      </w:pPr>
      <w:r>
        <w:rPr>
          <w:rFonts w:hint="eastAsia" w:ascii="仿宋_GB2312" w:eastAsia="仿宋_GB2312"/>
          <w:sz w:val="32"/>
          <w:szCs w:val="32"/>
        </w:rPr>
        <w:t>以上报告，提请区人大常委会审议批准。</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72276410"/>
      <w:docPartObj>
        <w:docPartGallery w:val="AutoText"/>
      </w:docPartObj>
    </w:sdtPr>
    <w:sdtContent>
      <w:p w14:paraId="4677CB30">
        <w:pPr>
          <w:pStyle w:val="3"/>
          <w:jc w:val="center"/>
        </w:pPr>
        <w:r>
          <w:fldChar w:fldCharType="begin"/>
        </w:r>
        <w:r>
          <w:instrText xml:space="preserve">PAGE   \* MERGEFORMAT</w:instrText>
        </w:r>
        <w:r>
          <w:fldChar w:fldCharType="separate"/>
        </w:r>
        <w:r>
          <w:rPr>
            <w:lang w:val="zh-CN"/>
          </w:rPr>
          <w:t>1</w:t>
        </w:r>
        <w:r>
          <w:fldChar w:fldCharType="end"/>
        </w:r>
      </w:p>
    </w:sdtContent>
  </w:sdt>
  <w:p w14:paraId="4E1A0DDE">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BAE"/>
    <w:rsid w:val="00000C53"/>
    <w:rsid w:val="00001CED"/>
    <w:rsid w:val="00002B7A"/>
    <w:rsid w:val="00003196"/>
    <w:rsid w:val="000050DB"/>
    <w:rsid w:val="0000553E"/>
    <w:rsid w:val="00006509"/>
    <w:rsid w:val="00011130"/>
    <w:rsid w:val="000120FE"/>
    <w:rsid w:val="00013641"/>
    <w:rsid w:val="000166EF"/>
    <w:rsid w:val="00016B76"/>
    <w:rsid w:val="00017858"/>
    <w:rsid w:val="000228E3"/>
    <w:rsid w:val="00022F23"/>
    <w:rsid w:val="0002421B"/>
    <w:rsid w:val="00026F15"/>
    <w:rsid w:val="00030CD6"/>
    <w:rsid w:val="00036584"/>
    <w:rsid w:val="00036588"/>
    <w:rsid w:val="00036846"/>
    <w:rsid w:val="000401FC"/>
    <w:rsid w:val="0004423B"/>
    <w:rsid w:val="00044E38"/>
    <w:rsid w:val="00046274"/>
    <w:rsid w:val="0004715A"/>
    <w:rsid w:val="000541A6"/>
    <w:rsid w:val="000541C0"/>
    <w:rsid w:val="00056F83"/>
    <w:rsid w:val="00056FB7"/>
    <w:rsid w:val="000577F9"/>
    <w:rsid w:val="000606CD"/>
    <w:rsid w:val="00061F51"/>
    <w:rsid w:val="00062BFF"/>
    <w:rsid w:val="00062F02"/>
    <w:rsid w:val="00063224"/>
    <w:rsid w:val="000642D3"/>
    <w:rsid w:val="00064760"/>
    <w:rsid w:val="00064D97"/>
    <w:rsid w:val="000650B7"/>
    <w:rsid w:val="0006707C"/>
    <w:rsid w:val="000727E4"/>
    <w:rsid w:val="000757F0"/>
    <w:rsid w:val="00075C5E"/>
    <w:rsid w:val="000768DC"/>
    <w:rsid w:val="00076A69"/>
    <w:rsid w:val="000828D1"/>
    <w:rsid w:val="000850DD"/>
    <w:rsid w:val="00096B4C"/>
    <w:rsid w:val="00097A26"/>
    <w:rsid w:val="00097C6A"/>
    <w:rsid w:val="000A0F5F"/>
    <w:rsid w:val="000A12CB"/>
    <w:rsid w:val="000A16E0"/>
    <w:rsid w:val="000A292A"/>
    <w:rsid w:val="000A3DA8"/>
    <w:rsid w:val="000A3F0B"/>
    <w:rsid w:val="000B16C5"/>
    <w:rsid w:val="000B7E50"/>
    <w:rsid w:val="000C0739"/>
    <w:rsid w:val="000C1CB4"/>
    <w:rsid w:val="000C34B3"/>
    <w:rsid w:val="000C4C54"/>
    <w:rsid w:val="000C5816"/>
    <w:rsid w:val="000C65CB"/>
    <w:rsid w:val="000C6945"/>
    <w:rsid w:val="000D09F0"/>
    <w:rsid w:val="000D4E8B"/>
    <w:rsid w:val="000D4F99"/>
    <w:rsid w:val="000D587A"/>
    <w:rsid w:val="000D5923"/>
    <w:rsid w:val="000D6E00"/>
    <w:rsid w:val="000D7F77"/>
    <w:rsid w:val="000E21BC"/>
    <w:rsid w:val="000E3A28"/>
    <w:rsid w:val="000E4802"/>
    <w:rsid w:val="000E5FDD"/>
    <w:rsid w:val="000F1D02"/>
    <w:rsid w:val="000F2155"/>
    <w:rsid w:val="000F238D"/>
    <w:rsid w:val="000F2F4F"/>
    <w:rsid w:val="000F570E"/>
    <w:rsid w:val="000F78E7"/>
    <w:rsid w:val="00100441"/>
    <w:rsid w:val="00100C52"/>
    <w:rsid w:val="001041BC"/>
    <w:rsid w:val="001046EB"/>
    <w:rsid w:val="001077A5"/>
    <w:rsid w:val="0011062D"/>
    <w:rsid w:val="001112D2"/>
    <w:rsid w:val="001113CB"/>
    <w:rsid w:val="0011161A"/>
    <w:rsid w:val="00111892"/>
    <w:rsid w:val="00114773"/>
    <w:rsid w:val="00114948"/>
    <w:rsid w:val="001164CA"/>
    <w:rsid w:val="00116F30"/>
    <w:rsid w:val="00117263"/>
    <w:rsid w:val="00121C9D"/>
    <w:rsid w:val="001224AD"/>
    <w:rsid w:val="001225F1"/>
    <w:rsid w:val="00123EF8"/>
    <w:rsid w:val="00126AF5"/>
    <w:rsid w:val="00131250"/>
    <w:rsid w:val="0014080B"/>
    <w:rsid w:val="00142251"/>
    <w:rsid w:val="00142C72"/>
    <w:rsid w:val="001437BF"/>
    <w:rsid w:val="001446ED"/>
    <w:rsid w:val="00144D7D"/>
    <w:rsid w:val="001463C1"/>
    <w:rsid w:val="001474E3"/>
    <w:rsid w:val="0015464B"/>
    <w:rsid w:val="00161EE3"/>
    <w:rsid w:val="00162074"/>
    <w:rsid w:val="00162317"/>
    <w:rsid w:val="001640BA"/>
    <w:rsid w:val="00164DDC"/>
    <w:rsid w:val="001655F2"/>
    <w:rsid w:val="00171130"/>
    <w:rsid w:val="00172F8D"/>
    <w:rsid w:val="00174FC7"/>
    <w:rsid w:val="00176516"/>
    <w:rsid w:val="00177135"/>
    <w:rsid w:val="001878CF"/>
    <w:rsid w:val="001913D3"/>
    <w:rsid w:val="00191DEA"/>
    <w:rsid w:val="00195F5D"/>
    <w:rsid w:val="001A0216"/>
    <w:rsid w:val="001A4290"/>
    <w:rsid w:val="001A50ED"/>
    <w:rsid w:val="001A5F29"/>
    <w:rsid w:val="001A6632"/>
    <w:rsid w:val="001A7811"/>
    <w:rsid w:val="001B034C"/>
    <w:rsid w:val="001B0522"/>
    <w:rsid w:val="001B53E7"/>
    <w:rsid w:val="001B5810"/>
    <w:rsid w:val="001B7AC0"/>
    <w:rsid w:val="001C02AD"/>
    <w:rsid w:val="001C0626"/>
    <w:rsid w:val="001C2548"/>
    <w:rsid w:val="001C384D"/>
    <w:rsid w:val="001D4283"/>
    <w:rsid w:val="001D5157"/>
    <w:rsid w:val="001D580B"/>
    <w:rsid w:val="001E0DE4"/>
    <w:rsid w:val="001E151D"/>
    <w:rsid w:val="001E4CB2"/>
    <w:rsid w:val="001E6E59"/>
    <w:rsid w:val="001E7025"/>
    <w:rsid w:val="001F0062"/>
    <w:rsid w:val="001F2690"/>
    <w:rsid w:val="001F3ACE"/>
    <w:rsid w:val="001F4C3F"/>
    <w:rsid w:val="001F5865"/>
    <w:rsid w:val="001F607B"/>
    <w:rsid w:val="00202BA6"/>
    <w:rsid w:val="002039C1"/>
    <w:rsid w:val="00203BAE"/>
    <w:rsid w:val="002041E8"/>
    <w:rsid w:val="00204943"/>
    <w:rsid w:val="0020519A"/>
    <w:rsid w:val="00210B7F"/>
    <w:rsid w:val="00215542"/>
    <w:rsid w:val="002164F4"/>
    <w:rsid w:val="00216735"/>
    <w:rsid w:val="00217A8C"/>
    <w:rsid w:val="00217E17"/>
    <w:rsid w:val="00221B75"/>
    <w:rsid w:val="00222C2C"/>
    <w:rsid w:val="00225DCA"/>
    <w:rsid w:val="00231F28"/>
    <w:rsid w:val="00232904"/>
    <w:rsid w:val="002330DD"/>
    <w:rsid w:val="00233931"/>
    <w:rsid w:val="00234CF2"/>
    <w:rsid w:val="00237443"/>
    <w:rsid w:val="00237F7A"/>
    <w:rsid w:val="00240B07"/>
    <w:rsid w:val="0024383F"/>
    <w:rsid w:val="00244186"/>
    <w:rsid w:val="002445F8"/>
    <w:rsid w:val="002450A3"/>
    <w:rsid w:val="0024530F"/>
    <w:rsid w:val="002464C9"/>
    <w:rsid w:val="00247C86"/>
    <w:rsid w:val="00254720"/>
    <w:rsid w:val="00255236"/>
    <w:rsid w:val="00255AC8"/>
    <w:rsid w:val="002564EF"/>
    <w:rsid w:val="002565C3"/>
    <w:rsid w:val="002615C6"/>
    <w:rsid w:val="00263AA0"/>
    <w:rsid w:val="002651B6"/>
    <w:rsid w:val="0026572E"/>
    <w:rsid w:val="00265AD1"/>
    <w:rsid w:val="002705DA"/>
    <w:rsid w:val="002715B7"/>
    <w:rsid w:val="0027277D"/>
    <w:rsid w:val="00276A2E"/>
    <w:rsid w:val="002772DF"/>
    <w:rsid w:val="00277482"/>
    <w:rsid w:val="0028032C"/>
    <w:rsid w:val="0028079E"/>
    <w:rsid w:val="00281FE8"/>
    <w:rsid w:val="00283CE5"/>
    <w:rsid w:val="00285959"/>
    <w:rsid w:val="00287EFA"/>
    <w:rsid w:val="002919B2"/>
    <w:rsid w:val="00294605"/>
    <w:rsid w:val="002A1207"/>
    <w:rsid w:val="002A316E"/>
    <w:rsid w:val="002A6CEC"/>
    <w:rsid w:val="002A7FC3"/>
    <w:rsid w:val="002B04EF"/>
    <w:rsid w:val="002B0F1F"/>
    <w:rsid w:val="002B1230"/>
    <w:rsid w:val="002B26DC"/>
    <w:rsid w:val="002B4061"/>
    <w:rsid w:val="002B7733"/>
    <w:rsid w:val="002C04DF"/>
    <w:rsid w:val="002C0D7E"/>
    <w:rsid w:val="002C3FA0"/>
    <w:rsid w:val="002C52B2"/>
    <w:rsid w:val="002C6F65"/>
    <w:rsid w:val="002C7F38"/>
    <w:rsid w:val="002D02F8"/>
    <w:rsid w:val="002D17C0"/>
    <w:rsid w:val="002D31EF"/>
    <w:rsid w:val="002D3BB7"/>
    <w:rsid w:val="002D3EFC"/>
    <w:rsid w:val="002D720E"/>
    <w:rsid w:val="002E25D0"/>
    <w:rsid w:val="002E30B5"/>
    <w:rsid w:val="002E3353"/>
    <w:rsid w:val="002E6215"/>
    <w:rsid w:val="002F2342"/>
    <w:rsid w:val="002F6F2E"/>
    <w:rsid w:val="002F7093"/>
    <w:rsid w:val="002F7E00"/>
    <w:rsid w:val="00303464"/>
    <w:rsid w:val="0030486D"/>
    <w:rsid w:val="0030630F"/>
    <w:rsid w:val="00306C4A"/>
    <w:rsid w:val="00307B8E"/>
    <w:rsid w:val="00311A8C"/>
    <w:rsid w:val="00311B4D"/>
    <w:rsid w:val="00314F4B"/>
    <w:rsid w:val="00316D84"/>
    <w:rsid w:val="00334773"/>
    <w:rsid w:val="00337DCC"/>
    <w:rsid w:val="00340562"/>
    <w:rsid w:val="00341C38"/>
    <w:rsid w:val="00343F00"/>
    <w:rsid w:val="00345DD6"/>
    <w:rsid w:val="0035334A"/>
    <w:rsid w:val="00354236"/>
    <w:rsid w:val="00356AE2"/>
    <w:rsid w:val="00356DA2"/>
    <w:rsid w:val="00357C16"/>
    <w:rsid w:val="00361740"/>
    <w:rsid w:val="00361EE5"/>
    <w:rsid w:val="00363296"/>
    <w:rsid w:val="00364777"/>
    <w:rsid w:val="0036563F"/>
    <w:rsid w:val="003667D1"/>
    <w:rsid w:val="0036769F"/>
    <w:rsid w:val="00371114"/>
    <w:rsid w:val="00373C45"/>
    <w:rsid w:val="003747E9"/>
    <w:rsid w:val="003747EF"/>
    <w:rsid w:val="00374A09"/>
    <w:rsid w:val="003766EA"/>
    <w:rsid w:val="00376BF9"/>
    <w:rsid w:val="00376F27"/>
    <w:rsid w:val="00384497"/>
    <w:rsid w:val="00384F05"/>
    <w:rsid w:val="003910B6"/>
    <w:rsid w:val="00391D3E"/>
    <w:rsid w:val="003923BF"/>
    <w:rsid w:val="00392E90"/>
    <w:rsid w:val="0039323F"/>
    <w:rsid w:val="003959EB"/>
    <w:rsid w:val="003973F7"/>
    <w:rsid w:val="003A0826"/>
    <w:rsid w:val="003A0C1F"/>
    <w:rsid w:val="003A3852"/>
    <w:rsid w:val="003A3DE7"/>
    <w:rsid w:val="003A407B"/>
    <w:rsid w:val="003A64BA"/>
    <w:rsid w:val="003A7FCC"/>
    <w:rsid w:val="003B3C98"/>
    <w:rsid w:val="003B53A8"/>
    <w:rsid w:val="003B7C0D"/>
    <w:rsid w:val="003D2A8C"/>
    <w:rsid w:val="003D3467"/>
    <w:rsid w:val="003E21F3"/>
    <w:rsid w:val="003E734D"/>
    <w:rsid w:val="003F093C"/>
    <w:rsid w:val="003F4080"/>
    <w:rsid w:val="003F4AF4"/>
    <w:rsid w:val="004007E6"/>
    <w:rsid w:val="0040153C"/>
    <w:rsid w:val="0040424F"/>
    <w:rsid w:val="00404466"/>
    <w:rsid w:val="004074F9"/>
    <w:rsid w:val="0040775E"/>
    <w:rsid w:val="0041078B"/>
    <w:rsid w:val="00412C91"/>
    <w:rsid w:val="0041318B"/>
    <w:rsid w:val="004138DF"/>
    <w:rsid w:val="00414101"/>
    <w:rsid w:val="00417971"/>
    <w:rsid w:val="00420EB8"/>
    <w:rsid w:val="00421FCC"/>
    <w:rsid w:val="00423486"/>
    <w:rsid w:val="00425DB9"/>
    <w:rsid w:val="0042624B"/>
    <w:rsid w:val="00426FD8"/>
    <w:rsid w:val="004322E7"/>
    <w:rsid w:val="00432F07"/>
    <w:rsid w:val="0043393E"/>
    <w:rsid w:val="0043478B"/>
    <w:rsid w:val="00435A2E"/>
    <w:rsid w:val="00436E5E"/>
    <w:rsid w:val="004377E0"/>
    <w:rsid w:val="00437EDB"/>
    <w:rsid w:val="004405B0"/>
    <w:rsid w:val="0044280E"/>
    <w:rsid w:val="00443C04"/>
    <w:rsid w:val="00443C4D"/>
    <w:rsid w:val="004442D8"/>
    <w:rsid w:val="00445AAD"/>
    <w:rsid w:val="00450F6F"/>
    <w:rsid w:val="0045230A"/>
    <w:rsid w:val="00463AD9"/>
    <w:rsid w:val="00466B8B"/>
    <w:rsid w:val="00470938"/>
    <w:rsid w:val="00470AA1"/>
    <w:rsid w:val="004732B6"/>
    <w:rsid w:val="00474CDA"/>
    <w:rsid w:val="00477DF1"/>
    <w:rsid w:val="00481514"/>
    <w:rsid w:val="004839CA"/>
    <w:rsid w:val="004842A2"/>
    <w:rsid w:val="00490E38"/>
    <w:rsid w:val="00497D94"/>
    <w:rsid w:val="004A0292"/>
    <w:rsid w:val="004A2082"/>
    <w:rsid w:val="004B06F8"/>
    <w:rsid w:val="004B0EDA"/>
    <w:rsid w:val="004B2A0D"/>
    <w:rsid w:val="004B324D"/>
    <w:rsid w:val="004B6743"/>
    <w:rsid w:val="004C017A"/>
    <w:rsid w:val="004C2B58"/>
    <w:rsid w:val="004C3701"/>
    <w:rsid w:val="004D4910"/>
    <w:rsid w:val="004D6120"/>
    <w:rsid w:val="004D740B"/>
    <w:rsid w:val="004D768E"/>
    <w:rsid w:val="004E1BF3"/>
    <w:rsid w:val="004E291C"/>
    <w:rsid w:val="004E4B5E"/>
    <w:rsid w:val="004E5E59"/>
    <w:rsid w:val="004F5101"/>
    <w:rsid w:val="004F79E2"/>
    <w:rsid w:val="00500CB4"/>
    <w:rsid w:val="00501060"/>
    <w:rsid w:val="0050238C"/>
    <w:rsid w:val="00502604"/>
    <w:rsid w:val="0051002A"/>
    <w:rsid w:val="005151D6"/>
    <w:rsid w:val="005200AA"/>
    <w:rsid w:val="0052388E"/>
    <w:rsid w:val="005256F1"/>
    <w:rsid w:val="0052576A"/>
    <w:rsid w:val="00525B4F"/>
    <w:rsid w:val="005268AA"/>
    <w:rsid w:val="00530A8B"/>
    <w:rsid w:val="00531EAD"/>
    <w:rsid w:val="00533D94"/>
    <w:rsid w:val="005363E6"/>
    <w:rsid w:val="0054252A"/>
    <w:rsid w:val="0054283A"/>
    <w:rsid w:val="00543D90"/>
    <w:rsid w:val="00546812"/>
    <w:rsid w:val="005472CE"/>
    <w:rsid w:val="00547D06"/>
    <w:rsid w:val="00552E6A"/>
    <w:rsid w:val="00555392"/>
    <w:rsid w:val="005657CB"/>
    <w:rsid w:val="005743C9"/>
    <w:rsid w:val="00576448"/>
    <w:rsid w:val="005766A0"/>
    <w:rsid w:val="00583696"/>
    <w:rsid w:val="00583B7C"/>
    <w:rsid w:val="00583F92"/>
    <w:rsid w:val="00586D07"/>
    <w:rsid w:val="005877C9"/>
    <w:rsid w:val="00593D7D"/>
    <w:rsid w:val="00597B3E"/>
    <w:rsid w:val="00597BF1"/>
    <w:rsid w:val="005A1661"/>
    <w:rsid w:val="005B083B"/>
    <w:rsid w:val="005B2C77"/>
    <w:rsid w:val="005B3F28"/>
    <w:rsid w:val="005B5692"/>
    <w:rsid w:val="005B5FBE"/>
    <w:rsid w:val="005B6068"/>
    <w:rsid w:val="005B6C3B"/>
    <w:rsid w:val="005C0AEC"/>
    <w:rsid w:val="005C57DF"/>
    <w:rsid w:val="005C6213"/>
    <w:rsid w:val="005D1B8E"/>
    <w:rsid w:val="005D32B4"/>
    <w:rsid w:val="005D4476"/>
    <w:rsid w:val="005D4BA4"/>
    <w:rsid w:val="005E11A8"/>
    <w:rsid w:val="005E14B1"/>
    <w:rsid w:val="005E3A98"/>
    <w:rsid w:val="005E6D7B"/>
    <w:rsid w:val="005F05B6"/>
    <w:rsid w:val="005F12CB"/>
    <w:rsid w:val="005F27B8"/>
    <w:rsid w:val="005F33CB"/>
    <w:rsid w:val="005F4D28"/>
    <w:rsid w:val="0060108A"/>
    <w:rsid w:val="006049E8"/>
    <w:rsid w:val="00605184"/>
    <w:rsid w:val="00605F6A"/>
    <w:rsid w:val="00610396"/>
    <w:rsid w:val="00610F88"/>
    <w:rsid w:val="00611C4D"/>
    <w:rsid w:val="00612F76"/>
    <w:rsid w:val="00615D97"/>
    <w:rsid w:val="00617444"/>
    <w:rsid w:val="006174B7"/>
    <w:rsid w:val="006222F6"/>
    <w:rsid w:val="00623302"/>
    <w:rsid w:val="00626DBF"/>
    <w:rsid w:val="00631284"/>
    <w:rsid w:val="00633E2C"/>
    <w:rsid w:val="00634708"/>
    <w:rsid w:val="00636F29"/>
    <w:rsid w:val="006400A3"/>
    <w:rsid w:val="0064016D"/>
    <w:rsid w:val="00641853"/>
    <w:rsid w:val="00641E38"/>
    <w:rsid w:val="006444E9"/>
    <w:rsid w:val="00647721"/>
    <w:rsid w:val="0064798C"/>
    <w:rsid w:val="00650A54"/>
    <w:rsid w:val="00651FF6"/>
    <w:rsid w:val="00654A33"/>
    <w:rsid w:val="00654B9B"/>
    <w:rsid w:val="006559A5"/>
    <w:rsid w:val="00656969"/>
    <w:rsid w:val="006577AE"/>
    <w:rsid w:val="0066026C"/>
    <w:rsid w:val="006617BD"/>
    <w:rsid w:val="00663112"/>
    <w:rsid w:val="0066518B"/>
    <w:rsid w:val="006657DC"/>
    <w:rsid w:val="00671DF6"/>
    <w:rsid w:val="006748FB"/>
    <w:rsid w:val="0067560B"/>
    <w:rsid w:val="006811B3"/>
    <w:rsid w:val="00681370"/>
    <w:rsid w:val="00684969"/>
    <w:rsid w:val="006929F5"/>
    <w:rsid w:val="006933E9"/>
    <w:rsid w:val="00693A4E"/>
    <w:rsid w:val="006A15C9"/>
    <w:rsid w:val="006A1983"/>
    <w:rsid w:val="006A21A6"/>
    <w:rsid w:val="006A3FBF"/>
    <w:rsid w:val="006B2FE9"/>
    <w:rsid w:val="006C3003"/>
    <w:rsid w:val="006C37AD"/>
    <w:rsid w:val="006C4E88"/>
    <w:rsid w:val="006C6388"/>
    <w:rsid w:val="006C74BD"/>
    <w:rsid w:val="006D2006"/>
    <w:rsid w:val="006D31B3"/>
    <w:rsid w:val="006D3895"/>
    <w:rsid w:val="006D5ADF"/>
    <w:rsid w:val="006E113A"/>
    <w:rsid w:val="006E2563"/>
    <w:rsid w:val="006E31D1"/>
    <w:rsid w:val="006E3948"/>
    <w:rsid w:val="006E6363"/>
    <w:rsid w:val="006E6D5E"/>
    <w:rsid w:val="006F0928"/>
    <w:rsid w:val="006F3343"/>
    <w:rsid w:val="006F6E5B"/>
    <w:rsid w:val="006F7048"/>
    <w:rsid w:val="006F754A"/>
    <w:rsid w:val="006F7CE2"/>
    <w:rsid w:val="007009FD"/>
    <w:rsid w:val="007028A5"/>
    <w:rsid w:val="00702E8D"/>
    <w:rsid w:val="00704057"/>
    <w:rsid w:val="00704CCF"/>
    <w:rsid w:val="00705E04"/>
    <w:rsid w:val="00711195"/>
    <w:rsid w:val="007129A9"/>
    <w:rsid w:val="00715BA3"/>
    <w:rsid w:val="00717239"/>
    <w:rsid w:val="0071732E"/>
    <w:rsid w:val="00723443"/>
    <w:rsid w:val="00723692"/>
    <w:rsid w:val="007244FB"/>
    <w:rsid w:val="00725B80"/>
    <w:rsid w:val="007272AA"/>
    <w:rsid w:val="00730BAE"/>
    <w:rsid w:val="00732C99"/>
    <w:rsid w:val="00734F0B"/>
    <w:rsid w:val="00735551"/>
    <w:rsid w:val="00736099"/>
    <w:rsid w:val="00736854"/>
    <w:rsid w:val="00737B91"/>
    <w:rsid w:val="007405AE"/>
    <w:rsid w:val="007414F4"/>
    <w:rsid w:val="007433AB"/>
    <w:rsid w:val="0074388D"/>
    <w:rsid w:val="0074679B"/>
    <w:rsid w:val="00756764"/>
    <w:rsid w:val="0075710F"/>
    <w:rsid w:val="00757FB9"/>
    <w:rsid w:val="00760AD8"/>
    <w:rsid w:val="00762191"/>
    <w:rsid w:val="00762CC0"/>
    <w:rsid w:val="00764BC4"/>
    <w:rsid w:val="007663FE"/>
    <w:rsid w:val="007672FB"/>
    <w:rsid w:val="00773879"/>
    <w:rsid w:val="00774B1A"/>
    <w:rsid w:val="00774E83"/>
    <w:rsid w:val="00775C5C"/>
    <w:rsid w:val="00775E46"/>
    <w:rsid w:val="00780F9A"/>
    <w:rsid w:val="0078228C"/>
    <w:rsid w:val="00782454"/>
    <w:rsid w:val="00782FD8"/>
    <w:rsid w:val="00783684"/>
    <w:rsid w:val="00783D5F"/>
    <w:rsid w:val="00786B81"/>
    <w:rsid w:val="00787A71"/>
    <w:rsid w:val="00790BE3"/>
    <w:rsid w:val="007943B2"/>
    <w:rsid w:val="007A0B8F"/>
    <w:rsid w:val="007A2240"/>
    <w:rsid w:val="007A251A"/>
    <w:rsid w:val="007A4CF4"/>
    <w:rsid w:val="007A57F0"/>
    <w:rsid w:val="007A7176"/>
    <w:rsid w:val="007B3242"/>
    <w:rsid w:val="007B401F"/>
    <w:rsid w:val="007B4709"/>
    <w:rsid w:val="007C0A4F"/>
    <w:rsid w:val="007C4265"/>
    <w:rsid w:val="007C4FDE"/>
    <w:rsid w:val="007C6ED0"/>
    <w:rsid w:val="007C78B0"/>
    <w:rsid w:val="007C7E41"/>
    <w:rsid w:val="007D17B5"/>
    <w:rsid w:val="007D56DC"/>
    <w:rsid w:val="007D75DD"/>
    <w:rsid w:val="007E1971"/>
    <w:rsid w:val="007E224F"/>
    <w:rsid w:val="007E50BF"/>
    <w:rsid w:val="007E51C5"/>
    <w:rsid w:val="007E6352"/>
    <w:rsid w:val="007E6D72"/>
    <w:rsid w:val="007F25D9"/>
    <w:rsid w:val="007F26ED"/>
    <w:rsid w:val="007F7D3E"/>
    <w:rsid w:val="0080181E"/>
    <w:rsid w:val="00805664"/>
    <w:rsid w:val="008059AA"/>
    <w:rsid w:val="00813879"/>
    <w:rsid w:val="008139AE"/>
    <w:rsid w:val="008149C4"/>
    <w:rsid w:val="008152C8"/>
    <w:rsid w:val="00816D48"/>
    <w:rsid w:val="008173EE"/>
    <w:rsid w:val="00820662"/>
    <w:rsid w:val="0082074E"/>
    <w:rsid w:val="00821CF2"/>
    <w:rsid w:val="008226A9"/>
    <w:rsid w:val="00826375"/>
    <w:rsid w:val="00827A77"/>
    <w:rsid w:val="0083102D"/>
    <w:rsid w:val="00832333"/>
    <w:rsid w:val="0083342E"/>
    <w:rsid w:val="008379D9"/>
    <w:rsid w:val="008412D2"/>
    <w:rsid w:val="00845EB9"/>
    <w:rsid w:val="00847C67"/>
    <w:rsid w:val="0085019C"/>
    <w:rsid w:val="0085029C"/>
    <w:rsid w:val="0085057B"/>
    <w:rsid w:val="008529D7"/>
    <w:rsid w:val="0085302C"/>
    <w:rsid w:val="008550AF"/>
    <w:rsid w:val="008666D0"/>
    <w:rsid w:val="00870DE0"/>
    <w:rsid w:val="00871C94"/>
    <w:rsid w:val="008721BB"/>
    <w:rsid w:val="008724F5"/>
    <w:rsid w:val="00872A67"/>
    <w:rsid w:val="00873155"/>
    <w:rsid w:val="008747AE"/>
    <w:rsid w:val="008815E1"/>
    <w:rsid w:val="008832E2"/>
    <w:rsid w:val="0088398F"/>
    <w:rsid w:val="00883BD3"/>
    <w:rsid w:val="008840B0"/>
    <w:rsid w:val="00884E61"/>
    <w:rsid w:val="0088531B"/>
    <w:rsid w:val="00886B41"/>
    <w:rsid w:val="00887A65"/>
    <w:rsid w:val="008921D9"/>
    <w:rsid w:val="0089532A"/>
    <w:rsid w:val="008960B5"/>
    <w:rsid w:val="00897C44"/>
    <w:rsid w:val="00897D5D"/>
    <w:rsid w:val="008A01E3"/>
    <w:rsid w:val="008A04B7"/>
    <w:rsid w:val="008A0D9A"/>
    <w:rsid w:val="008A1778"/>
    <w:rsid w:val="008A178E"/>
    <w:rsid w:val="008A426C"/>
    <w:rsid w:val="008A59EF"/>
    <w:rsid w:val="008A6AC4"/>
    <w:rsid w:val="008A73CE"/>
    <w:rsid w:val="008A76BC"/>
    <w:rsid w:val="008B2376"/>
    <w:rsid w:val="008B5CE1"/>
    <w:rsid w:val="008B78E9"/>
    <w:rsid w:val="008C0597"/>
    <w:rsid w:val="008C2958"/>
    <w:rsid w:val="008C29EF"/>
    <w:rsid w:val="008C61A5"/>
    <w:rsid w:val="008C7609"/>
    <w:rsid w:val="008D1732"/>
    <w:rsid w:val="008D329A"/>
    <w:rsid w:val="008D450D"/>
    <w:rsid w:val="008D4961"/>
    <w:rsid w:val="008D61FB"/>
    <w:rsid w:val="008D75ED"/>
    <w:rsid w:val="008E2EFB"/>
    <w:rsid w:val="008E3436"/>
    <w:rsid w:val="008E3B2F"/>
    <w:rsid w:val="008E4814"/>
    <w:rsid w:val="008E52D1"/>
    <w:rsid w:val="008F246C"/>
    <w:rsid w:val="008F27CB"/>
    <w:rsid w:val="008F3704"/>
    <w:rsid w:val="008F3BCD"/>
    <w:rsid w:val="008F7A3A"/>
    <w:rsid w:val="00900121"/>
    <w:rsid w:val="009005B9"/>
    <w:rsid w:val="00900D4F"/>
    <w:rsid w:val="009017A3"/>
    <w:rsid w:val="0090248E"/>
    <w:rsid w:val="009036FA"/>
    <w:rsid w:val="0090384C"/>
    <w:rsid w:val="00904519"/>
    <w:rsid w:val="0090517F"/>
    <w:rsid w:val="00907827"/>
    <w:rsid w:val="00907A45"/>
    <w:rsid w:val="00912F6E"/>
    <w:rsid w:val="00915FB6"/>
    <w:rsid w:val="00916895"/>
    <w:rsid w:val="009241B8"/>
    <w:rsid w:val="009266EC"/>
    <w:rsid w:val="00926724"/>
    <w:rsid w:val="00926950"/>
    <w:rsid w:val="00930F38"/>
    <w:rsid w:val="00934632"/>
    <w:rsid w:val="0093591A"/>
    <w:rsid w:val="0094310A"/>
    <w:rsid w:val="009458DF"/>
    <w:rsid w:val="00946E61"/>
    <w:rsid w:val="00951EED"/>
    <w:rsid w:val="00956D63"/>
    <w:rsid w:val="00956F81"/>
    <w:rsid w:val="0096012E"/>
    <w:rsid w:val="009642C6"/>
    <w:rsid w:val="00965996"/>
    <w:rsid w:val="0097037A"/>
    <w:rsid w:val="00970641"/>
    <w:rsid w:val="00971232"/>
    <w:rsid w:val="00976229"/>
    <w:rsid w:val="00976D00"/>
    <w:rsid w:val="0098075B"/>
    <w:rsid w:val="00982294"/>
    <w:rsid w:val="009825B3"/>
    <w:rsid w:val="009827D5"/>
    <w:rsid w:val="0098562C"/>
    <w:rsid w:val="00985EAF"/>
    <w:rsid w:val="00987DAD"/>
    <w:rsid w:val="0099065D"/>
    <w:rsid w:val="00990702"/>
    <w:rsid w:val="00995422"/>
    <w:rsid w:val="00997403"/>
    <w:rsid w:val="00997F0D"/>
    <w:rsid w:val="009A0458"/>
    <w:rsid w:val="009A1478"/>
    <w:rsid w:val="009A20C8"/>
    <w:rsid w:val="009A44D8"/>
    <w:rsid w:val="009A5EBA"/>
    <w:rsid w:val="009B090F"/>
    <w:rsid w:val="009B14FE"/>
    <w:rsid w:val="009B3878"/>
    <w:rsid w:val="009B43D9"/>
    <w:rsid w:val="009B48AA"/>
    <w:rsid w:val="009B5885"/>
    <w:rsid w:val="009B5B74"/>
    <w:rsid w:val="009B61BB"/>
    <w:rsid w:val="009B6674"/>
    <w:rsid w:val="009C2340"/>
    <w:rsid w:val="009C36E8"/>
    <w:rsid w:val="009C37EF"/>
    <w:rsid w:val="009C5AC0"/>
    <w:rsid w:val="009C5ACC"/>
    <w:rsid w:val="009D1D32"/>
    <w:rsid w:val="009D265C"/>
    <w:rsid w:val="009D267B"/>
    <w:rsid w:val="009D3545"/>
    <w:rsid w:val="009D78E3"/>
    <w:rsid w:val="009E157C"/>
    <w:rsid w:val="009E5BC2"/>
    <w:rsid w:val="009F490D"/>
    <w:rsid w:val="009F4F81"/>
    <w:rsid w:val="009F5A61"/>
    <w:rsid w:val="009F5C4C"/>
    <w:rsid w:val="009F6836"/>
    <w:rsid w:val="00A00CAF"/>
    <w:rsid w:val="00A0106E"/>
    <w:rsid w:val="00A02878"/>
    <w:rsid w:val="00A0311D"/>
    <w:rsid w:val="00A038F7"/>
    <w:rsid w:val="00A040F0"/>
    <w:rsid w:val="00A04204"/>
    <w:rsid w:val="00A04DE6"/>
    <w:rsid w:val="00A05BA7"/>
    <w:rsid w:val="00A07882"/>
    <w:rsid w:val="00A102F9"/>
    <w:rsid w:val="00A11E61"/>
    <w:rsid w:val="00A1425E"/>
    <w:rsid w:val="00A15750"/>
    <w:rsid w:val="00A237E7"/>
    <w:rsid w:val="00A25F48"/>
    <w:rsid w:val="00A266CB"/>
    <w:rsid w:val="00A26E1C"/>
    <w:rsid w:val="00A3033F"/>
    <w:rsid w:val="00A30732"/>
    <w:rsid w:val="00A33FF9"/>
    <w:rsid w:val="00A34F42"/>
    <w:rsid w:val="00A3769C"/>
    <w:rsid w:val="00A43903"/>
    <w:rsid w:val="00A44408"/>
    <w:rsid w:val="00A44A32"/>
    <w:rsid w:val="00A466AA"/>
    <w:rsid w:val="00A47309"/>
    <w:rsid w:val="00A4730C"/>
    <w:rsid w:val="00A532F3"/>
    <w:rsid w:val="00A5353F"/>
    <w:rsid w:val="00A5421F"/>
    <w:rsid w:val="00A543EE"/>
    <w:rsid w:val="00A55BD5"/>
    <w:rsid w:val="00A60276"/>
    <w:rsid w:val="00A604EB"/>
    <w:rsid w:val="00A6291C"/>
    <w:rsid w:val="00A630E2"/>
    <w:rsid w:val="00A63C71"/>
    <w:rsid w:val="00A63F50"/>
    <w:rsid w:val="00A6529A"/>
    <w:rsid w:val="00A654B4"/>
    <w:rsid w:val="00A67069"/>
    <w:rsid w:val="00A701AE"/>
    <w:rsid w:val="00A73322"/>
    <w:rsid w:val="00A74A39"/>
    <w:rsid w:val="00A76E54"/>
    <w:rsid w:val="00A77E12"/>
    <w:rsid w:val="00A80471"/>
    <w:rsid w:val="00A819B4"/>
    <w:rsid w:val="00A829F4"/>
    <w:rsid w:val="00A844A4"/>
    <w:rsid w:val="00A845D6"/>
    <w:rsid w:val="00A84E88"/>
    <w:rsid w:val="00A87DAD"/>
    <w:rsid w:val="00A91C86"/>
    <w:rsid w:val="00A92631"/>
    <w:rsid w:val="00A9290F"/>
    <w:rsid w:val="00A93E25"/>
    <w:rsid w:val="00AA0AC4"/>
    <w:rsid w:val="00AA6666"/>
    <w:rsid w:val="00AB0502"/>
    <w:rsid w:val="00AB3E0F"/>
    <w:rsid w:val="00AB5B61"/>
    <w:rsid w:val="00AB7706"/>
    <w:rsid w:val="00AB7BC1"/>
    <w:rsid w:val="00AC0792"/>
    <w:rsid w:val="00AC1741"/>
    <w:rsid w:val="00AC4AC3"/>
    <w:rsid w:val="00AC727F"/>
    <w:rsid w:val="00AD0779"/>
    <w:rsid w:val="00AD0CBB"/>
    <w:rsid w:val="00AD245E"/>
    <w:rsid w:val="00AD292C"/>
    <w:rsid w:val="00AD43BB"/>
    <w:rsid w:val="00AD5D8B"/>
    <w:rsid w:val="00AD7526"/>
    <w:rsid w:val="00AD7CB6"/>
    <w:rsid w:val="00AE312B"/>
    <w:rsid w:val="00AE3799"/>
    <w:rsid w:val="00AE4255"/>
    <w:rsid w:val="00AE7090"/>
    <w:rsid w:val="00AF193F"/>
    <w:rsid w:val="00AF2EDF"/>
    <w:rsid w:val="00AF72C0"/>
    <w:rsid w:val="00AF74F6"/>
    <w:rsid w:val="00AF7668"/>
    <w:rsid w:val="00AF76AC"/>
    <w:rsid w:val="00AF76B9"/>
    <w:rsid w:val="00B0082B"/>
    <w:rsid w:val="00B020C7"/>
    <w:rsid w:val="00B03EE1"/>
    <w:rsid w:val="00B054DC"/>
    <w:rsid w:val="00B0733A"/>
    <w:rsid w:val="00B074F5"/>
    <w:rsid w:val="00B10E99"/>
    <w:rsid w:val="00B10EF4"/>
    <w:rsid w:val="00B10F6C"/>
    <w:rsid w:val="00B11BD4"/>
    <w:rsid w:val="00B138F1"/>
    <w:rsid w:val="00B1564F"/>
    <w:rsid w:val="00B157FD"/>
    <w:rsid w:val="00B15A7B"/>
    <w:rsid w:val="00B16E1B"/>
    <w:rsid w:val="00B17044"/>
    <w:rsid w:val="00B17929"/>
    <w:rsid w:val="00B21EED"/>
    <w:rsid w:val="00B230FF"/>
    <w:rsid w:val="00B23A4F"/>
    <w:rsid w:val="00B3008E"/>
    <w:rsid w:val="00B305F6"/>
    <w:rsid w:val="00B30DD7"/>
    <w:rsid w:val="00B34DAD"/>
    <w:rsid w:val="00B379E4"/>
    <w:rsid w:val="00B40D6E"/>
    <w:rsid w:val="00B426CA"/>
    <w:rsid w:val="00B45B34"/>
    <w:rsid w:val="00B46DB4"/>
    <w:rsid w:val="00B50AE8"/>
    <w:rsid w:val="00B51D82"/>
    <w:rsid w:val="00B53611"/>
    <w:rsid w:val="00B5363C"/>
    <w:rsid w:val="00B546BA"/>
    <w:rsid w:val="00B55796"/>
    <w:rsid w:val="00B61C88"/>
    <w:rsid w:val="00B6454F"/>
    <w:rsid w:val="00B70903"/>
    <w:rsid w:val="00B737AA"/>
    <w:rsid w:val="00B73F62"/>
    <w:rsid w:val="00B756F6"/>
    <w:rsid w:val="00B75A60"/>
    <w:rsid w:val="00B80064"/>
    <w:rsid w:val="00B82A1B"/>
    <w:rsid w:val="00B92B9F"/>
    <w:rsid w:val="00B933FF"/>
    <w:rsid w:val="00B966E2"/>
    <w:rsid w:val="00BA0F7A"/>
    <w:rsid w:val="00BA1339"/>
    <w:rsid w:val="00BA53FE"/>
    <w:rsid w:val="00BB65AE"/>
    <w:rsid w:val="00BC2008"/>
    <w:rsid w:val="00BC428B"/>
    <w:rsid w:val="00BC4375"/>
    <w:rsid w:val="00BD0A85"/>
    <w:rsid w:val="00BD385B"/>
    <w:rsid w:val="00BD627C"/>
    <w:rsid w:val="00BD660C"/>
    <w:rsid w:val="00BE2BEE"/>
    <w:rsid w:val="00BE48DF"/>
    <w:rsid w:val="00BF0007"/>
    <w:rsid w:val="00BF3613"/>
    <w:rsid w:val="00BF59A2"/>
    <w:rsid w:val="00BF7D7B"/>
    <w:rsid w:val="00C006FA"/>
    <w:rsid w:val="00C02A35"/>
    <w:rsid w:val="00C043A7"/>
    <w:rsid w:val="00C107DF"/>
    <w:rsid w:val="00C10DD1"/>
    <w:rsid w:val="00C1137E"/>
    <w:rsid w:val="00C11396"/>
    <w:rsid w:val="00C141B6"/>
    <w:rsid w:val="00C16071"/>
    <w:rsid w:val="00C2150B"/>
    <w:rsid w:val="00C22517"/>
    <w:rsid w:val="00C2272F"/>
    <w:rsid w:val="00C250CD"/>
    <w:rsid w:val="00C258D3"/>
    <w:rsid w:val="00C2712C"/>
    <w:rsid w:val="00C31252"/>
    <w:rsid w:val="00C32611"/>
    <w:rsid w:val="00C35D60"/>
    <w:rsid w:val="00C362B3"/>
    <w:rsid w:val="00C372E3"/>
    <w:rsid w:val="00C402FC"/>
    <w:rsid w:val="00C410BD"/>
    <w:rsid w:val="00C432E7"/>
    <w:rsid w:val="00C448FE"/>
    <w:rsid w:val="00C45222"/>
    <w:rsid w:val="00C46D94"/>
    <w:rsid w:val="00C473B2"/>
    <w:rsid w:val="00C52F59"/>
    <w:rsid w:val="00C570E7"/>
    <w:rsid w:val="00C63CAF"/>
    <w:rsid w:val="00C63CEB"/>
    <w:rsid w:val="00C640C5"/>
    <w:rsid w:val="00C64AF0"/>
    <w:rsid w:val="00C65A31"/>
    <w:rsid w:val="00C6634B"/>
    <w:rsid w:val="00C70DCD"/>
    <w:rsid w:val="00C721BE"/>
    <w:rsid w:val="00C74254"/>
    <w:rsid w:val="00C743BE"/>
    <w:rsid w:val="00C74F21"/>
    <w:rsid w:val="00C76B90"/>
    <w:rsid w:val="00C854E7"/>
    <w:rsid w:val="00C91813"/>
    <w:rsid w:val="00C9322C"/>
    <w:rsid w:val="00C942A2"/>
    <w:rsid w:val="00C976C4"/>
    <w:rsid w:val="00CA20BA"/>
    <w:rsid w:val="00CA5B37"/>
    <w:rsid w:val="00CB0F35"/>
    <w:rsid w:val="00CB441F"/>
    <w:rsid w:val="00CB5DBC"/>
    <w:rsid w:val="00CB5E6B"/>
    <w:rsid w:val="00CB607D"/>
    <w:rsid w:val="00CC2294"/>
    <w:rsid w:val="00CC2787"/>
    <w:rsid w:val="00CC358A"/>
    <w:rsid w:val="00CC5F8E"/>
    <w:rsid w:val="00CC71EE"/>
    <w:rsid w:val="00CD18C9"/>
    <w:rsid w:val="00CD3BB0"/>
    <w:rsid w:val="00CD535F"/>
    <w:rsid w:val="00CD65CB"/>
    <w:rsid w:val="00CD6749"/>
    <w:rsid w:val="00CD689E"/>
    <w:rsid w:val="00CD6F40"/>
    <w:rsid w:val="00CD73F2"/>
    <w:rsid w:val="00CD78B7"/>
    <w:rsid w:val="00CE001D"/>
    <w:rsid w:val="00CE404E"/>
    <w:rsid w:val="00CE51CB"/>
    <w:rsid w:val="00CE5DB3"/>
    <w:rsid w:val="00CE7F00"/>
    <w:rsid w:val="00CF0AEA"/>
    <w:rsid w:val="00CF2AD4"/>
    <w:rsid w:val="00CF384F"/>
    <w:rsid w:val="00CF39E9"/>
    <w:rsid w:val="00CF70C3"/>
    <w:rsid w:val="00CF7512"/>
    <w:rsid w:val="00CF7F2A"/>
    <w:rsid w:val="00D011F7"/>
    <w:rsid w:val="00D01316"/>
    <w:rsid w:val="00D0577B"/>
    <w:rsid w:val="00D070B0"/>
    <w:rsid w:val="00D0749F"/>
    <w:rsid w:val="00D07EFB"/>
    <w:rsid w:val="00D10A3D"/>
    <w:rsid w:val="00D129A9"/>
    <w:rsid w:val="00D13AB4"/>
    <w:rsid w:val="00D13F6E"/>
    <w:rsid w:val="00D1478D"/>
    <w:rsid w:val="00D15B43"/>
    <w:rsid w:val="00D178BA"/>
    <w:rsid w:val="00D17A7D"/>
    <w:rsid w:val="00D2240D"/>
    <w:rsid w:val="00D26844"/>
    <w:rsid w:val="00D30A3B"/>
    <w:rsid w:val="00D33839"/>
    <w:rsid w:val="00D33DAB"/>
    <w:rsid w:val="00D350A0"/>
    <w:rsid w:val="00D35852"/>
    <w:rsid w:val="00D3622C"/>
    <w:rsid w:val="00D3654F"/>
    <w:rsid w:val="00D36E5B"/>
    <w:rsid w:val="00D40221"/>
    <w:rsid w:val="00D4120C"/>
    <w:rsid w:val="00D4130C"/>
    <w:rsid w:val="00D43461"/>
    <w:rsid w:val="00D60D8F"/>
    <w:rsid w:val="00D622C7"/>
    <w:rsid w:val="00D63505"/>
    <w:rsid w:val="00D63F79"/>
    <w:rsid w:val="00D65330"/>
    <w:rsid w:val="00D66D3D"/>
    <w:rsid w:val="00D66E49"/>
    <w:rsid w:val="00D67A4C"/>
    <w:rsid w:val="00D67D21"/>
    <w:rsid w:val="00D70271"/>
    <w:rsid w:val="00D70D19"/>
    <w:rsid w:val="00D710C2"/>
    <w:rsid w:val="00D73F19"/>
    <w:rsid w:val="00D80390"/>
    <w:rsid w:val="00D851A5"/>
    <w:rsid w:val="00D85FEC"/>
    <w:rsid w:val="00D90864"/>
    <w:rsid w:val="00D95720"/>
    <w:rsid w:val="00D95AFC"/>
    <w:rsid w:val="00D9719E"/>
    <w:rsid w:val="00DA0BFA"/>
    <w:rsid w:val="00DA2AE7"/>
    <w:rsid w:val="00DA4F2C"/>
    <w:rsid w:val="00DA54CC"/>
    <w:rsid w:val="00DA7706"/>
    <w:rsid w:val="00DB042B"/>
    <w:rsid w:val="00DB1718"/>
    <w:rsid w:val="00DB4DF3"/>
    <w:rsid w:val="00DB6D41"/>
    <w:rsid w:val="00DB7281"/>
    <w:rsid w:val="00DC0834"/>
    <w:rsid w:val="00DC0DA4"/>
    <w:rsid w:val="00DC2842"/>
    <w:rsid w:val="00DD3553"/>
    <w:rsid w:val="00DD5DD0"/>
    <w:rsid w:val="00DD6321"/>
    <w:rsid w:val="00DD74E0"/>
    <w:rsid w:val="00DE0C30"/>
    <w:rsid w:val="00DE3308"/>
    <w:rsid w:val="00DE51B6"/>
    <w:rsid w:val="00DF0A7A"/>
    <w:rsid w:val="00DF4A4B"/>
    <w:rsid w:val="00DF5AC5"/>
    <w:rsid w:val="00DF7635"/>
    <w:rsid w:val="00DF7C2C"/>
    <w:rsid w:val="00E035EC"/>
    <w:rsid w:val="00E044E9"/>
    <w:rsid w:val="00E0657A"/>
    <w:rsid w:val="00E0761C"/>
    <w:rsid w:val="00E07C7F"/>
    <w:rsid w:val="00E11792"/>
    <w:rsid w:val="00E146EE"/>
    <w:rsid w:val="00E152B5"/>
    <w:rsid w:val="00E159F0"/>
    <w:rsid w:val="00E16277"/>
    <w:rsid w:val="00E21A12"/>
    <w:rsid w:val="00E21EF9"/>
    <w:rsid w:val="00E23AA5"/>
    <w:rsid w:val="00E248E4"/>
    <w:rsid w:val="00E30588"/>
    <w:rsid w:val="00E32838"/>
    <w:rsid w:val="00E347BE"/>
    <w:rsid w:val="00E3561F"/>
    <w:rsid w:val="00E37085"/>
    <w:rsid w:val="00E375DC"/>
    <w:rsid w:val="00E40B0E"/>
    <w:rsid w:val="00E41071"/>
    <w:rsid w:val="00E41A37"/>
    <w:rsid w:val="00E42620"/>
    <w:rsid w:val="00E43101"/>
    <w:rsid w:val="00E468B1"/>
    <w:rsid w:val="00E50FD1"/>
    <w:rsid w:val="00E55EDD"/>
    <w:rsid w:val="00E57279"/>
    <w:rsid w:val="00E6084F"/>
    <w:rsid w:val="00E609F2"/>
    <w:rsid w:val="00E61A42"/>
    <w:rsid w:val="00E62D5A"/>
    <w:rsid w:val="00E67E75"/>
    <w:rsid w:val="00E71873"/>
    <w:rsid w:val="00E73F3E"/>
    <w:rsid w:val="00E76F65"/>
    <w:rsid w:val="00E8140C"/>
    <w:rsid w:val="00E822A2"/>
    <w:rsid w:val="00E847FE"/>
    <w:rsid w:val="00E855CC"/>
    <w:rsid w:val="00E86B2E"/>
    <w:rsid w:val="00E86B78"/>
    <w:rsid w:val="00E916EE"/>
    <w:rsid w:val="00E95D37"/>
    <w:rsid w:val="00E96887"/>
    <w:rsid w:val="00E971B4"/>
    <w:rsid w:val="00E97F65"/>
    <w:rsid w:val="00EA0CE4"/>
    <w:rsid w:val="00EA18BE"/>
    <w:rsid w:val="00EA1EB3"/>
    <w:rsid w:val="00EA2D6A"/>
    <w:rsid w:val="00EB055A"/>
    <w:rsid w:val="00EB2B2E"/>
    <w:rsid w:val="00EB2B6E"/>
    <w:rsid w:val="00EB394A"/>
    <w:rsid w:val="00EB3AD8"/>
    <w:rsid w:val="00EB3BB1"/>
    <w:rsid w:val="00EB7888"/>
    <w:rsid w:val="00EC071D"/>
    <w:rsid w:val="00EC2413"/>
    <w:rsid w:val="00EC42EE"/>
    <w:rsid w:val="00EC6A35"/>
    <w:rsid w:val="00EE0636"/>
    <w:rsid w:val="00EE0CBB"/>
    <w:rsid w:val="00EE336E"/>
    <w:rsid w:val="00EE3FFE"/>
    <w:rsid w:val="00EE50ED"/>
    <w:rsid w:val="00EE5642"/>
    <w:rsid w:val="00EF16FC"/>
    <w:rsid w:val="00EF4F10"/>
    <w:rsid w:val="00EF56A4"/>
    <w:rsid w:val="00F000E7"/>
    <w:rsid w:val="00F01653"/>
    <w:rsid w:val="00F03130"/>
    <w:rsid w:val="00F036D1"/>
    <w:rsid w:val="00F04E1F"/>
    <w:rsid w:val="00F06554"/>
    <w:rsid w:val="00F07182"/>
    <w:rsid w:val="00F07CAD"/>
    <w:rsid w:val="00F10343"/>
    <w:rsid w:val="00F103D7"/>
    <w:rsid w:val="00F1079D"/>
    <w:rsid w:val="00F1312B"/>
    <w:rsid w:val="00F13D30"/>
    <w:rsid w:val="00F15242"/>
    <w:rsid w:val="00F178D0"/>
    <w:rsid w:val="00F20DEF"/>
    <w:rsid w:val="00F2189B"/>
    <w:rsid w:val="00F24892"/>
    <w:rsid w:val="00F318C8"/>
    <w:rsid w:val="00F329D8"/>
    <w:rsid w:val="00F33A98"/>
    <w:rsid w:val="00F35A84"/>
    <w:rsid w:val="00F36332"/>
    <w:rsid w:val="00F3647B"/>
    <w:rsid w:val="00F371D2"/>
    <w:rsid w:val="00F44B27"/>
    <w:rsid w:val="00F452DF"/>
    <w:rsid w:val="00F453B4"/>
    <w:rsid w:val="00F469E8"/>
    <w:rsid w:val="00F47C6E"/>
    <w:rsid w:val="00F5381D"/>
    <w:rsid w:val="00F53ACC"/>
    <w:rsid w:val="00F545D7"/>
    <w:rsid w:val="00F57353"/>
    <w:rsid w:val="00F61A72"/>
    <w:rsid w:val="00F6284F"/>
    <w:rsid w:val="00F6399A"/>
    <w:rsid w:val="00F706F7"/>
    <w:rsid w:val="00F70A97"/>
    <w:rsid w:val="00F718CC"/>
    <w:rsid w:val="00F722F4"/>
    <w:rsid w:val="00F73517"/>
    <w:rsid w:val="00F74CB1"/>
    <w:rsid w:val="00F75B84"/>
    <w:rsid w:val="00F77DAE"/>
    <w:rsid w:val="00F809A1"/>
    <w:rsid w:val="00F83A6A"/>
    <w:rsid w:val="00F86C5A"/>
    <w:rsid w:val="00F86E8C"/>
    <w:rsid w:val="00F90F22"/>
    <w:rsid w:val="00F9591A"/>
    <w:rsid w:val="00F95BC4"/>
    <w:rsid w:val="00FA05D6"/>
    <w:rsid w:val="00FA13A4"/>
    <w:rsid w:val="00FA3201"/>
    <w:rsid w:val="00FA4320"/>
    <w:rsid w:val="00FA4D48"/>
    <w:rsid w:val="00FA5CDB"/>
    <w:rsid w:val="00FA73F5"/>
    <w:rsid w:val="00FB1F6E"/>
    <w:rsid w:val="00FB3780"/>
    <w:rsid w:val="00FB7428"/>
    <w:rsid w:val="00FC0089"/>
    <w:rsid w:val="00FC1F3C"/>
    <w:rsid w:val="00FC282B"/>
    <w:rsid w:val="00FC3D31"/>
    <w:rsid w:val="00FC3F8A"/>
    <w:rsid w:val="00FC5100"/>
    <w:rsid w:val="00FC5E5D"/>
    <w:rsid w:val="00FC6750"/>
    <w:rsid w:val="00FC7CCC"/>
    <w:rsid w:val="00FC7F61"/>
    <w:rsid w:val="00FD5BFF"/>
    <w:rsid w:val="00FD7FC6"/>
    <w:rsid w:val="00FE1811"/>
    <w:rsid w:val="00FE29D9"/>
    <w:rsid w:val="00FE4DA0"/>
    <w:rsid w:val="00FF08E3"/>
    <w:rsid w:val="00FF0A8A"/>
    <w:rsid w:val="00FF0D20"/>
    <w:rsid w:val="00FF1421"/>
    <w:rsid w:val="00FF15BF"/>
    <w:rsid w:val="00FF2451"/>
    <w:rsid w:val="00FF2F12"/>
    <w:rsid w:val="00FF363F"/>
    <w:rsid w:val="00FF37F9"/>
    <w:rsid w:val="00FF4691"/>
    <w:rsid w:val="00FF4D3B"/>
    <w:rsid w:val="00FF65EE"/>
    <w:rsid w:val="00FF6AC7"/>
    <w:rsid w:val="00FF6FFF"/>
    <w:rsid w:val="6F4A05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qFormat/>
    <w:uiPriority w:val="99"/>
    <w:rPr>
      <w:sz w:val="18"/>
      <w:szCs w:val="18"/>
    </w:rPr>
  </w:style>
  <w:style w:type="character" w:customStyle="1" w:styleId="8">
    <w:name w:val="页眉 Char"/>
    <w:basedOn w:val="6"/>
    <w:link w:val="4"/>
    <w:uiPriority w:val="99"/>
    <w:rPr>
      <w:sz w:val="18"/>
      <w:szCs w:val="18"/>
    </w:rPr>
  </w:style>
  <w:style w:type="character" w:customStyle="1" w:styleId="9">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51913-9334-4C71-A21D-81D4D9321D52}">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6226</Words>
  <Characters>7176</Characters>
  <Lines>51</Lines>
  <Paragraphs>14</Paragraphs>
  <TotalTime>0</TotalTime>
  <ScaleCrop>false</ScaleCrop>
  <LinksUpToDate>false</LinksUpToDate>
  <CharactersWithSpaces>7180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2018-11-15T01:27:00Z</dcterms:created>
  <dc:creator>夏雨</dc:creator>
  <cp:lastModifiedBy>ZzZShuo</cp:lastModifiedBy>
  <cp:lastPrinted>2019-07-09T03:14:00Z</cp:lastPrinted>
  <dcterms:modified xsi:type="dcterms:W3CDTF">2025-03-05T08:30:34Z</dcterms:modified>
  <cp:revision>601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eyJoZGlkIjoiNGQwMmQ0OTQ0NWY3MWY1N2Y3NmQ1ZjQzZWYwNGQ2MWQiLCJ1c2VySWQiOiIzMTg0MjUzNjEifQ==</vt:lpwstr>
  </property>
  <property fmtid="{D5CDD505-2E9C-101B-9397-08002B2CF9AE}" pid="3" name="KSOProductBuildVer">
    <vt:lpwstr>2052-12.1.0.20305</vt:lpwstr>
  </property>
  <property fmtid="{D5CDD505-2E9C-101B-9397-08002B2CF9AE}" pid="4" name="ICV">
    <vt:lpwstr>611C2722BE7645A4A97DECF7D01844A2_12</vt:lpwstr>
  </property>
</Properties>
</file>