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bidi="ar"/>
        </w:rPr>
        <w:t>宛平街道办事处</w:t>
      </w:r>
      <w:r>
        <w:rPr>
          <w:rFonts w:hint="eastAsia" w:ascii="方正小标宋简体" w:hAnsi="方正小标宋简体" w:eastAsia="方正小标宋简体" w:cs="方正小标宋简体"/>
          <w:sz w:val="44"/>
          <w:szCs w:val="44"/>
          <w:lang w:bidi="ar"/>
        </w:rPr>
        <w:t>2023年政府信息公开</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bidi="ar"/>
        </w:rPr>
        <w:t>工作年度报告</w:t>
      </w:r>
    </w:p>
    <w:p>
      <w:pPr>
        <w:spacing w:line="560" w:lineRule="exact"/>
        <w:jc w:val="center"/>
        <w:rPr>
          <w:sz w:val="44"/>
          <w:szCs w:val="44"/>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lang w:bidi="ar"/>
        </w:rPr>
        <w:t>　　</w:t>
      </w:r>
      <w:r>
        <w:rPr>
          <w:rFonts w:hint="eastAsia" w:ascii="微软雅黑" w:hAnsi="微软雅黑" w:eastAsia="微软雅黑" w:cs="宋体"/>
          <w:color w:val="404040"/>
          <w:kern w:val="0"/>
          <w:sz w:val="32"/>
          <w:szCs w:val="32"/>
          <w:lang w:bidi="ar"/>
        </w:rPr>
        <w:t xml:space="preserve">   </w:t>
      </w:r>
      <w:r>
        <w:rPr>
          <w:rFonts w:hint="eastAsia" w:ascii="仿宋_GB2312" w:hAnsi="宋体" w:eastAsia="仿宋_GB2312" w:cs="宋体"/>
          <w:spacing w:val="8"/>
          <w:kern w:val="0"/>
          <w:sz w:val="32"/>
          <w:szCs w:val="32"/>
          <w:lang w:bidi="ar"/>
        </w:rPr>
        <w:t>依据《中华人民共和国政府信息公开条例》(以下简称《政府信息公开条例》)第五十条规定，编制本报告。</w:t>
      </w:r>
    </w:p>
    <w:p>
      <w:pPr>
        <w:widowControl/>
        <w:spacing w:line="560" w:lineRule="exact"/>
        <w:ind w:firstLine="672" w:firstLineChars="200"/>
        <w:jc w:val="left"/>
        <w:rPr>
          <w:rFonts w:hint="eastAsia" w:ascii="黑体" w:hAnsi="宋体" w:eastAsia="黑体" w:cs="宋体"/>
          <w:spacing w:val="8"/>
          <w:kern w:val="0"/>
          <w:sz w:val="32"/>
          <w:szCs w:val="32"/>
        </w:rPr>
      </w:pPr>
      <w:r>
        <w:rPr>
          <w:rFonts w:hint="eastAsia" w:ascii="黑体" w:hAnsi="宋体" w:eastAsia="黑体" w:cs="宋体"/>
          <w:spacing w:val="8"/>
          <w:kern w:val="0"/>
          <w:sz w:val="32"/>
          <w:szCs w:val="32"/>
          <w:lang w:bidi="ar"/>
        </w:rPr>
        <w:t>一、总体情况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ascii="Calibri" w:hAnsi="Calibri" w:cs="Calibri"/>
          <w:i w:val="0"/>
          <w:caps w:val="0"/>
          <w:color w:val="404040"/>
          <w:spacing w:val="0"/>
          <w:sz w:val="32"/>
          <w:szCs w:val="32"/>
          <w:u w:val="none"/>
        </w:rPr>
      </w:pPr>
      <w:r>
        <w:rPr>
          <w:rFonts w:ascii="楷体" w:hAnsi="楷体" w:eastAsia="楷体" w:cs="楷体"/>
          <w:i w:val="0"/>
          <w:caps w:val="0"/>
          <w:color w:val="404040"/>
          <w:spacing w:val="0"/>
          <w:sz w:val="32"/>
          <w:szCs w:val="32"/>
          <w:u w:val="none"/>
          <w:shd w:val="clear" w:color="auto" w:fill="FFFFFF"/>
        </w:rPr>
        <w:t>（一）主动公开情况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2" w:right="0" w:firstLine="707"/>
        <w:jc w:val="left"/>
        <w:rPr>
          <w:rFonts w:hint="eastAsia" w:ascii="仿宋_GB2312" w:hAnsi="仿宋_GB2312" w:eastAsia="仿宋_GB2312" w:cs="仿宋_GB2312"/>
          <w:color w:val="404040"/>
          <w:kern w:val="0"/>
          <w:sz w:val="32"/>
          <w:szCs w:val="32"/>
          <w:lang w:val="en-US" w:eastAsia="zh-CN" w:bidi="ar-SA"/>
        </w:rPr>
      </w:pPr>
      <w:r>
        <w:rPr>
          <w:rFonts w:hint="eastAsia" w:ascii="仿宋_GB2312" w:hAnsi="仿宋_GB2312" w:eastAsia="仿宋_GB2312" w:cs="仿宋_GB2312"/>
          <w:color w:val="404040"/>
          <w:kern w:val="0"/>
          <w:sz w:val="32"/>
          <w:szCs w:val="32"/>
          <w:lang w:val="en-US" w:eastAsia="zh-CN" w:bidi="ar-SA"/>
        </w:rPr>
        <w:t>宛平街道办事处进一步完善政府网站信息内容更新保障机制，制作信息公开全清单。2023年共主动公开政府信息79条；</w:t>
      </w:r>
      <w:r>
        <w:rPr>
          <w:rFonts w:hint="eastAsia" w:ascii="仿宋_GB2312" w:hAnsi="仿宋_GB2312" w:eastAsia="仿宋_GB2312" w:cs="仿宋_GB2312"/>
          <w:color w:val="404040"/>
          <w:kern w:val="0"/>
          <w:sz w:val="32"/>
          <w:szCs w:val="32"/>
          <w:highlight w:val="none"/>
          <w:lang w:val="en-US" w:eastAsia="zh-CN" w:bidi="ar-SA"/>
        </w:rPr>
        <w:t>政务微博公开政府信息305条，政务微信公开政府信息569条</w:t>
      </w:r>
      <w:r>
        <w:rPr>
          <w:rFonts w:hint="eastAsia" w:ascii="仿宋_GB2312" w:hAnsi="仿宋_GB2312" w:eastAsia="仿宋_GB2312" w:cs="仿宋_GB2312"/>
          <w:color w:val="404040"/>
          <w:kern w:val="0"/>
          <w:sz w:val="32"/>
          <w:szCs w:val="32"/>
          <w:lang w:val="en-US" w:eastAsia="zh-CN" w:bidi="ar-SA"/>
        </w:rPr>
        <w:t>，按时主动公开办事处2022年度财政决算、2023年度预算及2023年度政府购买服务指导性目录。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楷体" w:hAnsi="楷体" w:eastAsia="楷体" w:cs="楷体"/>
          <w:i w:val="0"/>
          <w:caps w:val="0"/>
          <w:color w:val="404040"/>
          <w:spacing w:val="0"/>
          <w:sz w:val="32"/>
          <w:szCs w:val="32"/>
          <w:u w:val="none"/>
          <w:shd w:val="clear" w:color="auto" w:fill="FFFFFF"/>
        </w:rPr>
      </w:pPr>
      <w:r>
        <w:rPr>
          <w:rFonts w:hint="eastAsia" w:ascii="楷体" w:hAnsi="楷体" w:eastAsia="楷体" w:cs="楷体"/>
          <w:i w:val="0"/>
          <w:caps w:val="0"/>
          <w:color w:val="404040"/>
          <w:spacing w:val="0"/>
          <w:sz w:val="32"/>
          <w:szCs w:val="32"/>
          <w:u w:val="none"/>
          <w:shd w:val="clear" w:color="auto" w:fill="FFFFFF"/>
        </w:rPr>
        <w:t>（二）依申请公开情况</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both"/>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shd w:val="clear" w:color="auto" w:fill="FFFFFF"/>
        </w:rPr>
        <w:t>20</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23</w:t>
      </w:r>
      <w:r>
        <w:rPr>
          <w:rFonts w:hint="eastAsia" w:ascii="仿宋_GB2312" w:hAnsi="仿宋_GB2312" w:eastAsia="仿宋_GB2312" w:cs="仿宋_GB2312"/>
          <w:i w:val="0"/>
          <w:caps w:val="0"/>
          <w:color w:val="404040"/>
          <w:spacing w:val="0"/>
          <w:sz w:val="32"/>
          <w:szCs w:val="32"/>
          <w:u w:val="none"/>
          <w:shd w:val="clear" w:color="auto" w:fill="FFFFFF"/>
        </w:rPr>
        <w:t>年度，我</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办事处</w:t>
      </w:r>
      <w:r>
        <w:rPr>
          <w:rFonts w:hint="eastAsia" w:ascii="仿宋_GB2312" w:hAnsi="仿宋_GB2312" w:eastAsia="仿宋_GB2312" w:cs="仿宋_GB2312"/>
          <w:i w:val="0"/>
          <w:caps w:val="0"/>
          <w:color w:val="404040"/>
          <w:spacing w:val="0"/>
          <w:sz w:val="32"/>
          <w:szCs w:val="32"/>
          <w:u w:val="none"/>
          <w:shd w:val="clear" w:color="auto" w:fill="FFFFFF"/>
        </w:rPr>
        <w:t>收到政府信息</w:t>
      </w:r>
      <w:r>
        <w:rPr>
          <w:rFonts w:hint="eastAsia" w:ascii="仿宋_GB2312" w:hAnsi="仿宋_GB2312" w:eastAsia="仿宋_GB2312" w:cs="仿宋_GB2312"/>
          <w:i w:val="0"/>
          <w:caps w:val="0"/>
          <w:color w:val="404040"/>
          <w:spacing w:val="0"/>
          <w:sz w:val="32"/>
          <w:szCs w:val="32"/>
          <w:highlight w:val="none"/>
          <w:u w:val="none"/>
          <w:shd w:val="clear" w:color="auto" w:fill="FFFFFF"/>
        </w:rPr>
        <w:t>公开申请</w:t>
      </w:r>
      <w:r>
        <w:rPr>
          <w:rFonts w:hint="eastAsia" w:ascii="仿宋_GB2312" w:hAnsi="仿宋_GB2312" w:eastAsia="仿宋_GB2312" w:cs="仿宋_GB2312"/>
          <w:i w:val="0"/>
          <w:caps w:val="0"/>
          <w:color w:val="404040"/>
          <w:spacing w:val="0"/>
          <w:sz w:val="32"/>
          <w:szCs w:val="32"/>
          <w:highlight w:val="none"/>
          <w:u w:val="none"/>
          <w:shd w:val="clear" w:color="auto" w:fill="FFFFFF"/>
          <w:lang w:val="en-US" w:eastAsia="zh-CN"/>
        </w:rPr>
        <w:t>2</w:t>
      </w:r>
      <w:r>
        <w:rPr>
          <w:rFonts w:hint="eastAsia" w:ascii="仿宋_GB2312" w:hAnsi="仿宋_GB2312" w:eastAsia="仿宋_GB2312" w:cs="仿宋_GB2312"/>
          <w:i w:val="0"/>
          <w:caps w:val="0"/>
          <w:color w:val="404040"/>
          <w:spacing w:val="0"/>
          <w:sz w:val="32"/>
          <w:szCs w:val="32"/>
          <w:highlight w:val="none"/>
          <w:u w:val="none"/>
          <w:shd w:val="clear" w:color="auto" w:fill="FFFFFF"/>
        </w:rPr>
        <w:t>件</w:t>
      </w:r>
      <w:r>
        <w:rPr>
          <w:rFonts w:hint="eastAsia" w:ascii="仿宋_GB2312" w:hAnsi="仿宋_GB2312" w:eastAsia="仿宋_GB2312" w:cs="仿宋_GB2312"/>
          <w:i w:val="0"/>
          <w:caps w:val="0"/>
          <w:color w:val="404040"/>
          <w:spacing w:val="0"/>
          <w:sz w:val="32"/>
          <w:szCs w:val="32"/>
          <w:u w:val="none"/>
          <w:shd w:val="clear" w:color="auto" w:fill="FFFFFF"/>
        </w:rPr>
        <w:t>，均已办结</w:t>
      </w:r>
      <w:r>
        <w:rPr>
          <w:rFonts w:hint="eastAsia" w:ascii="仿宋_GB2312" w:hAnsi="仿宋_GB2312" w:eastAsia="仿宋_GB2312" w:cs="仿宋_GB2312"/>
          <w:i w:val="0"/>
          <w:caps w:val="0"/>
          <w:color w:val="404040"/>
          <w:spacing w:val="0"/>
          <w:sz w:val="32"/>
          <w:szCs w:val="32"/>
          <w:u w:val="none"/>
          <w:shd w:val="clear" w:color="auto" w:fill="FFFFFF"/>
          <w:lang w:eastAsia="zh-CN"/>
        </w:rPr>
        <w:t>，</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在</w:t>
      </w:r>
      <w:r>
        <w:rPr>
          <w:rFonts w:hint="eastAsia" w:ascii="仿宋_GB2312" w:hAnsi="仿宋_GB2312" w:eastAsia="仿宋_GB2312" w:cs="仿宋_GB2312"/>
          <w:i w:val="0"/>
          <w:caps w:val="0"/>
          <w:color w:val="404040"/>
          <w:spacing w:val="0"/>
          <w:sz w:val="32"/>
          <w:szCs w:val="32"/>
          <w:u w:val="none"/>
          <w:shd w:val="clear" w:color="auto" w:fill="FFFFFF"/>
        </w:rPr>
        <w:t>信息公开工作</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中未</w:t>
      </w:r>
      <w:r>
        <w:rPr>
          <w:rFonts w:hint="eastAsia" w:ascii="仿宋_GB2312" w:hAnsi="仿宋_GB2312" w:eastAsia="仿宋_GB2312" w:cs="仿宋_GB2312"/>
          <w:i w:val="0"/>
          <w:caps w:val="0"/>
          <w:color w:val="404040"/>
          <w:spacing w:val="0"/>
          <w:sz w:val="32"/>
          <w:szCs w:val="32"/>
          <w:u w:val="none"/>
          <w:shd w:val="clear" w:color="auto" w:fill="FFFFFF"/>
        </w:rPr>
        <w:t>出现任何泄密事件。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楷体" w:hAnsi="楷体" w:eastAsia="楷体" w:cs="楷体"/>
          <w:i w:val="0"/>
          <w:caps w:val="0"/>
          <w:color w:val="404040"/>
          <w:spacing w:val="0"/>
          <w:sz w:val="32"/>
          <w:szCs w:val="32"/>
          <w:u w:val="none"/>
          <w:shd w:val="clear" w:color="auto" w:fill="FFFFFF"/>
        </w:rPr>
      </w:pPr>
      <w:r>
        <w:rPr>
          <w:rFonts w:hint="eastAsia" w:ascii="楷体" w:hAnsi="楷体" w:eastAsia="楷体" w:cs="楷体"/>
          <w:i w:val="0"/>
          <w:caps w:val="0"/>
          <w:color w:val="404040"/>
          <w:spacing w:val="0"/>
          <w:sz w:val="32"/>
          <w:szCs w:val="32"/>
          <w:u w:val="none"/>
          <w:shd w:val="clear" w:color="auto" w:fill="FFFFFF"/>
        </w:rPr>
        <w:t>（三）政府信息资源的规范化、标准化管理情况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_GB2312" w:hAnsi="仿宋_GB2312" w:eastAsia="仿宋_GB2312" w:cs="仿宋_GB2312"/>
          <w:i w:val="0"/>
          <w:caps w:val="0"/>
          <w:color w:val="404040"/>
          <w:spacing w:val="0"/>
          <w:sz w:val="32"/>
          <w:szCs w:val="32"/>
          <w:u w:val="none"/>
          <w:shd w:val="clear" w:color="auto" w:fill="FFFFFF"/>
        </w:rPr>
      </w:pPr>
      <w:r>
        <w:rPr>
          <w:rFonts w:hint="eastAsia" w:ascii="仿宋_GB2312" w:hAnsi="仿宋_GB2312" w:eastAsia="仿宋_GB2312" w:cs="仿宋_GB2312"/>
          <w:i w:val="0"/>
          <w:caps w:val="0"/>
          <w:color w:val="404040"/>
          <w:spacing w:val="0"/>
          <w:sz w:val="32"/>
          <w:szCs w:val="32"/>
          <w:u w:val="none"/>
          <w:shd w:val="clear" w:color="auto" w:fill="FFFFFF"/>
        </w:rPr>
        <w:t>一是强化组织</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架构</w:t>
      </w:r>
      <w:r>
        <w:rPr>
          <w:rFonts w:hint="eastAsia" w:ascii="仿宋_GB2312" w:hAnsi="仿宋_GB2312" w:eastAsia="仿宋_GB2312" w:cs="仿宋_GB2312"/>
          <w:i w:val="0"/>
          <w:caps w:val="0"/>
          <w:color w:val="404040"/>
          <w:spacing w:val="0"/>
          <w:sz w:val="32"/>
          <w:szCs w:val="32"/>
          <w:u w:val="none"/>
          <w:shd w:val="clear" w:color="auto" w:fill="FFFFFF"/>
        </w:rPr>
        <w:t>。确立综合办公室为政府信息公开工作主管部门，负责推进、指导、协调、监督街道政府信息公开工作。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eastAsia" w:ascii="仿宋_GB2312" w:hAnsi="仿宋_GB2312" w:eastAsia="仿宋_GB2312" w:cs="仿宋_GB2312"/>
          <w:i w:val="0"/>
          <w:caps w:val="0"/>
          <w:color w:val="404040"/>
          <w:spacing w:val="0"/>
          <w:sz w:val="32"/>
          <w:szCs w:val="32"/>
          <w:u w:val="none"/>
          <w:shd w:val="clear" w:color="auto" w:fill="FFFFFF"/>
        </w:rPr>
      </w:pPr>
      <w:r>
        <w:rPr>
          <w:rFonts w:hint="eastAsia" w:ascii="仿宋_GB2312" w:hAnsi="仿宋_GB2312" w:eastAsia="仿宋_GB2312" w:cs="仿宋_GB2312"/>
          <w:i w:val="0"/>
          <w:caps w:val="0"/>
          <w:color w:val="404040"/>
          <w:spacing w:val="0"/>
          <w:sz w:val="32"/>
          <w:szCs w:val="32"/>
          <w:u w:val="none"/>
          <w:shd w:val="clear" w:color="auto" w:fill="FFFFFF"/>
        </w:rPr>
        <w:t>二是</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执行保密审查</w:t>
      </w:r>
      <w:r>
        <w:rPr>
          <w:rFonts w:hint="eastAsia" w:ascii="仿宋_GB2312" w:hAnsi="仿宋_GB2312" w:eastAsia="仿宋_GB2312" w:cs="仿宋_GB2312"/>
          <w:i w:val="0"/>
          <w:caps w:val="0"/>
          <w:color w:val="404040"/>
          <w:spacing w:val="0"/>
          <w:sz w:val="32"/>
          <w:szCs w:val="32"/>
          <w:u w:val="none"/>
          <w:shd w:val="clear" w:color="auto" w:fill="FFFFFF"/>
        </w:rPr>
        <w:t>。办事处制定了保密审查、政府信息公开目录规范等相关制度规定，对信息公开遵循的原则、内容形式等做出具体规定</w:t>
      </w:r>
      <w:r>
        <w:rPr>
          <w:rFonts w:hint="eastAsia" w:ascii="仿宋_GB2312" w:hAnsi="仿宋_GB2312" w:eastAsia="仿宋_GB2312" w:cs="仿宋_GB2312"/>
          <w:i w:val="0"/>
          <w:caps w:val="0"/>
          <w:color w:val="404040"/>
          <w:spacing w:val="0"/>
          <w:sz w:val="32"/>
          <w:szCs w:val="32"/>
          <w:u w:val="none"/>
          <w:shd w:val="clear" w:color="auto" w:fill="FFFFFF"/>
          <w:lang w:eastAsia="zh-CN"/>
        </w:rPr>
        <w:t>，</w:t>
      </w:r>
      <w:r>
        <w:rPr>
          <w:rFonts w:hint="eastAsia" w:ascii="仿宋_GB2312" w:hAnsi="仿宋_GB2312" w:eastAsia="仿宋_GB2312" w:cs="仿宋_GB2312"/>
          <w:i w:val="0"/>
          <w:caps w:val="0"/>
          <w:color w:val="404040"/>
          <w:spacing w:val="0"/>
          <w:sz w:val="32"/>
          <w:szCs w:val="32"/>
          <w:u w:val="none"/>
          <w:shd w:val="clear" w:color="auto" w:fill="FFFFFF"/>
        </w:rPr>
        <w:t>严格按照</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信息</w:t>
      </w:r>
      <w:r>
        <w:rPr>
          <w:rFonts w:hint="eastAsia" w:ascii="仿宋_GB2312" w:hAnsi="仿宋_GB2312" w:eastAsia="仿宋_GB2312" w:cs="仿宋_GB2312"/>
          <w:i w:val="0"/>
          <w:caps w:val="0"/>
          <w:color w:val="404040"/>
          <w:spacing w:val="0"/>
          <w:sz w:val="32"/>
          <w:szCs w:val="32"/>
          <w:u w:val="none"/>
          <w:shd w:val="clear" w:color="auto" w:fill="FFFFFF"/>
        </w:rPr>
        <w:t>采集、</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内容</w:t>
      </w:r>
      <w:r>
        <w:rPr>
          <w:rFonts w:hint="eastAsia" w:ascii="仿宋_GB2312" w:hAnsi="仿宋_GB2312" w:eastAsia="仿宋_GB2312" w:cs="仿宋_GB2312"/>
          <w:i w:val="0"/>
          <w:caps w:val="0"/>
          <w:color w:val="404040"/>
          <w:spacing w:val="0"/>
          <w:sz w:val="32"/>
          <w:szCs w:val="32"/>
          <w:u w:val="none"/>
          <w:shd w:val="clear" w:color="auto" w:fill="FFFFFF"/>
        </w:rPr>
        <w:t>审核、</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上传</w:t>
      </w:r>
      <w:r>
        <w:rPr>
          <w:rFonts w:hint="eastAsia" w:ascii="仿宋_GB2312" w:hAnsi="仿宋_GB2312" w:eastAsia="仿宋_GB2312" w:cs="仿宋_GB2312"/>
          <w:i w:val="0"/>
          <w:caps w:val="0"/>
          <w:color w:val="404040"/>
          <w:spacing w:val="0"/>
          <w:sz w:val="32"/>
          <w:szCs w:val="32"/>
          <w:u w:val="none"/>
          <w:shd w:val="clear" w:color="auto" w:fill="FFFFFF"/>
        </w:rPr>
        <w:t>报送等环节</w:t>
      </w:r>
      <w:r>
        <w:rPr>
          <w:rFonts w:hint="eastAsia" w:ascii="仿宋_GB2312" w:hAnsi="仿宋_GB2312" w:eastAsia="仿宋_GB2312" w:cs="仿宋_GB2312"/>
          <w:i w:val="0"/>
          <w:caps w:val="0"/>
          <w:color w:val="404040"/>
          <w:spacing w:val="0"/>
          <w:sz w:val="32"/>
          <w:szCs w:val="32"/>
          <w:u w:val="none"/>
          <w:shd w:val="clear" w:color="auto" w:fill="FFFFFF"/>
          <w:lang w:eastAsia="zh-CN"/>
        </w:rPr>
        <w:t>，</w:t>
      </w:r>
      <w:r>
        <w:rPr>
          <w:rFonts w:hint="eastAsia" w:ascii="仿宋_GB2312" w:hAnsi="仿宋_GB2312" w:eastAsia="仿宋_GB2312" w:cs="仿宋_GB2312"/>
          <w:i w:val="0"/>
          <w:caps w:val="0"/>
          <w:color w:val="404040"/>
          <w:spacing w:val="0"/>
          <w:sz w:val="32"/>
          <w:szCs w:val="32"/>
          <w:u w:val="none"/>
          <w:shd w:val="clear" w:color="auto" w:fill="FFFFFF"/>
        </w:rPr>
        <w:t>明确</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职责分工</w:t>
      </w:r>
      <w:r>
        <w:rPr>
          <w:rFonts w:hint="eastAsia" w:ascii="仿宋_GB2312" w:hAnsi="仿宋_GB2312" w:eastAsia="仿宋_GB2312" w:cs="仿宋_GB2312"/>
          <w:i w:val="0"/>
          <w:caps w:val="0"/>
          <w:color w:val="404040"/>
          <w:spacing w:val="0"/>
          <w:sz w:val="32"/>
          <w:szCs w:val="32"/>
          <w:u w:val="none"/>
          <w:shd w:val="clear" w:color="auto"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楷体" w:hAnsi="楷体" w:eastAsia="楷体" w:cs="楷体"/>
          <w:i w:val="0"/>
          <w:caps w:val="0"/>
          <w:color w:val="404040"/>
          <w:spacing w:val="0"/>
          <w:sz w:val="32"/>
          <w:szCs w:val="32"/>
          <w:u w:val="none"/>
          <w:shd w:val="clear" w:color="auto" w:fill="FFFFFF"/>
        </w:rPr>
      </w:pPr>
      <w:r>
        <w:rPr>
          <w:rFonts w:hint="eastAsia" w:ascii="楷体" w:hAnsi="楷体" w:eastAsia="楷体" w:cs="楷体"/>
          <w:i w:val="0"/>
          <w:caps w:val="0"/>
          <w:color w:val="404040"/>
          <w:spacing w:val="0"/>
          <w:sz w:val="32"/>
          <w:szCs w:val="32"/>
          <w:u w:val="none"/>
          <w:shd w:val="clear" w:color="auto" w:fill="FFFFFF"/>
        </w:rPr>
        <w:t>（四）政府信息公开平台建设情况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eastAsia" w:ascii="仿宋_GB2312" w:hAnsi="仿宋_GB2312" w:eastAsia="仿宋_GB2312" w:cs="仿宋_GB2312"/>
          <w:i w:val="0"/>
          <w:caps w:val="0"/>
          <w:color w:val="404040"/>
          <w:spacing w:val="0"/>
          <w:sz w:val="32"/>
          <w:szCs w:val="32"/>
          <w:u w:val="none"/>
        </w:rPr>
      </w:pPr>
      <w:r>
        <w:rPr>
          <w:rFonts w:hint="eastAsia" w:ascii="仿宋_GB2312" w:hAnsi="仿宋_GB2312" w:eastAsia="仿宋_GB2312" w:cs="仿宋_GB2312"/>
          <w:i w:val="0"/>
          <w:caps w:val="0"/>
          <w:color w:val="404040"/>
          <w:spacing w:val="0"/>
          <w:sz w:val="32"/>
          <w:szCs w:val="32"/>
          <w:u w:val="none"/>
          <w:shd w:val="clear" w:color="auto" w:fill="FFFFFF"/>
        </w:rPr>
        <w:t>一是信息公开栏的维护。</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办事处</w:t>
      </w:r>
      <w:r>
        <w:rPr>
          <w:rFonts w:hint="eastAsia" w:ascii="仿宋_GB2312" w:hAnsi="仿宋_GB2312" w:eastAsia="仿宋_GB2312" w:cs="仿宋_GB2312"/>
          <w:i w:val="0"/>
          <w:caps w:val="0"/>
          <w:color w:val="404040"/>
          <w:spacing w:val="0"/>
          <w:sz w:val="32"/>
          <w:szCs w:val="32"/>
          <w:u w:val="none"/>
          <w:shd w:val="clear" w:color="auto" w:fill="FFFFFF"/>
        </w:rPr>
        <w:t>指定专人</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对信息公开专栏进行维护、更新</w:t>
      </w:r>
      <w:r>
        <w:rPr>
          <w:rFonts w:hint="eastAsia" w:ascii="仿宋_GB2312" w:hAnsi="仿宋_GB2312" w:eastAsia="仿宋_GB2312" w:cs="仿宋_GB2312"/>
          <w:i w:val="0"/>
          <w:caps w:val="0"/>
          <w:color w:val="404040"/>
          <w:spacing w:val="0"/>
          <w:sz w:val="32"/>
          <w:szCs w:val="32"/>
          <w:u w:val="none"/>
          <w:shd w:val="clear" w:color="auto" w:fill="FFFFFF"/>
        </w:rPr>
        <w:t>，</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规范领导简介栏目，保障信息及时、准确。同时维护依申请公开申请渠道，如</w:t>
      </w:r>
      <w:r>
        <w:rPr>
          <w:rFonts w:hint="eastAsia" w:ascii="仿宋_GB2312" w:hAnsi="仿宋_GB2312" w:eastAsia="仿宋_GB2312" w:cs="仿宋_GB2312"/>
          <w:i w:val="0"/>
          <w:caps w:val="0"/>
          <w:color w:val="404040"/>
          <w:spacing w:val="0"/>
          <w:sz w:val="32"/>
          <w:szCs w:val="32"/>
          <w:u w:val="none"/>
          <w:shd w:val="clear" w:color="auto" w:fill="FFFFFF"/>
        </w:rPr>
        <w:t>电子邮箱、电话、</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邮件</w:t>
      </w:r>
      <w:r>
        <w:rPr>
          <w:rFonts w:hint="eastAsia" w:ascii="仿宋_GB2312" w:hAnsi="仿宋_GB2312" w:eastAsia="仿宋_GB2312" w:cs="仿宋_GB2312"/>
          <w:i w:val="0"/>
          <w:caps w:val="0"/>
          <w:color w:val="404040"/>
          <w:spacing w:val="0"/>
          <w:sz w:val="32"/>
          <w:szCs w:val="32"/>
          <w:u w:val="none"/>
          <w:shd w:val="clear" w:color="auto" w:fill="FFFFFF"/>
        </w:rPr>
        <w:t>等</w:t>
      </w:r>
      <w:r>
        <w:rPr>
          <w:rFonts w:hint="eastAsia" w:ascii="仿宋_GB2312" w:hAnsi="仿宋_GB2312" w:eastAsia="仿宋_GB2312" w:cs="仿宋_GB2312"/>
          <w:i w:val="0"/>
          <w:caps w:val="0"/>
          <w:color w:val="404040"/>
          <w:spacing w:val="0"/>
          <w:sz w:val="32"/>
          <w:szCs w:val="32"/>
          <w:u w:val="none"/>
          <w:shd w:val="clear" w:color="auto" w:fill="FFFFFF"/>
          <w:lang w:eastAsia="zh-CN"/>
        </w:rPr>
        <w:t>，</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由工作人员第一时间对政府信息公开</w:t>
      </w:r>
      <w:r>
        <w:rPr>
          <w:rFonts w:hint="eastAsia" w:ascii="仿宋_GB2312" w:hAnsi="仿宋_GB2312" w:eastAsia="仿宋_GB2312" w:cs="仿宋_GB2312"/>
          <w:i w:val="0"/>
          <w:caps w:val="0"/>
          <w:color w:val="404040"/>
          <w:spacing w:val="0"/>
          <w:sz w:val="32"/>
          <w:szCs w:val="32"/>
          <w:u w:val="none"/>
          <w:shd w:val="clear" w:color="auto" w:fill="FFFFFF"/>
        </w:rPr>
        <w:t>申请</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进行</w:t>
      </w:r>
      <w:r>
        <w:rPr>
          <w:rFonts w:hint="eastAsia" w:ascii="仿宋_GB2312" w:hAnsi="仿宋_GB2312" w:eastAsia="仿宋_GB2312" w:cs="仿宋_GB2312"/>
          <w:i w:val="0"/>
          <w:caps w:val="0"/>
          <w:color w:val="404040"/>
          <w:spacing w:val="0"/>
          <w:sz w:val="32"/>
          <w:szCs w:val="32"/>
          <w:u w:val="none"/>
          <w:shd w:val="clear" w:color="auto" w:fill="FFFFFF"/>
        </w:rPr>
        <w:t>登记、受理、审核和公开等工作。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640"/>
        <w:jc w:val="left"/>
        <w:rPr>
          <w:rFonts w:hint="default" w:ascii="楷体" w:hAnsi="楷体" w:eastAsia="楷体" w:cs="楷体"/>
          <w:i w:val="0"/>
          <w:caps w:val="0"/>
          <w:color w:val="404040"/>
          <w:spacing w:val="0"/>
          <w:sz w:val="32"/>
          <w:szCs w:val="32"/>
          <w:u w:val="none"/>
          <w:shd w:val="clear" w:color="auto" w:fill="FFFFFF"/>
        </w:rPr>
      </w:pPr>
      <w:r>
        <w:rPr>
          <w:rFonts w:hint="eastAsia" w:ascii="楷体" w:hAnsi="楷体" w:eastAsia="楷体" w:cs="楷体"/>
          <w:i w:val="0"/>
          <w:caps w:val="0"/>
          <w:color w:val="404040"/>
          <w:spacing w:val="0"/>
          <w:sz w:val="32"/>
          <w:szCs w:val="32"/>
          <w:u w:val="none"/>
          <w:shd w:val="clear" w:color="auto" w:fill="FFFFFF"/>
        </w:rPr>
        <w:t>（五）政府信息公开监督保障及教育培训情况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both"/>
        <w:rPr>
          <w:rFonts w:hint="default" w:ascii="Calibri" w:hAnsi="Calibri" w:cs="Calibri"/>
          <w:i w:val="0"/>
          <w:caps w:val="0"/>
          <w:color w:val="404040"/>
          <w:spacing w:val="0"/>
          <w:sz w:val="21"/>
          <w:szCs w:val="21"/>
          <w:u w:val="none"/>
        </w:rPr>
      </w:pPr>
      <w:r>
        <w:rPr>
          <w:rFonts w:hint="eastAsia" w:ascii="仿宋_GB2312" w:hAnsi="仿宋_GB2312" w:eastAsia="仿宋_GB2312" w:cs="仿宋_GB2312"/>
          <w:i w:val="0"/>
          <w:caps w:val="0"/>
          <w:color w:val="404040"/>
          <w:spacing w:val="0"/>
          <w:sz w:val="32"/>
          <w:szCs w:val="32"/>
          <w:u w:val="none"/>
          <w:shd w:val="clear" w:color="auto" w:fill="FFFFFF"/>
          <w:lang w:val="en-US" w:eastAsia="zh-CN"/>
        </w:rPr>
        <w:t>办事处主管领导</w:t>
      </w:r>
      <w:r>
        <w:rPr>
          <w:rFonts w:hint="eastAsia" w:ascii="仿宋_GB2312" w:hAnsi="仿宋_GB2312" w:eastAsia="仿宋_GB2312" w:cs="仿宋_GB2312"/>
          <w:i w:val="0"/>
          <w:caps w:val="0"/>
          <w:color w:val="404040"/>
          <w:spacing w:val="0"/>
          <w:sz w:val="32"/>
          <w:szCs w:val="32"/>
          <w:u w:val="none"/>
          <w:shd w:val="clear" w:color="auto" w:fill="FFFFFF"/>
        </w:rPr>
        <w:t>及</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部室负责人、</w:t>
      </w:r>
      <w:r>
        <w:rPr>
          <w:rFonts w:hint="eastAsia" w:ascii="仿宋_GB2312" w:hAnsi="仿宋_GB2312" w:eastAsia="仿宋_GB2312" w:cs="仿宋_GB2312"/>
          <w:i w:val="0"/>
          <w:caps w:val="0"/>
          <w:color w:val="404040"/>
          <w:spacing w:val="0"/>
          <w:sz w:val="32"/>
          <w:szCs w:val="32"/>
          <w:u w:val="none"/>
          <w:shd w:val="clear" w:color="auto" w:fill="FFFFFF"/>
        </w:rPr>
        <w:t>具体工作人员积极参加</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各类</w:t>
      </w:r>
      <w:r>
        <w:rPr>
          <w:rFonts w:hint="eastAsia" w:ascii="仿宋_GB2312" w:hAnsi="仿宋_GB2312" w:eastAsia="仿宋_GB2312" w:cs="仿宋_GB2312"/>
          <w:i w:val="0"/>
          <w:caps w:val="0"/>
          <w:color w:val="404040"/>
          <w:spacing w:val="0"/>
          <w:sz w:val="32"/>
          <w:szCs w:val="32"/>
          <w:u w:val="none"/>
          <w:shd w:val="clear" w:color="auto" w:fill="FFFFFF"/>
        </w:rPr>
        <w:t>政府信息公开工作培训，结合</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依法行政工作</w:t>
      </w:r>
      <w:r>
        <w:rPr>
          <w:rFonts w:hint="eastAsia" w:ascii="仿宋_GB2312" w:hAnsi="仿宋_GB2312" w:eastAsia="仿宋_GB2312" w:cs="仿宋_GB2312"/>
          <w:i w:val="0"/>
          <w:caps w:val="0"/>
          <w:color w:val="404040"/>
          <w:spacing w:val="0"/>
          <w:sz w:val="32"/>
          <w:szCs w:val="32"/>
          <w:u w:val="none"/>
          <w:shd w:val="clear" w:color="auto" w:fill="FFFFFF"/>
        </w:rPr>
        <w:t>，</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运用机制</w:t>
      </w:r>
      <w:r>
        <w:rPr>
          <w:rFonts w:hint="eastAsia" w:ascii="仿宋_GB2312" w:hAnsi="仿宋_GB2312" w:eastAsia="仿宋_GB2312" w:cs="仿宋_GB2312"/>
          <w:i w:val="0"/>
          <w:caps w:val="0"/>
          <w:color w:val="404040"/>
          <w:spacing w:val="0"/>
          <w:sz w:val="32"/>
          <w:szCs w:val="32"/>
          <w:u w:val="none"/>
          <w:shd w:val="clear" w:color="auto" w:fill="FFFFFF"/>
        </w:rPr>
        <w:t>进一步推进信息</w:t>
      </w:r>
      <w:r>
        <w:rPr>
          <w:rFonts w:hint="eastAsia" w:ascii="仿宋_GB2312" w:hAnsi="仿宋_GB2312" w:eastAsia="仿宋_GB2312" w:cs="仿宋_GB2312"/>
          <w:i w:val="0"/>
          <w:caps w:val="0"/>
          <w:color w:val="404040"/>
          <w:spacing w:val="0"/>
          <w:sz w:val="32"/>
          <w:szCs w:val="32"/>
          <w:u w:val="none"/>
          <w:shd w:val="clear" w:color="auto" w:fill="FFFFFF"/>
          <w:lang w:val="en-US" w:eastAsia="zh-CN"/>
        </w:rPr>
        <w:t>的</w:t>
      </w:r>
      <w:r>
        <w:rPr>
          <w:rFonts w:hint="eastAsia" w:ascii="仿宋_GB2312" w:hAnsi="仿宋_GB2312" w:eastAsia="仿宋_GB2312" w:cs="仿宋_GB2312"/>
          <w:i w:val="0"/>
          <w:caps w:val="0"/>
          <w:color w:val="404040"/>
          <w:spacing w:val="0"/>
          <w:sz w:val="32"/>
          <w:szCs w:val="32"/>
          <w:u w:val="none"/>
          <w:shd w:val="clear" w:color="auto" w:fill="FFFFFF"/>
        </w:rPr>
        <w:t>及时发布。</w:t>
      </w:r>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主动公开政府信息情况</w:t>
      </w:r>
    </w:p>
    <w:p>
      <w:pPr>
        <w:pStyle w:val="2"/>
        <w:widowControl/>
      </w:pPr>
    </w:p>
    <w:tbl>
      <w:tblPr>
        <w:tblStyle w:val="5"/>
        <w:tblW w:w="9740" w:type="dxa"/>
        <w:jc w:val="center"/>
        <w:tblLayout w:type="autofit"/>
        <w:tblCellMar>
          <w:top w:w="0" w:type="dxa"/>
          <w:left w:w="0" w:type="dxa"/>
          <w:bottom w:w="0" w:type="dxa"/>
          <w:right w:w="0" w:type="dxa"/>
        </w:tblCellMar>
      </w:tblPr>
      <w:tblGrid>
        <w:gridCol w:w="2435"/>
        <w:gridCol w:w="2435"/>
        <w:gridCol w:w="2435"/>
        <w:gridCol w:w="2435"/>
      </w:tblGrid>
      <w:tr>
        <w:tblPrEx>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第二十条第（一）项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现行有效件数</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lang w:val="en-US" w:eastAsia="zh-CN"/>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cs="Calibri"/>
                <w:kern w:val="0"/>
                <w:szCs w:val="21"/>
                <w:lang w:val="en-US" w:eastAsia="zh-CN" w:bidi="ar"/>
              </w:rPr>
              <w:t>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ascii="宋体" w:hAnsi="宋体" w:cs="宋体"/>
                <w:color w:val="000000"/>
                <w:kern w:val="0"/>
                <w:sz w:val="20"/>
                <w:szCs w:val="20"/>
                <w:lang w:val="en-US" w:eastAsia="zh-CN" w:bidi="ar"/>
              </w:rPr>
              <w:t>1</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eastAsia="zh-CN"/>
              </w:rPr>
            </w:pPr>
            <w:r>
              <w:rPr>
                <w:rFonts w:hint="eastAsia" w:cs="Calibri"/>
                <w:kern w:val="0"/>
                <w:szCs w:val="21"/>
                <w:lang w:val="en-US" w:eastAsia="zh-CN" w:bidi="ar"/>
              </w:rPr>
              <w:t>1</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第二十条第（五）项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第二十条第（六）项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本年处理决定数量</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default" w:eastAsia="宋体"/>
                <w:lang w:val="en-US" w:eastAsia="zh-CN"/>
              </w:rPr>
            </w:pPr>
            <w:r>
              <w:rPr>
                <w:rFonts w:hint="eastAsia"/>
                <w:lang w:val="en-US" w:eastAsia="zh-CN"/>
              </w:rPr>
              <w:t>250</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widowControl/>
              <w:jc w:val="left"/>
              <w:rPr>
                <w:rFonts w:hint="eastAsia" w:eastAsia="宋体"/>
                <w:lang w:val="en-US" w:eastAsia="zh-CN"/>
              </w:rPr>
            </w:pPr>
            <w:r>
              <w:rPr>
                <w:rFonts w:hint="eastAsia"/>
                <w:lang w:val="en-US" w:eastAsia="zh-CN"/>
              </w:rPr>
              <w:t>0</w:t>
            </w:r>
          </w:p>
        </w:tc>
      </w:tr>
      <w:tr>
        <w:tblPrEx>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color w:val="000000"/>
                <w:kern w:val="0"/>
                <w:sz w:val="20"/>
                <w:szCs w:val="20"/>
                <w:lang w:bidi="ar"/>
              </w:rPr>
              <w:t>第二十条第（八）项</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center"/>
            </w:pPr>
            <w:r>
              <w:rPr>
                <w:rFonts w:hint="eastAsia" w:ascii="宋体" w:hAnsi="宋体" w:cs="宋体"/>
                <w:color w:val="000000"/>
                <w:kern w:val="0"/>
                <w:sz w:val="20"/>
                <w:szCs w:val="20"/>
                <w:lang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widowControl/>
              <w:jc w:val="center"/>
            </w:pPr>
            <w:r>
              <w:rPr>
                <w:rFonts w:hint="eastAsia" w:ascii="宋体" w:hAnsi="宋体" w:cs="宋体"/>
                <w:color w:val="000000"/>
                <w:kern w:val="0"/>
                <w:sz w:val="20"/>
                <w:szCs w:val="20"/>
                <w:lang w:bidi="ar"/>
              </w:rPr>
              <w:t>本年收费金额（单位：万元）</w:t>
            </w:r>
          </w:p>
        </w:tc>
      </w:tr>
      <w:tr>
        <w:tblPrEx>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color w:val="000000"/>
                <w:kern w:val="0"/>
                <w:sz w:val="20"/>
                <w:szCs w:val="20"/>
                <w:lang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hAnsi="Times New Roman" w:eastAsia="宋体" w:cs="宋体"/>
                <w:sz w:val="24"/>
                <w:lang w:val="en-US" w:eastAsia="zh-CN"/>
              </w:rPr>
            </w:pPr>
            <w:r>
              <w:rPr>
                <w:rFonts w:hint="eastAsia"/>
                <w:lang w:val="en-US" w:eastAsia="zh-CN"/>
              </w:rPr>
              <w:t>0</w:t>
            </w:r>
          </w:p>
        </w:tc>
      </w:tr>
    </w:tbl>
    <w:p>
      <w:pPr>
        <w:pStyle w:val="3"/>
      </w:pPr>
    </w:p>
    <w:p/>
    <w:p>
      <w:pPr>
        <w:pStyle w:val="2"/>
      </w:pPr>
    </w:p>
    <w:p/>
    <w:p>
      <w:pPr>
        <w:numPr>
          <w:ilvl w:val="0"/>
          <w:numId w:val="1"/>
        </w:numPr>
        <w:spacing w:line="560" w:lineRule="exact"/>
        <w:ind w:firstLine="640"/>
        <w:rPr>
          <w:rFonts w:hint="eastAsia" w:ascii="黑体" w:hAnsi="宋体" w:eastAsia="黑体" w:cs="黑体"/>
          <w:sz w:val="32"/>
          <w:szCs w:val="32"/>
        </w:rPr>
      </w:pPr>
      <w:r>
        <w:rPr>
          <w:rFonts w:hint="eastAsia" w:ascii="黑体" w:hAnsi="宋体" w:eastAsia="黑体" w:cs="黑体"/>
          <w:sz w:val="32"/>
          <w:szCs w:val="32"/>
          <w:lang w:bidi="ar"/>
        </w:rPr>
        <w:t>收到和处理政府信息公开申请情况</w:t>
      </w:r>
    </w:p>
    <w:p>
      <w:pPr>
        <w:ind w:left="629"/>
        <w:rPr>
          <w:rFonts w:hint="eastAsia" w:ascii="黑体" w:hAnsi="宋体" w:eastAsia="黑体" w:cs="黑体"/>
          <w:sz w:val="24"/>
        </w:rP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restart"/>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widowControl/>
              <w:jc w:val="left"/>
            </w:pPr>
            <w:r>
              <w:rPr>
                <w:rFonts w:hint="eastAsia" w:ascii="楷体" w:hAnsi="楷体" w:eastAsia="楷体" w:cs="楷体"/>
                <w:kern w:val="0"/>
                <w:sz w:val="20"/>
                <w:szCs w:val="20"/>
                <w:lang w:bidi="ar"/>
              </w:rPr>
              <w:t>（本列数据的勾稽关系为：第一项加第二项之和，等于第三项加第四项之和）</w:t>
            </w:r>
          </w:p>
        </w:tc>
        <w:tc>
          <w:tcPr>
            <w:tcW w:w="4998"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申请人情况</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restart"/>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自然人</w:t>
            </w:r>
          </w:p>
        </w:tc>
        <w:tc>
          <w:tcPr>
            <w:tcW w:w="3570" w:type="dxa"/>
            <w:gridSpan w:val="5"/>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法人或其他组织</w:t>
            </w:r>
          </w:p>
        </w:tc>
        <w:tc>
          <w:tcPr>
            <w:tcW w:w="714" w:type="dxa"/>
            <w:vMerge w:val="restart"/>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5150" w:type="dxa"/>
            <w:gridSpan w:val="3"/>
            <w:vMerge w:val="continue"/>
            <w:tcBorders>
              <w:top w:val="single" w:color="auto" w:sz="8" w:space="0"/>
              <w:left w:val="single" w:color="auto" w:sz="8" w:space="0"/>
              <w:bottom w:val="inset" w:color="auto" w:sz="8" w:space="0"/>
              <w:right w:val="single" w:color="auto" w:sz="8" w:space="0"/>
            </w:tcBorders>
            <w:shd w:val="clear" w:color="auto" w:fill="9BC2E6"/>
            <w:noWrap w:val="0"/>
            <w:tcMar>
              <w:left w:w="108" w:type="dxa"/>
              <w:right w:w="108" w:type="dxa"/>
            </w:tcMar>
            <w:vAlign w:val="center"/>
          </w:tcPr>
          <w:p>
            <w:pPr>
              <w:rPr>
                <w:rFonts w:ascii="Times New Roman" w:hAnsi="Times New Roman"/>
                <w:sz w:val="20"/>
                <w:szCs w:val="20"/>
              </w:rPr>
            </w:pPr>
          </w:p>
        </w:tc>
        <w:tc>
          <w:tcPr>
            <w:tcW w:w="714" w:type="dxa"/>
            <w:vMerge w:val="continue"/>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商业</w:t>
            </w:r>
          </w:p>
          <w:p>
            <w:pPr>
              <w:widowControl/>
              <w:jc w:val="center"/>
            </w:pPr>
            <w:r>
              <w:rPr>
                <w:rFonts w:hint="eastAsia" w:ascii="宋体" w:hAnsi="宋体" w:cs="宋体"/>
                <w:kern w:val="0"/>
                <w:sz w:val="20"/>
                <w:szCs w:val="20"/>
                <w:lang w:bidi="ar"/>
              </w:rPr>
              <w:t>企业</w:t>
            </w:r>
          </w:p>
        </w:tc>
        <w:tc>
          <w:tcPr>
            <w:tcW w:w="714" w:type="dxa"/>
            <w:tcBorders>
              <w:top w:val="single" w:color="auto" w:sz="0"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科研</w:t>
            </w:r>
          </w:p>
          <w:p>
            <w:pPr>
              <w:widowControl/>
              <w:jc w:val="center"/>
            </w:pPr>
            <w:r>
              <w:rPr>
                <w:rFonts w:hint="eastAsia" w:ascii="宋体" w:hAnsi="宋体" w:cs="宋体"/>
                <w:kern w:val="0"/>
                <w:sz w:val="20"/>
                <w:szCs w:val="20"/>
                <w:lang w:bidi="ar"/>
              </w:rPr>
              <w:t>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社会公益组织</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法律服务机构</w:t>
            </w:r>
          </w:p>
        </w:tc>
        <w:tc>
          <w:tcPr>
            <w:tcW w:w="714" w:type="dxa"/>
            <w:tcBorders>
              <w:top w:val="single" w:color="auto" w:sz="8" w:space="0"/>
              <w:left w:val="single" w:color="auto" w:sz="0" w:space="0"/>
              <w:bottom w:val="single" w:color="auto" w:sz="8" w:space="0"/>
              <w:right w:val="single" w:color="auto" w:sz="8" w:space="0"/>
            </w:tcBorders>
            <w:shd w:val="clear" w:color="auto" w:fill="9BC2E6"/>
            <w:noWrap w:val="0"/>
            <w:tcMar>
              <w:left w:w="57" w:type="dxa"/>
              <w:right w:w="57" w:type="dxa"/>
            </w:tcMar>
            <w:vAlign w:val="center"/>
          </w:tcPr>
          <w:p>
            <w:pPr>
              <w:widowControl/>
              <w:jc w:val="center"/>
            </w:pPr>
            <w:r>
              <w:rPr>
                <w:rFonts w:hint="eastAsia" w:ascii="宋体" w:hAnsi="宋体" w:cs="宋体"/>
                <w:kern w:val="0"/>
                <w:sz w:val="20"/>
                <w:szCs w:val="20"/>
                <w:lang w:bidi="ar"/>
              </w:rPr>
              <w:t>其他</w:t>
            </w:r>
          </w:p>
        </w:tc>
        <w:tc>
          <w:tcPr>
            <w:tcW w:w="714" w:type="dxa"/>
            <w:vMerge w:val="continue"/>
            <w:tcBorders>
              <w:top w:val="single" w:color="auto" w:sz="8" w:space="0"/>
              <w:left w:val="single" w:color="auto" w:sz="0" w:space="0"/>
              <w:bottom w:val="inset" w:color="auto" w:sz="8" w:space="0"/>
              <w:right w:val="single" w:color="auto" w:sz="8" w:space="0"/>
            </w:tcBorders>
            <w:shd w:val="clear" w:color="auto" w:fill="9BC2E6"/>
            <w:noWrap w:val="0"/>
            <w:tcMar>
              <w:left w:w="57" w:type="dxa"/>
              <w:right w:w="57" w:type="dxa"/>
            </w:tcMar>
            <w:vAlign w:val="center"/>
          </w:tcPr>
          <w:p>
            <w:pPr>
              <w:rPr>
                <w:rFonts w:ascii="Times New Roman" w:hAnsi="Times New Roman"/>
                <w:sz w:val="20"/>
                <w:szCs w:val="20"/>
              </w:rPr>
            </w:pP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一、本年新收政府信息公开申请数量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228" w:hRule="atLeast"/>
          <w:jc w:val="center"/>
        </w:trPr>
        <w:tc>
          <w:tcPr>
            <w:tcW w:w="5150"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二、上年结转政府信息公开申请数量</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restart"/>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三、本年度办理结果</w:t>
            </w: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（一）予以公开</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（二）部分公开</w:t>
            </w:r>
            <w:r>
              <w:rPr>
                <w:rFonts w:hint="eastAsia" w:ascii="楷体" w:hAnsi="楷体" w:eastAsia="楷体" w:cs="楷体"/>
                <w:kern w:val="0"/>
                <w:sz w:val="20"/>
                <w:szCs w:val="20"/>
                <w:lang w:bidi="ar"/>
              </w:rPr>
              <w:t>（区分处理的，只计这一情形，不计其他情形）</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（三）不予公开</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1.属于国家秘密</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single" w:color="auto" w:sz="8" w:space="0"/>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2.其他法律行政法规禁止公开</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3.危及“三安全一稳定”</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4.保护第三方合法权益</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5.属于三类内部事务信息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6.属于四类过程性信息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7.属于行政执法案卷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8.属于行政查询事项</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（四）无法提供</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1.本机关不掌握相关政府信息</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2.没有现成信息需要另行制作</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3.补正后申请内容仍不明确</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（五）不予处理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1.信访举报投诉类申请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2.重复申请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3.要求提供公开出版物</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widowControl/>
              <w:jc w:val="left"/>
            </w:pPr>
            <w:r>
              <w:rPr>
                <w:rFonts w:hint="eastAsia" w:ascii="宋体" w:hAnsi="宋体" w:cs="宋体"/>
                <w:kern w:val="0"/>
                <w:sz w:val="20"/>
                <w:szCs w:val="20"/>
                <w:lang w:bidi="ar"/>
              </w:rPr>
              <w:t>4.无正当理由大量反复申请</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single" w:color="auto" w:sz="0"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5.要求行政机关确认或重新出具已获取信息</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c>
          <w:tcPr>
            <w:tcW w:w="714" w:type="dxa"/>
            <w:tcBorders>
              <w:top w:val="single" w:color="auto" w:sz="0" w:space="0"/>
              <w:left w:val="single" w:color="auto" w:sz="0" w:space="0"/>
              <w:bottom w:val="inset"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restart"/>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（六）其他处理</w:t>
            </w: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1.申请人无正当理由逾期不补正、行政机关不再处理其政府信息公开申请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pPr>
            <w:r>
              <w:rPr>
                <w:rFonts w:hint="eastAsia" w:ascii="宋体" w:hAnsi="宋体" w:cs="宋体"/>
                <w:kern w:val="0"/>
                <w:sz w:val="20"/>
                <w:szCs w:val="20"/>
                <w:lang w:bidi="ar"/>
              </w:rPr>
              <w:t>2.申请人逾期未按收费通知要求缴纳费用、行政机关不再处理其政府信息公开申请</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959" w:type="dxa"/>
            <w:vMerge w:val="continue"/>
            <w:tcBorders>
              <w:top w:val="inset" w:color="auto" w:sz="8" w:space="0"/>
              <w:left w:val="single" w:color="auto" w:sz="0" w:space="0"/>
              <w:bottom w:val="inset" w:color="auto" w:sz="8" w:space="0"/>
              <w:right w:val="single" w:color="auto" w:sz="8" w:space="0"/>
            </w:tcBorders>
            <w:shd w:val="clear" w:color="auto" w:fill="DDEBF7"/>
            <w:noWrap w:val="0"/>
            <w:tcMar>
              <w:left w:w="57" w:type="dxa"/>
              <w:right w:w="57" w:type="dxa"/>
            </w:tcMar>
            <w:vAlign w:val="center"/>
          </w:tcPr>
          <w:p>
            <w:pPr>
              <w:rPr>
                <w:rFonts w:ascii="Times New Roman" w:hAnsi="Times New Roman"/>
                <w:sz w:val="20"/>
                <w:szCs w:val="20"/>
              </w:rPr>
            </w:pPr>
          </w:p>
        </w:tc>
        <w:tc>
          <w:tcPr>
            <w:tcW w:w="3406"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3.其他</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pPr>
            <w:r>
              <w:rPr>
                <w:rFonts w:cs="Calibri"/>
                <w:kern w:val="0"/>
                <w:sz w:val="20"/>
                <w:szCs w:val="20"/>
                <w:lang w:bidi="ar"/>
              </w:rPr>
              <w:t> </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785" w:type="dxa"/>
            <w:vMerge w:val="continue"/>
            <w:tcBorders>
              <w:top w:val="single" w:color="auto" w:sz="0" w:space="0"/>
              <w:left w:val="single" w:color="auto" w:sz="8" w:space="0"/>
              <w:bottom w:val="inset" w:color="auto" w:sz="8" w:space="0"/>
              <w:right w:val="single" w:color="auto" w:sz="8" w:space="0"/>
            </w:tcBorders>
            <w:shd w:val="clear" w:color="auto" w:fill="BDD7EE"/>
            <w:noWrap w:val="0"/>
            <w:tcMar>
              <w:left w:w="57" w:type="dxa"/>
              <w:right w:w="57" w:type="dxa"/>
            </w:tcMar>
            <w:vAlign w:val="center"/>
          </w:tcPr>
          <w:p>
            <w:pPr>
              <w:rPr>
                <w:rFonts w:ascii="Times New Roman" w:hAnsi="Times New Roman"/>
                <w:sz w:val="20"/>
                <w:szCs w:val="20"/>
              </w:rPr>
            </w:pPr>
          </w:p>
        </w:tc>
        <w:tc>
          <w:tcPr>
            <w:tcW w:w="4365"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widowControl/>
              <w:jc w:val="left"/>
            </w:pPr>
            <w:r>
              <w:rPr>
                <w:rFonts w:hint="eastAsia" w:ascii="宋体" w:hAnsi="宋体" w:cs="宋体"/>
                <w:kern w:val="0"/>
                <w:sz w:val="20"/>
                <w:szCs w:val="20"/>
                <w:lang w:bidi="ar"/>
              </w:rPr>
              <w:t>（七）总计</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rPr>
                <w:rFonts w:hint="eastAsia" w:eastAsia="宋体"/>
                <w:lang w:eastAsia="zh-CN"/>
              </w:rPr>
            </w:pPr>
            <w:r>
              <w:rPr>
                <w:rFonts w:hint="eastAsia" w:cs="Calibri"/>
                <w:kern w:val="0"/>
                <w:sz w:val="20"/>
                <w:szCs w:val="20"/>
                <w:lang w:val="en-US" w:eastAsia="zh-CN" w:bidi="ar"/>
              </w:rPr>
              <w:t>2</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center"/>
          </w:tcPr>
          <w:p>
            <w:pPr>
              <w:widowControl/>
              <w:jc w:val="center"/>
            </w:pPr>
            <w:r>
              <w:rPr>
                <w:rFonts w:cs="Calibri"/>
                <w:kern w:val="0"/>
                <w:sz w:val="20"/>
                <w:szCs w:val="20"/>
                <w:lang w:bidi="ar"/>
              </w:rPr>
              <w:t> </w:t>
            </w:r>
          </w:p>
        </w:tc>
        <w:tc>
          <w:tcPr>
            <w:tcW w:w="714" w:type="dxa"/>
            <w:tcBorders>
              <w:top w:val="nil"/>
              <w:left w:val="nil"/>
              <w:bottom w:val="single" w:color="auto" w:sz="8" w:space="0"/>
              <w:right w:val="single" w:color="auto" w:sz="8" w:space="0"/>
            </w:tcBorders>
            <w:noWrap w:val="0"/>
            <w:tcMar>
              <w:left w:w="57" w:type="dxa"/>
              <w:right w:w="57" w:type="dxa"/>
            </w:tcMar>
            <w:vAlign w:val="top"/>
          </w:tcPr>
          <w:p>
            <w:pPr>
              <w:widowControl/>
              <w:jc w:val="center"/>
              <w:rPr>
                <w:rFonts w:hint="eastAsia" w:eastAsia="宋体"/>
                <w:lang w:eastAsia="zh-CN"/>
              </w:rPr>
            </w:pPr>
            <w:r>
              <w:rPr>
                <w:rFonts w:hint="eastAsia" w:cs="Calibri"/>
                <w:kern w:val="0"/>
                <w:sz w:val="20"/>
                <w:szCs w:val="20"/>
                <w:lang w:val="en-US" w:eastAsia="zh-CN" w:bidi="ar"/>
              </w:rPr>
              <w:t>2</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jc w:val="center"/>
        </w:trPr>
        <w:tc>
          <w:tcPr>
            <w:tcW w:w="5150" w:type="dxa"/>
            <w:gridSpan w:val="3"/>
            <w:tcBorders>
              <w:top w:val="single" w:color="auto" w:sz="0" w:space="0"/>
              <w:left w:val="single" w:color="auto" w:sz="8" w:space="0"/>
              <w:bottom w:val="single" w:color="auto" w:sz="8" w:space="0"/>
              <w:right w:val="single" w:color="auto" w:sz="8" w:space="0"/>
            </w:tcBorders>
            <w:shd w:val="clear" w:color="auto" w:fill="BDD7EE"/>
            <w:noWrap w:val="0"/>
            <w:tcMar>
              <w:left w:w="57" w:type="dxa"/>
              <w:right w:w="57" w:type="dxa"/>
            </w:tcMar>
            <w:vAlign w:val="center"/>
          </w:tcPr>
          <w:p>
            <w:pPr>
              <w:widowControl/>
              <w:jc w:val="left"/>
            </w:pPr>
            <w:r>
              <w:rPr>
                <w:rFonts w:hint="eastAsia" w:ascii="宋体" w:hAnsi="宋体" w:cs="宋体"/>
                <w:kern w:val="0"/>
                <w:sz w:val="20"/>
                <w:szCs w:val="20"/>
                <w:lang w:bidi="ar"/>
              </w:rPr>
              <w:t>四、结转下年度继续办理</w:t>
            </w: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sz w:val="24"/>
              </w:rPr>
            </w:pPr>
          </w:p>
        </w:tc>
        <w:tc>
          <w:tcPr>
            <w:tcW w:w="0" w:type="auto"/>
            <w:tcBorders>
              <w:top w:val="inset" w:color="auto" w:sz="6" w:space="0"/>
              <w:left w:val="single" w:color="auto" w:sz="0" w:space="0"/>
              <w:bottom w:val="inset" w:color="auto" w:sz="6" w:space="0"/>
              <w:right w:val="inset" w:color="auto" w:sz="6" w:space="0"/>
            </w:tcBorders>
            <w:noWrap w:val="0"/>
            <w:vAlign w:val="center"/>
          </w:tcPr>
          <w:p>
            <w:pPr>
              <w:rPr>
                <w:rFonts w:hint="eastAsia" w:ascii="宋体" w:hAnsi="Times New Roman" w:cs="宋体"/>
                <w:sz w:val="24"/>
              </w:rPr>
            </w:pPr>
          </w:p>
        </w:tc>
      </w:tr>
    </w:tbl>
    <w:p>
      <w:pPr>
        <w:pStyle w:val="2"/>
        <w:widowControl/>
        <w:ind w:left="420" w:leftChars="200"/>
      </w:pPr>
    </w:p>
    <w:p>
      <w:pPr>
        <w:pStyle w:val="2"/>
        <w:widowControl/>
        <w:ind w:left="420" w:leftChars="200"/>
      </w:pPr>
    </w:p>
    <w:p/>
    <w:p>
      <w:pPr>
        <w:pStyle w:val="3"/>
      </w:pPr>
    </w:p>
    <w:p/>
    <w:p>
      <w:pPr>
        <w:spacing w:line="560" w:lineRule="exact"/>
        <w:ind w:firstLine="640" w:firstLineChars="200"/>
        <w:rPr>
          <w:rFonts w:hint="eastAsia" w:ascii="黑体" w:hAnsi="宋体" w:eastAsia="黑体" w:cs="黑体"/>
          <w:sz w:val="32"/>
          <w:szCs w:val="32"/>
        </w:rPr>
      </w:pPr>
      <w:r>
        <w:rPr>
          <w:rFonts w:hint="eastAsia" w:ascii="黑体" w:hAnsi="宋体" w:eastAsia="黑体" w:cs="黑体"/>
          <w:sz w:val="32"/>
          <w:szCs w:val="32"/>
          <w:lang w:bidi="ar"/>
        </w:rPr>
        <w:t>四、政府信息公开行政复议、行政诉讼情况</w:t>
      </w:r>
    </w:p>
    <w:p>
      <w:pPr>
        <w:widowControl/>
        <w:jc w:val="center"/>
      </w:pPr>
    </w:p>
    <w:tbl>
      <w:tblPr>
        <w:tblStyle w:val="5"/>
        <w:tblW w:w="9748"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10"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行政复议</w:t>
            </w:r>
          </w:p>
        </w:tc>
        <w:tc>
          <w:tcPr>
            <w:tcW w:w="6428"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widowControl/>
              <w:jc w:val="center"/>
            </w:pPr>
            <w:r>
              <w:rPr>
                <w:rFonts w:hint="eastAsia" w:ascii="宋体" w:hAnsi="宋体" w:cs="宋体"/>
                <w:kern w:val="0"/>
                <w:sz w:val="20"/>
                <w:szCs w:val="20"/>
                <w:lang w:bidi="ar"/>
              </w:rPr>
              <w:t>行政诉讼</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结果维持</w:t>
            </w:r>
          </w:p>
        </w:tc>
        <w:tc>
          <w:tcPr>
            <w:tcW w:w="642"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2"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widowControl/>
              <w:jc w:val="center"/>
            </w:pPr>
            <w:r>
              <w:rPr>
                <w:rFonts w:hint="eastAsia" w:ascii="宋体" w:hAnsi="宋体" w:cs="宋体"/>
                <w:kern w:val="0"/>
                <w:sz w:val="20"/>
                <w:szCs w:val="20"/>
                <w:lang w:bidi="ar"/>
              </w:rPr>
              <w:t>总计</w:t>
            </w:r>
          </w:p>
        </w:tc>
        <w:tc>
          <w:tcPr>
            <w:tcW w:w="3213"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widowControl/>
              <w:jc w:val="center"/>
            </w:pPr>
            <w:r>
              <w:rPr>
                <w:rFonts w:hint="eastAsia" w:ascii="宋体" w:hAnsi="宋体" w:cs="宋体"/>
                <w:kern w:val="0"/>
                <w:sz w:val="20"/>
                <w:szCs w:val="20"/>
                <w:lang w:bidi="ar"/>
              </w:rPr>
              <w:t>复议后起诉</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ascii="Times New Roman" w:hAnsi="Times New Roman"/>
                <w:sz w:val="20"/>
                <w:szCs w:val="20"/>
              </w:rPr>
            </w:pP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其他</w:t>
            </w:r>
            <w:r>
              <w:rPr>
                <w:rFonts w:hint="eastAsia" w:ascii="宋体" w:hAnsi="宋体" w:cs="宋体"/>
                <w:kern w:val="0"/>
                <w:sz w:val="20"/>
                <w:szCs w:val="20"/>
                <w:lang w:bidi="ar"/>
              </w:rPr>
              <w:br w:type="textWrapping"/>
            </w:r>
            <w:r>
              <w:rPr>
                <w:rFonts w:hint="eastAsia" w:ascii="宋体" w:hAnsi="宋体" w:cs="宋体"/>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维持</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结果</w:t>
            </w:r>
            <w:r>
              <w:rPr>
                <w:rFonts w:hint="eastAsia" w:ascii="宋体" w:hAnsi="宋体" w:cs="宋体"/>
                <w:kern w:val="0"/>
                <w:sz w:val="20"/>
                <w:szCs w:val="20"/>
                <w:lang w:bidi="ar"/>
              </w:rPr>
              <w:br w:type="textWrapping"/>
            </w:r>
            <w:r>
              <w:rPr>
                <w:rFonts w:hint="eastAsia" w:ascii="宋体" w:hAnsi="宋体" w:cs="宋体"/>
                <w:kern w:val="0"/>
                <w:sz w:val="20"/>
                <w:szCs w:val="20"/>
                <w:lang w:bidi="ar"/>
              </w:rPr>
              <w:t>纠正</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其他</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结果</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kern w:val="0"/>
                <w:sz w:val="20"/>
                <w:szCs w:val="20"/>
                <w:lang w:bidi="ar"/>
              </w:rPr>
              <w:t>尚未</w:t>
            </w:r>
            <w:r>
              <w:rPr>
                <w:rFonts w:hint="eastAsia" w:ascii="宋体" w:hAnsi="宋体" w:cs="宋体"/>
                <w:kern w:val="0"/>
                <w:sz w:val="20"/>
                <w:szCs w:val="20"/>
                <w:lang w:bidi="ar"/>
              </w:rPr>
              <w:br w:type="textWrapping"/>
            </w:r>
            <w:r>
              <w:rPr>
                <w:rFonts w:hint="eastAsia" w:ascii="宋体" w:hAnsi="宋体" w:cs="宋体"/>
                <w:kern w:val="0"/>
                <w:sz w:val="20"/>
                <w:szCs w:val="20"/>
                <w:lang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宋体" w:hAnsi="宋体" w:cs="宋体"/>
                <w:color w:val="000000"/>
                <w:kern w:val="0"/>
                <w:sz w:val="20"/>
                <w:szCs w:val="20"/>
                <w:lang w:bidi="ar"/>
              </w:rPr>
              <w:t>总计</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val="en-US" w:eastAsia="zh-CN" w:bidi="ar"/>
              </w:rPr>
              <w:t>1</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eastAsia="zh-CN"/>
              </w:rPr>
            </w:pPr>
            <w:r>
              <w:rPr>
                <w:rFonts w:hint="eastAsia" w:ascii="黑体" w:hAnsi="宋体" w:eastAsia="黑体" w:cs="黑体"/>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1</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pPr>
            <w:r>
              <w:rPr>
                <w:rFonts w:hint="eastAsia" w:ascii="黑体" w:hAnsi="宋体" w:eastAsia="黑体" w:cs="黑体"/>
                <w:kern w:val="0"/>
                <w:sz w:val="20"/>
                <w:szCs w:val="20"/>
                <w:lang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widowControl/>
              <w:jc w:val="center"/>
              <w:rPr>
                <w:rFonts w:hint="eastAsia" w:eastAsia="宋体"/>
                <w:lang w:val="en-US" w:eastAsia="zh-CN"/>
              </w:rPr>
            </w:pPr>
            <w:r>
              <w:rPr>
                <w:rFonts w:hint="eastAsia"/>
                <w:lang w:val="en-US" w:eastAsia="zh-CN"/>
              </w:rPr>
              <w:t>0</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hAnsi="Times New Roman" w:eastAsia="宋体" w:cs="宋体"/>
                <w:sz w:val="24"/>
                <w:lang w:val="en-US" w:eastAsia="zh-CN"/>
              </w:rPr>
            </w:pPr>
            <w:r>
              <w:rPr>
                <w:rFonts w:hint="eastAsia" w:ascii="宋体" w:cs="宋体"/>
                <w:sz w:val="24"/>
                <w:lang w:val="en-US" w:eastAsia="zh-CN"/>
              </w:rPr>
              <w:t>1</w:t>
            </w:r>
          </w:p>
        </w:tc>
      </w:tr>
    </w:tbl>
    <w:p>
      <w:pPr>
        <w:widowControl/>
        <w:jc w:val="left"/>
      </w:pPr>
    </w:p>
    <w:p>
      <w:pPr>
        <w:widowControl/>
        <w:spacing w:line="560" w:lineRule="exact"/>
        <w:ind w:firstLine="672" w:firstLineChars="200"/>
        <w:jc w:val="left"/>
        <w:rPr>
          <w:rFonts w:hint="eastAsia" w:ascii="宋体" w:hAnsi="宋体" w:cs="宋体"/>
          <w:spacing w:val="8"/>
          <w:kern w:val="0"/>
          <w:sz w:val="24"/>
        </w:rPr>
      </w:pPr>
      <w:r>
        <w:rPr>
          <w:rFonts w:hint="eastAsia" w:ascii="黑体" w:hAnsi="宋体" w:eastAsia="黑体" w:cs="宋体"/>
          <w:spacing w:val="8"/>
          <w:kern w:val="0"/>
          <w:sz w:val="32"/>
          <w:szCs w:val="32"/>
          <w:lang w:bidi="ar"/>
        </w:rPr>
        <w:t>五、存在的主要问题及改进情况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仿宋_GB2312" w:hAnsi="仿宋_GB2312" w:eastAsia="仿宋_GB2312" w:cs="仿宋_GB2312"/>
          <w:b w:val="0"/>
          <w:bCs w:val="0"/>
          <w:i w:val="0"/>
          <w:caps w:val="0"/>
          <w:color w:val="404040"/>
          <w:spacing w:val="0"/>
          <w:sz w:val="32"/>
          <w:szCs w:val="32"/>
          <w:u w:val="none"/>
          <w:lang w:val="en-US"/>
        </w:rPr>
      </w:pPr>
      <w:r>
        <w:rPr>
          <w:rFonts w:hint="eastAsia" w:ascii="仿宋_GB2312" w:hAnsi="仿宋_GB2312" w:eastAsia="仿宋_GB2312" w:cs="仿宋_GB2312"/>
          <w:b w:val="0"/>
          <w:bCs w:val="0"/>
          <w:i w:val="0"/>
          <w:caps w:val="0"/>
          <w:color w:val="404040"/>
          <w:spacing w:val="0"/>
          <w:sz w:val="32"/>
          <w:szCs w:val="32"/>
          <w:u w:val="none"/>
          <w:shd w:val="clear" w:color="auto" w:fill="FFFFFF"/>
        </w:rPr>
        <w:t>一是</w:t>
      </w:r>
      <w:r>
        <w:rPr>
          <w:rFonts w:hint="eastAsia" w:ascii="仿宋_GB2312" w:hAnsi="仿宋_GB2312" w:eastAsia="仿宋_GB2312" w:cs="仿宋_GB2312"/>
          <w:b w:val="0"/>
          <w:bCs w:val="0"/>
          <w:i w:val="0"/>
          <w:caps w:val="0"/>
          <w:color w:val="404040"/>
          <w:spacing w:val="0"/>
          <w:sz w:val="32"/>
          <w:szCs w:val="32"/>
          <w:u w:val="none"/>
          <w:shd w:val="clear" w:color="auto" w:fill="FFFFFF"/>
          <w:lang w:val="en-US" w:eastAsia="zh-CN"/>
        </w:rPr>
        <w:t>政府信息公开认识应持续加强</w:t>
      </w:r>
      <w:r>
        <w:rPr>
          <w:rFonts w:hint="eastAsia" w:ascii="仿宋_GB2312" w:hAnsi="仿宋_GB2312" w:eastAsia="仿宋_GB2312" w:cs="仿宋_GB2312"/>
          <w:b w:val="0"/>
          <w:bCs w:val="0"/>
          <w:i w:val="0"/>
          <w:caps w:val="0"/>
          <w:color w:val="404040"/>
          <w:spacing w:val="0"/>
          <w:sz w:val="32"/>
          <w:szCs w:val="32"/>
          <w:u w:val="none"/>
          <w:shd w:val="clear" w:color="auto" w:fill="FFFFFF"/>
        </w:rPr>
        <w:t>。</w:t>
      </w:r>
      <w:r>
        <w:rPr>
          <w:rFonts w:hint="eastAsia" w:ascii="仿宋_GB2312" w:hAnsi="仿宋_GB2312" w:eastAsia="仿宋_GB2312" w:cs="仿宋_GB2312"/>
          <w:b w:val="0"/>
          <w:bCs w:val="0"/>
          <w:i w:val="0"/>
          <w:caps w:val="0"/>
          <w:color w:val="404040"/>
          <w:spacing w:val="0"/>
          <w:sz w:val="32"/>
          <w:szCs w:val="32"/>
          <w:u w:val="none"/>
          <w:shd w:val="clear" w:color="auto" w:fill="FFFFFF"/>
          <w:lang w:val="en-US" w:eastAsia="zh-CN"/>
        </w:rPr>
        <w:t>应继续加强对《中华人民共和国政府信息公开条例》的学习，自上而下培养政府信息公开意识，深度挖掘公众对政府信息公开的需求，经常性的开展调研工作，建立、创新与群众沟通的新机制。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600" w:lineRule="atLeast"/>
        <w:ind w:left="0" w:right="0" w:firstLine="640"/>
        <w:jc w:val="left"/>
        <w:rPr>
          <w:rFonts w:hint="eastAsia" w:ascii="仿宋_GB2312" w:hAnsi="仿宋_GB2312" w:eastAsia="仿宋_GB2312" w:cs="仿宋_GB2312"/>
          <w:b w:val="0"/>
          <w:bCs w:val="0"/>
          <w:i w:val="0"/>
          <w:caps w:val="0"/>
          <w:color w:val="404040"/>
          <w:spacing w:val="0"/>
          <w:sz w:val="32"/>
          <w:szCs w:val="32"/>
          <w:u w:val="none"/>
          <w:shd w:val="clear" w:color="auto" w:fill="FFFFFF"/>
          <w:lang w:val="en-US" w:eastAsia="zh-CN"/>
        </w:rPr>
      </w:pPr>
      <w:r>
        <w:rPr>
          <w:rFonts w:hint="eastAsia" w:ascii="仿宋_GB2312" w:hAnsi="仿宋_GB2312" w:eastAsia="仿宋_GB2312" w:cs="仿宋_GB2312"/>
          <w:b w:val="0"/>
          <w:bCs w:val="0"/>
          <w:i w:val="0"/>
          <w:caps w:val="0"/>
          <w:color w:val="404040"/>
          <w:spacing w:val="0"/>
          <w:sz w:val="32"/>
          <w:szCs w:val="32"/>
          <w:u w:val="none"/>
          <w:shd w:val="clear" w:color="auto" w:fill="FFFFFF"/>
        </w:rPr>
        <w:t>二是</w:t>
      </w:r>
      <w:r>
        <w:rPr>
          <w:rFonts w:hint="eastAsia" w:ascii="仿宋_GB2312" w:hAnsi="仿宋_GB2312" w:eastAsia="仿宋_GB2312" w:cs="仿宋_GB2312"/>
          <w:b w:val="0"/>
          <w:bCs w:val="0"/>
          <w:i w:val="0"/>
          <w:caps w:val="0"/>
          <w:color w:val="404040"/>
          <w:spacing w:val="0"/>
          <w:sz w:val="32"/>
          <w:szCs w:val="32"/>
          <w:u w:val="none"/>
          <w:shd w:val="clear" w:color="auto" w:fill="FFFFFF"/>
          <w:lang w:val="en-US" w:eastAsia="zh-CN"/>
        </w:rPr>
        <w:t>政府信息公开答复应规范严谨</w:t>
      </w:r>
      <w:r>
        <w:rPr>
          <w:rFonts w:hint="eastAsia" w:ascii="仿宋_GB2312" w:hAnsi="仿宋_GB2312" w:eastAsia="仿宋_GB2312" w:cs="仿宋_GB2312"/>
          <w:b w:val="0"/>
          <w:bCs w:val="0"/>
          <w:i w:val="0"/>
          <w:caps w:val="0"/>
          <w:color w:val="404040"/>
          <w:spacing w:val="0"/>
          <w:sz w:val="32"/>
          <w:szCs w:val="32"/>
          <w:u w:val="none"/>
          <w:shd w:val="clear" w:color="auto" w:fill="FFFFFF"/>
        </w:rPr>
        <w:t>。</w:t>
      </w:r>
      <w:r>
        <w:rPr>
          <w:rFonts w:hint="eastAsia" w:ascii="仿宋_GB2312" w:hAnsi="仿宋_GB2312" w:eastAsia="仿宋_GB2312" w:cs="仿宋_GB2312"/>
          <w:b w:val="0"/>
          <w:bCs w:val="0"/>
          <w:i w:val="0"/>
          <w:caps w:val="0"/>
          <w:color w:val="404040"/>
          <w:spacing w:val="0"/>
          <w:sz w:val="32"/>
          <w:szCs w:val="32"/>
          <w:u w:val="none"/>
          <w:shd w:val="clear" w:color="auto" w:fill="FFFFFF"/>
          <w:lang w:val="en-US" w:eastAsia="zh-CN"/>
        </w:rPr>
        <w:t>应在登记时间、受理时间、答复时间上严格把握，做好政府信息公开流程管理，及时保障申请人的合法权益。</w:t>
      </w:r>
    </w:p>
    <w:p>
      <w:pPr>
        <w:widowControl/>
        <w:spacing w:line="560" w:lineRule="exact"/>
        <w:ind w:firstLine="675"/>
        <w:jc w:val="left"/>
        <w:rPr>
          <w:rFonts w:hint="eastAsia" w:ascii="宋体" w:hAnsi="宋体" w:cs="宋体"/>
          <w:spacing w:val="8"/>
          <w:kern w:val="0"/>
          <w:sz w:val="32"/>
          <w:szCs w:val="32"/>
        </w:rPr>
      </w:pPr>
      <w:r>
        <w:rPr>
          <w:rFonts w:hint="eastAsia" w:ascii="黑体" w:hAnsi="宋体" w:eastAsia="黑体" w:cs="宋体"/>
          <w:spacing w:val="8"/>
          <w:kern w:val="0"/>
          <w:sz w:val="32"/>
          <w:szCs w:val="32"/>
          <w:lang w:bidi="ar"/>
        </w:rPr>
        <w:t>六、其他需要报告的事项</w:t>
      </w:r>
    </w:p>
    <w:p>
      <w:pPr>
        <w:ind w:firstLine="640" w:firstLineChars="200"/>
      </w:pPr>
      <w:r>
        <w:rPr>
          <w:rFonts w:hint="eastAsia" w:ascii="仿宋_GB2312" w:hAnsi="仿宋_GB2312" w:eastAsia="仿宋_GB2312" w:cs="仿宋_GB2312"/>
          <w:b w:val="0"/>
          <w:bCs w:val="0"/>
          <w:i w:val="0"/>
          <w:caps w:val="0"/>
          <w:color w:val="404040"/>
          <w:spacing w:val="0"/>
          <w:kern w:val="0"/>
          <w:sz w:val="32"/>
          <w:szCs w:val="32"/>
          <w:u w:val="none"/>
          <w:shd w:val="clear" w:color="auto" w:fill="FFFFFF"/>
          <w:lang w:val="en-US" w:eastAsia="zh-CN" w:bidi="ar"/>
        </w:rPr>
        <w:t>本报告中所列数据的统计期限自2023年1月1日起，至2023年12月31日止。本报告的电子版可在北京市人民政府门户网站丰台区政府信息公开专栏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9DE897"/>
    <w:multiLevelType w:val="multilevel"/>
    <w:tmpl w:val="BA9DE897"/>
    <w:lvl w:ilvl="0" w:tentative="0">
      <w:start w:val="2"/>
      <w:numFmt w:val="chineseCounting"/>
      <w:suff w:val="nothing"/>
      <w:lvlText w:val="%1、"/>
      <w:lvlJc w:val="left"/>
      <w:pPr>
        <w:ind w:left="-1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B6E2A"/>
    <w:rsid w:val="0B5B6E2A"/>
    <w:rsid w:val="0FCE31E3"/>
    <w:rsid w:val="21D00E93"/>
    <w:rsid w:val="45A42C07"/>
    <w:rsid w:val="78106C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1"/>
    <w:qFormat/>
    <w:uiPriority w:val="0"/>
    <w:rPr>
      <w:rFonts w:ascii="宋体" w:hAnsi="Courier New"/>
    </w:rPr>
  </w:style>
  <w:style w:type="paragraph" w:styleId="3">
    <w:name w:val="toc 3"/>
    <w:basedOn w:val="1"/>
    <w:next w:val="1"/>
    <w:unhideWhenUsed/>
    <w:qFormat/>
    <w:uiPriority w:val="39"/>
    <w:pPr>
      <w:ind w:left="840" w:leftChars="4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957</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2024-01-02T10:18:00Z</dcterms:created>
  <dc:creator>Ren$hiro</dc:creator>
  <cp:lastModifiedBy>wp_bg</cp:lastModifiedBy>
  <cp:lastPrinted>2024-01-24T01:30:22Z</cp:lastPrinted>
  <dcterms:modified xsi:type="dcterms:W3CDTF">2024-01-24T01:38:37Z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63B851ED56344088A968163727BA9B19</vt:lpwstr>
  </property>
</Properties>
</file>