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5A9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u w:val="none"/>
          <w:shd w:val="clear" w:fill="FFFFFF"/>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u w:val="none"/>
          <w:shd w:val="clear" w:fill="FFFFFF"/>
          <w:lang w:val="en-US" w:eastAsia="zh-CN" w:bidi="ar"/>
        </w:rPr>
        <w:t>北京市丰台区玉泉营街道办事处</w:t>
      </w:r>
    </w:p>
    <w:p w14:paraId="40E6FC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u w:val="none"/>
          <w:shd w:val="clear" w:fill="FFFFFF"/>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u w:val="none"/>
          <w:shd w:val="clear" w:fill="FFFFFF"/>
          <w:lang w:val="en-US" w:eastAsia="zh-CN" w:bidi="ar"/>
        </w:rPr>
        <w:t>2024年政府信息公开工作年度报告</w:t>
      </w:r>
    </w:p>
    <w:p w14:paraId="65E5B2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u w:val="none"/>
          <w:shd w:val="clear" w:fill="FFFFFF"/>
          <w:lang w:val="en-US" w:eastAsia="zh-CN" w:bidi="ar"/>
        </w:rPr>
      </w:pPr>
    </w:p>
    <w:p w14:paraId="2A9EB2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404040"/>
          <w:spacing w:val="0"/>
          <w:sz w:val="32"/>
          <w:szCs w:val="32"/>
          <w:u w:val="none"/>
          <w:shd w:val="clear" w:fill="FFFFFF"/>
        </w:rPr>
        <w:t>依据《中华人民共和国政府信息公开条例》(以下简称《政府信息公开条例》)第五十条规定，编制本报告。</w:t>
      </w:r>
    </w:p>
    <w:p w14:paraId="4B33B6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u w:val="none"/>
        </w:rPr>
      </w:pPr>
      <w:r>
        <w:rPr>
          <w:rFonts w:hint="eastAsia" w:ascii="黑体" w:hAnsi="黑体" w:eastAsia="黑体" w:cs="黑体"/>
          <w:i w:val="0"/>
          <w:iCs w:val="0"/>
          <w:caps w:val="0"/>
          <w:color w:val="404040"/>
          <w:spacing w:val="0"/>
          <w:sz w:val="32"/>
          <w:szCs w:val="32"/>
          <w:u w:val="none"/>
          <w:shd w:val="clear" w:fill="FFFFFF"/>
        </w:rPr>
        <w:t>一、总体情况</w:t>
      </w:r>
    </w:p>
    <w:p w14:paraId="14076D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404040"/>
          <w:spacing w:val="0"/>
          <w:sz w:val="32"/>
          <w:szCs w:val="32"/>
          <w:u w:val="none"/>
          <w:shd w:val="clear" w:fill="FFFFFF"/>
        </w:rPr>
        <w:t>为保障公民、法人和其他社会组织的权利，维护人民群众的利益，我街道认真学习《中华人民共和国政府信息公开条例》并严格执行。本年度，我单位围绕年度重点工作，大力推进信息公开，加大主动公开力度，完善依申请公开流程，有效推进政务公开标准化规范化建设，努力建设开放透明的阳光玉泉营。想民之所想、为民之所期，以信息公开工作为落脚点建立让人民满意的服务型政府。</w:t>
      </w:r>
    </w:p>
    <w:p w14:paraId="28F816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404040"/>
          <w:spacing w:val="0"/>
          <w:sz w:val="32"/>
          <w:szCs w:val="32"/>
          <w:u w:val="none"/>
          <w:shd w:val="clear" w:fill="FFFFFF"/>
        </w:rPr>
        <w:t>根据信息公开条例第四条，政府信息公开工作机构的具体职能包括办理本行政机关的政府公开事宜、维护和更新本行政机关公开的政府信息、组织编制本行政机关的政府信息公开指南、政府信息公开目录和政府信息公开工作年度报告。</w:t>
      </w:r>
    </w:p>
    <w:p w14:paraId="04EAE2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i w:val="0"/>
          <w:iCs w:val="0"/>
          <w:caps w:val="0"/>
          <w:color w:val="404040"/>
          <w:spacing w:val="0"/>
          <w:sz w:val="32"/>
          <w:szCs w:val="32"/>
          <w:u w:val="none"/>
          <w:shd w:val="clear" w:fill="FFFFFF"/>
        </w:rPr>
        <w:t>（一）主动公开情况</w:t>
      </w:r>
    </w:p>
    <w:p w14:paraId="0BD4FD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404040"/>
          <w:spacing w:val="0"/>
          <w:sz w:val="32"/>
          <w:szCs w:val="32"/>
          <w:u w:val="none"/>
          <w:shd w:val="clear" w:fill="FFFFFF"/>
        </w:rPr>
        <w:t>本年度，通过首都之窗、区政府网站、微信公众号、电子滚动大屏等多种形式推进政府信息公开，主动公开信息1160条，其中通过微信公众号“丰台玉泉营”公开信息1026条。</w:t>
      </w:r>
    </w:p>
    <w:p w14:paraId="5543A7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i w:val="0"/>
          <w:iCs w:val="0"/>
          <w:caps w:val="0"/>
          <w:color w:val="404040"/>
          <w:spacing w:val="0"/>
          <w:sz w:val="32"/>
          <w:szCs w:val="32"/>
          <w:u w:val="none"/>
          <w:shd w:val="clear" w:fill="FFFFFF"/>
        </w:rPr>
      </w:pPr>
      <w:r>
        <w:rPr>
          <w:rFonts w:hint="eastAsia" w:ascii="楷体_GB2312" w:hAnsi="楷体_GB2312" w:eastAsia="楷体_GB2312" w:cs="楷体_GB2312"/>
          <w:i w:val="0"/>
          <w:iCs w:val="0"/>
          <w:caps w:val="0"/>
          <w:color w:val="404040"/>
          <w:spacing w:val="0"/>
          <w:sz w:val="32"/>
          <w:szCs w:val="32"/>
          <w:u w:val="none"/>
          <w:shd w:val="clear" w:fill="FFFFFF"/>
        </w:rPr>
        <w:t>（二）依申请公开办理情况</w:t>
      </w:r>
    </w:p>
    <w:p w14:paraId="14E6F2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404040"/>
          <w:spacing w:val="0"/>
          <w:sz w:val="32"/>
          <w:szCs w:val="32"/>
          <w:u w:val="none"/>
          <w:shd w:val="clear" w:fill="FFFFFF"/>
        </w:rPr>
        <w:t>本年度，玉泉营街道共计收到依申请公开12件，其中公民提出申请11件，商业企业1件。截至目前已如期答复10件。已办结的10件依申请公开信息件中，因本单位未制作相关信息不予公开6件。</w:t>
      </w:r>
    </w:p>
    <w:p w14:paraId="71CE1F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i w:val="0"/>
          <w:iCs w:val="0"/>
          <w:caps w:val="0"/>
          <w:color w:val="404040"/>
          <w:spacing w:val="0"/>
          <w:sz w:val="32"/>
          <w:szCs w:val="32"/>
          <w:u w:val="none"/>
          <w:shd w:val="clear" w:fill="FFFFFF"/>
        </w:rPr>
      </w:pPr>
      <w:r>
        <w:rPr>
          <w:rFonts w:hint="eastAsia" w:ascii="楷体_GB2312" w:hAnsi="楷体_GB2312" w:eastAsia="楷体_GB2312" w:cs="楷体_GB2312"/>
          <w:i w:val="0"/>
          <w:iCs w:val="0"/>
          <w:caps w:val="0"/>
          <w:color w:val="404040"/>
          <w:spacing w:val="0"/>
          <w:sz w:val="32"/>
          <w:szCs w:val="32"/>
          <w:u w:val="none"/>
          <w:shd w:val="clear" w:fill="FFFFFF"/>
        </w:rPr>
        <w:t>（三）政府信息公开平台建设</w:t>
      </w:r>
    </w:p>
    <w:p w14:paraId="53AE44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404040"/>
          <w:spacing w:val="0"/>
          <w:sz w:val="32"/>
          <w:szCs w:val="32"/>
          <w:u w:val="none"/>
          <w:shd w:val="clear" w:fill="FFFFFF"/>
        </w:rPr>
        <w:t>为推进政务信息公开工作，我单位积极建设公开平台。积极完善区政府网站信息公开栏，并着力建设微信公众平台。其中公众号“丰台玉泉营”长期保持较高的更新频率，以权威、及时、生动的风格赢得了广大市民的喜爱，成为政务公开的重要窗口。</w:t>
      </w:r>
    </w:p>
    <w:p w14:paraId="64844A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i w:val="0"/>
          <w:iCs w:val="0"/>
          <w:caps w:val="0"/>
          <w:color w:val="404040"/>
          <w:spacing w:val="0"/>
          <w:sz w:val="32"/>
          <w:szCs w:val="32"/>
          <w:u w:val="none"/>
          <w:shd w:val="clear" w:fill="FFFFFF"/>
        </w:rPr>
      </w:pPr>
      <w:r>
        <w:rPr>
          <w:rFonts w:hint="eastAsia" w:ascii="黑体" w:hAnsi="黑体" w:eastAsia="黑体" w:cs="黑体"/>
          <w:i w:val="0"/>
          <w:iCs w:val="0"/>
          <w:caps w:val="0"/>
          <w:color w:val="404040"/>
          <w:spacing w:val="0"/>
          <w:sz w:val="32"/>
          <w:szCs w:val="32"/>
          <w:u w:val="none"/>
          <w:shd w:val="clear" w:fill="FFFFFF"/>
        </w:rPr>
        <w:t>二、主动公开政府信息情况</w:t>
      </w:r>
    </w:p>
    <w:tbl>
      <w:tblPr>
        <w:tblStyle w:val="3"/>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076"/>
        <w:gridCol w:w="2077"/>
        <w:gridCol w:w="2077"/>
        <w:gridCol w:w="2106"/>
      </w:tblGrid>
      <w:tr w14:paraId="76978F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9732" w:type="dxa"/>
            <w:gridSpan w:val="4"/>
            <w:shd w:val="clear" w:color="auto" w:fill="auto"/>
            <w:vAlign w:val="center"/>
          </w:tcPr>
          <w:p w14:paraId="4BDB96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微软雅黑" w:hAnsi="微软雅黑" w:eastAsia="微软雅黑" w:cs="微软雅黑"/>
                <w:u w:val="none"/>
              </w:rPr>
            </w:pPr>
            <w:r>
              <w:rPr>
                <w:rFonts w:hint="eastAsia" w:ascii="仿宋_GB2312" w:hAnsi="仿宋_GB2312" w:eastAsia="仿宋_GB2312" w:cs="仿宋_GB2312"/>
                <w:sz w:val="32"/>
                <w:szCs w:val="32"/>
                <w:u w:val="none"/>
              </w:rPr>
              <w:t>第二十条第（一）项</w:t>
            </w:r>
          </w:p>
        </w:tc>
      </w:tr>
      <w:tr w14:paraId="3889DD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24" w:type="dxa"/>
            <w:shd w:val="clear" w:color="auto" w:fill="auto"/>
            <w:vAlign w:val="center"/>
          </w:tcPr>
          <w:p w14:paraId="3027A3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信息内容</w:t>
            </w:r>
          </w:p>
        </w:tc>
        <w:tc>
          <w:tcPr>
            <w:tcW w:w="2424" w:type="dxa"/>
            <w:shd w:val="clear" w:color="auto" w:fill="auto"/>
            <w:vAlign w:val="center"/>
          </w:tcPr>
          <w:p w14:paraId="7A8758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本年制发件数</w:t>
            </w:r>
          </w:p>
        </w:tc>
        <w:tc>
          <w:tcPr>
            <w:tcW w:w="2424" w:type="dxa"/>
            <w:shd w:val="clear" w:color="auto" w:fill="auto"/>
            <w:vAlign w:val="center"/>
          </w:tcPr>
          <w:p w14:paraId="3CDD3D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本年废止件数</w:t>
            </w:r>
          </w:p>
        </w:tc>
        <w:tc>
          <w:tcPr>
            <w:tcW w:w="2424" w:type="dxa"/>
            <w:shd w:val="clear" w:color="auto" w:fill="auto"/>
            <w:vAlign w:val="center"/>
          </w:tcPr>
          <w:p w14:paraId="71389F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现行有效件数</w:t>
            </w:r>
          </w:p>
        </w:tc>
      </w:tr>
      <w:tr w14:paraId="484C42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24" w:type="dxa"/>
            <w:shd w:val="clear" w:color="auto" w:fill="auto"/>
            <w:vAlign w:val="center"/>
          </w:tcPr>
          <w:p w14:paraId="241053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规章</w:t>
            </w:r>
          </w:p>
        </w:tc>
        <w:tc>
          <w:tcPr>
            <w:tcW w:w="2424" w:type="dxa"/>
            <w:shd w:val="clear" w:color="auto" w:fill="auto"/>
            <w:vAlign w:val="center"/>
          </w:tcPr>
          <w:p w14:paraId="40A562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2424" w:type="dxa"/>
            <w:shd w:val="clear" w:color="auto" w:fill="auto"/>
            <w:vAlign w:val="center"/>
          </w:tcPr>
          <w:p w14:paraId="4D78EB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2424" w:type="dxa"/>
            <w:shd w:val="clear" w:color="auto" w:fill="auto"/>
            <w:vAlign w:val="center"/>
          </w:tcPr>
          <w:p w14:paraId="17CB0E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r>
      <w:tr w14:paraId="6A8E5D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2424" w:type="dxa"/>
            <w:shd w:val="clear" w:color="auto" w:fill="auto"/>
            <w:vAlign w:val="center"/>
          </w:tcPr>
          <w:p w14:paraId="2D63E2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行政规范性文件</w:t>
            </w:r>
          </w:p>
        </w:tc>
        <w:tc>
          <w:tcPr>
            <w:tcW w:w="2424" w:type="dxa"/>
            <w:shd w:val="clear" w:color="auto" w:fill="auto"/>
            <w:vAlign w:val="center"/>
          </w:tcPr>
          <w:p w14:paraId="746BC2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2424" w:type="dxa"/>
            <w:shd w:val="clear" w:color="auto" w:fill="auto"/>
            <w:vAlign w:val="center"/>
          </w:tcPr>
          <w:p w14:paraId="32BCA8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2424" w:type="dxa"/>
            <w:shd w:val="clear" w:color="auto" w:fill="auto"/>
            <w:vAlign w:val="center"/>
          </w:tcPr>
          <w:p w14:paraId="4826C4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r>
      <w:tr w14:paraId="56DA6C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732" w:type="dxa"/>
            <w:gridSpan w:val="4"/>
            <w:shd w:val="clear" w:color="auto" w:fill="auto"/>
            <w:vAlign w:val="center"/>
          </w:tcPr>
          <w:p w14:paraId="0B5BD2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第二十条第（五）项</w:t>
            </w:r>
          </w:p>
        </w:tc>
      </w:tr>
      <w:tr w14:paraId="00602B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24" w:type="dxa"/>
            <w:shd w:val="clear" w:color="auto" w:fill="auto"/>
            <w:vAlign w:val="center"/>
          </w:tcPr>
          <w:p w14:paraId="0F5D8A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信息内容</w:t>
            </w:r>
          </w:p>
        </w:tc>
        <w:tc>
          <w:tcPr>
            <w:tcW w:w="7296" w:type="dxa"/>
            <w:gridSpan w:val="3"/>
            <w:shd w:val="clear" w:color="auto" w:fill="auto"/>
            <w:vAlign w:val="center"/>
          </w:tcPr>
          <w:p w14:paraId="06FDA1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本年处理决定数量</w:t>
            </w:r>
          </w:p>
        </w:tc>
      </w:tr>
      <w:tr w14:paraId="31A591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24" w:type="dxa"/>
            <w:shd w:val="clear" w:color="auto" w:fill="auto"/>
            <w:vAlign w:val="center"/>
          </w:tcPr>
          <w:p w14:paraId="608C5E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行政许可</w:t>
            </w:r>
          </w:p>
        </w:tc>
        <w:tc>
          <w:tcPr>
            <w:tcW w:w="7296" w:type="dxa"/>
            <w:gridSpan w:val="3"/>
            <w:shd w:val="clear" w:color="auto" w:fill="auto"/>
            <w:vAlign w:val="center"/>
          </w:tcPr>
          <w:p w14:paraId="74C8A6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r>
      <w:tr w14:paraId="3FBD55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732" w:type="dxa"/>
            <w:gridSpan w:val="4"/>
            <w:shd w:val="clear" w:color="auto" w:fill="auto"/>
            <w:vAlign w:val="center"/>
          </w:tcPr>
          <w:p w14:paraId="08D81B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第二十条第（六）项</w:t>
            </w:r>
          </w:p>
        </w:tc>
      </w:tr>
      <w:tr w14:paraId="372A3B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24" w:type="dxa"/>
            <w:shd w:val="clear" w:color="auto" w:fill="auto"/>
            <w:vAlign w:val="center"/>
          </w:tcPr>
          <w:p w14:paraId="0A5A9C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信息内容</w:t>
            </w:r>
          </w:p>
        </w:tc>
        <w:tc>
          <w:tcPr>
            <w:tcW w:w="7296" w:type="dxa"/>
            <w:gridSpan w:val="3"/>
            <w:shd w:val="clear" w:color="auto" w:fill="auto"/>
            <w:vAlign w:val="center"/>
          </w:tcPr>
          <w:p w14:paraId="783A72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本年处理决定数量</w:t>
            </w:r>
          </w:p>
        </w:tc>
      </w:tr>
      <w:tr w14:paraId="7DE980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24" w:type="dxa"/>
            <w:shd w:val="clear" w:color="auto" w:fill="auto"/>
            <w:vAlign w:val="center"/>
          </w:tcPr>
          <w:p w14:paraId="473F25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行政处罚</w:t>
            </w:r>
          </w:p>
        </w:tc>
        <w:tc>
          <w:tcPr>
            <w:tcW w:w="7296" w:type="dxa"/>
            <w:gridSpan w:val="3"/>
            <w:shd w:val="clear" w:color="auto" w:fill="auto"/>
            <w:vAlign w:val="center"/>
          </w:tcPr>
          <w:p w14:paraId="04294B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194</w:t>
            </w:r>
          </w:p>
        </w:tc>
      </w:tr>
      <w:tr w14:paraId="05AEB6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24" w:type="dxa"/>
            <w:shd w:val="clear" w:color="auto" w:fill="auto"/>
            <w:vAlign w:val="center"/>
          </w:tcPr>
          <w:p w14:paraId="16A701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行政强制</w:t>
            </w:r>
          </w:p>
        </w:tc>
        <w:tc>
          <w:tcPr>
            <w:tcW w:w="7296" w:type="dxa"/>
            <w:gridSpan w:val="3"/>
            <w:shd w:val="clear" w:color="auto" w:fill="auto"/>
            <w:vAlign w:val="center"/>
          </w:tcPr>
          <w:p w14:paraId="6D518C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r>
      <w:tr w14:paraId="6BA21E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732" w:type="dxa"/>
            <w:gridSpan w:val="4"/>
            <w:shd w:val="clear" w:color="auto" w:fill="auto"/>
            <w:vAlign w:val="center"/>
          </w:tcPr>
          <w:p w14:paraId="5CA042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第二十条第（八）项</w:t>
            </w:r>
          </w:p>
        </w:tc>
      </w:tr>
      <w:tr w14:paraId="1CF4E9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24" w:type="dxa"/>
            <w:shd w:val="clear" w:color="auto" w:fill="auto"/>
            <w:vAlign w:val="center"/>
          </w:tcPr>
          <w:p w14:paraId="04D54D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信息内容</w:t>
            </w:r>
          </w:p>
        </w:tc>
        <w:tc>
          <w:tcPr>
            <w:tcW w:w="7296" w:type="dxa"/>
            <w:gridSpan w:val="3"/>
            <w:shd w:val="clear" w:color="auto" w:fill="auto"/>
            <w:vAlign w:val="center"/>
          </w:tcPr>
          <w:p w14:paraId="060497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本年收费金额（单位：万元）</w:t>
            </w:r>
          </w:p>
        </w:tc>
      </w:tr>
      <w:tr w14:paraId="23540B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424" w:type="dxa"/>
            <w:shd w:val="clear" w:color="auto" w:fill="auto"/>
            <w:vAlign w:val="center"/>
          </w:tcPr>
          <w:p w14:paraId="072F43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行政事业性收费</w:t>
            </w:r>
          </w:p>
        </w:tc>
        <w:tc>
          <w:tcPr>
            <w:tcW w:w="7296" w:type="dxa"/>
            <w:gridSpan w:val="3"/>
            <w:shd w:val="clear" w:color="auto" w:fill="auto"/>
            <w:vAlign w:val="center"/>
          </w:tcPr>
          <w:p w14:paraId="7A4A26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r>
    </w:tbl>
    <w:p w14:paraId="5BFBC2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i w:val="0"/>
          <w:iCs w:val="0"/>
          <w:caps w:val="0"/>
          <w:color w:val="404040"/>
          <w:spacing w:val="0"/>
          <w:sz w:val="32"/>
          <w:szCs w:val="32"/>
          <w:u w:val="none"/>
          <w:shd w:val="clear" w:fill="FFFFFF"/>
        </w:rPr>
      </w:pPr>
      <w:r>
        <w:rPr>
          <w:rFonts w:hint="eastAsia" w:ascii="黑体" w:hAnsi="黑体" w:eastAsia="黑体" w:cs="黑体"/>
          <w:i w:val="0"/>
          <w:iCs w:val="0"/>
          <w:caps w:val="0"/>
          <w:color w:val="404040"/>
          <w:spacing w:val="0"/>
          <w:sz w:val="32"/>
          <w:szCs w:val="32"/>
          <w:u w:val="none"/>
          <w:shd w:val="clear" w:fill="FFFFFF"/>
        </w:rPr>
        <w:t>三、收到和处理政府信息公开申请情况</w:t>
      </w:r>
    </w:p>
    <w:tbl>
      <w:tblPr>
        <w:tblStyle w:val="3"/>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31"/>
        <w:gridCol w:w="990"/>
        <w:gridCol w:w="2478"/>
        <w:gridCol w:w="586"/>
        <w:gridCol w:w="586"/>
        <w:gridCol w:w="586"/>
        <w:gridCol w:w="586"/>
        <w:gridCol w:w="586"/>
        <w:gridCol w:w="595"/>
        <w:gridCol w:w="612"/>
      </w:tblGrid>
      <w:tr w14:paraId="20DA0E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4920" w:type="dxa"/>
            <w:gridSpan w:val="3"/>
            <w:vMerge w:val="restart"/>
            <w:shd w:val="clear" w:color="auto" w:fill="auto"/>
            <w:vAlign w:val="center"/>
          </w:tcPr>
          <w:p w14:paraId="213828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（本列数据的勾稽关系为：第一项加第二项之和，等于第三项加第四项之和）</w:t>
            </w:r>
          </w:p>
        </w:tc>
        <w:tc>
          <w:tcPr>
            <w:tcW w:w="4824" w:type="dxa"/>
            <w:gridSpan w:val="7"/>
            <w:shd w:val="clear" w:color="auto" w:fill="auto"/>
            <w:vAlign w:val="center"/>
          </w:tcPr>
          <w:p w14:paraId="01C2A8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申请人情况</w:t>
            </w:r>
          </w:p>
        </w:tc>
      </w:tr>
      <w:tr w14:paraId="21DEFE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4920" w:type="dxa"/>
            <w:gridSpan w:val="3"/>
            <w:vMerge w:val="continue"/>
            <w:shd w:val="clear" w:color="auto" w:fill="auto"/>
            <w:vAlign w:val="center"/>
          </w:tcPr>
          <w:p w14:paraId="554C7E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684" w:type="dxa"/>
            <w:vMerge w:val="restart"/>
            <w:shd w:val="clear" w:color="auto" w:fill="auto"/>
            <w:vAlign w:val="center"/>
          </w:tcPr>
          <w:p w14:paraId="55E530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自然人</w:t>
            </w:r>
          </w:p>
        </w:tc>
        <w:tc>
          <w:tcPr>
            <w:tcW w:w="3432" w:type="dxa"/>
            <w:gridSpan w:val="5"/>
            <w:shd w:val="clear" w:color="auto" w:fill="auto"/>
            <w:vAlign w:val="center"/>
          </w:tcPr>
          <w:p w14:paraId="32DE70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法人或其他组织</w:t>
            </w:r>
          </w:p>
        </w:tc>
        <w:tc>
          <w:tcPr>
            <w:tcW w:w="684" w:type="dxa"/>
            <w:vMerge w:val="restart"/>
            <w:shd w:val="clear" w:color="auto" w:fill="auto"/>
            <w:vAlign w:val="center"/>
          </w:tcPr>
          <w:p w14:paraId="23592D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总计</w:t>
            </w:r>
          </w:p>
        </w:tc>
      </w:tr>
      <w:tr w14:paraId="4CDE08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4920" w:type="dxa"/>
            <w:gridSpan w:val="3"/>
            <w:vMerge w:val="continue"/>
            <w:shd w:val="clear" w:color="auto" w:fill="auto"/>
            <w:vAlign w:val="center"/>
          </w:tcPr>
          <w:p w14:paraId="1E5E9F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684" w:type="dxa"/>
            <w:vMerge w:val="continue"/>
            <w:shd w:val="clear" w:color="auto" w:fill="auto"/>
            <w:vAlign w:val="center"/>
          </w:tcPr>
          <w:p w14:paraId="25314B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684" w:type="dxa"/>
            <w:shd w:val="clear" w:color="auto" w:fill="auto"/>
            <w:vAlign w:val="center"/>
          </w:tcPr>
          <w:p w14:paraId="68ABC1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商业</w:t>
            </w:r>
          </w:p>
          <w:p w14:paraId="03C64C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企业</w:t>
            </w:r>
          </w:p>
        </w:tc>
        <w:tc>
          <w:tcPr>
            <w:tcW w:w="684" w:type="dxa"/>
            <w:shd w:val="clear" w:color="auto" w:fill="auto"/>
            <w:vAlign w:val="center"/>
          </w:tcPr>
          <w:p w14:paraId="28CADF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科研</w:t>
            </w:r>
          </w:p>
          <w:p w14:paraId="287300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机构</w:t>
            </w:r>
          </w:p>
        </w:tc>
        <w:tc>
          <w:tcPr>
            <w:tcW w:w="684" w:type="dxa"/>
            <w:shd w:val="clear" w:color="auto" w:fill="auto"/>
            <w:vAlign w:val="center"/>
          </w:tcPr>
          <w:p w14:paraId="7D8032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社会公益组织</w:t>
            </w:r>
          </w:p>
        </w:tc>
        <w:tc>
          <w:tcPr>
            <w:tcW w:w="684" w:type="dxa"/>
            <w:shd w:val="clear" w:color="auto" w:fill="auto"/>
            <w:vAlign w:val="center"/>
          </w:tcPr>
          <w:p w14:paraId="6872DB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法律服务机构</w:t>
            </w:r>
          </w:p>
        </w:tc>
        <w:tc>
          <w:tcPr>
            <w:tcW w:w="684" w:type="dxa"/>
            <w:shd w:val="clear" w:color="auto" w:fill="auto"/>
            <w:vAlign w:val="center"/>
          </w:tcPr>
          <w:p w14:paraId="7A8AC6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其他</w:t>
            </w:r>
          </w:p>
        </w:tc>
        <w:tc>
          <w:tcPr>
            <w:tcW w:w="684" w:type="dxa"/>
            <w:vMerge w:val="continue"/>
            <w:shd w:val="clear" w:color="auto" w:fill="auto"/>
            <w:vAlign w:val="center"/>
          </w:tcPr>
          <w:p w14:paraId="18C510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r>
      <w:tr w14:paraId="796BBC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4920" w:type="dxa"/>
            <w:gridSpan w:val="3"/>
            <w:shd w:val="clear" w:color="auto" w:fill="auto"/>
            <w:vAlign w:val="center"/>
          </w:tcPr>
          <w:p w14:paraId="6B53CC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一、本年新收政府信息公开申请数量</w:t>
            </w:r>
          </w:p>
        </w:tc>
        <w:tc>
          <w:tcPr>
            <w:tcW w:w="684" w:type="dxa"/>
            <w:shd w:val="clear" w:color="auto" w:fill="auto"/>
            <w:vAlign w:val="center"/>
          </w:tcPr>
          <w:p w14:paraId="4679B3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11</w:t>
            </w:r>
          </w:p>
        </w:tc>
        <w:tc>
          <w:tcPr>
            <w:tcW w:w="684" w:type="dxa"/>
            <w:shd w:val="clear" w:color="auto" w:fill="auto"/>
            <w:vAlign w:val="center"/>
          </w:tcPr>
          <w:p w14:paraId="7AA075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w:t>
            </w:r>
          </w:p>
        </w:tc>
        <w:tc>
          <w:tcPr>
            <w:tcW w:w="684" w:type="dxa"/>
            <w:shd w:val="clear" w:color="auto" w:fill="auto"/>
            <w:vAlign w:val="center"/>
          </w:tcPr>
          <w:p w14:paraId="2C3E93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37F2BD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60BAFE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4EC918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06AC3E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12</w:t>
            </w:r>
          </w:p>
        </w:tc>
      </w:tr>
      <w:tr w14:paraId="2BF888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4920" w:type="dxa"/>
            <w:gridSpan w:val="3"/>
            <w:shd w:val="clear" w:color="auto" w:fill="auto"/>
            <w:vAlign w:val="center"/>
          </w:tcPr>
          <w:p w14:paraId="5AF0B7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二、上年结转政府信息公开申请数量</w:t>
            </w:r>
          </w:p>
        </w:tc>
        <w:tc>
          <w:tcPr>
            <w:tcW w:w="684" w:type="dxa"/>
            <w:shd w:val="clear" w:color="auto" w:fill="auto"/>
            <w:vAlign w:val="center"/>
          </w:tcPr>
          <w:p w14:paraId="063A63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3D0BE4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6FA222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4484AD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25E943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3846AC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147C7D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r>
      <w:tr w14:paraId="552898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756" w:type="dxa"/>
            <w:vMerge w:val="restart"/>
            <w:shd w:val="clear" w:color="auto" w:fill="auto"/>
            <w:vAlign w:val="center"/>
          </w:tcPr>
          <w:p w14:paraId="17480F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三、本年度办理结果</w:t>
            </w:r>
          </w:p>
        </w:tc>
        <w:tc>
          <w:tcPr>
            <w:tcW w:w="4152" w:type="dxa"/>
            <w:gridSpan w:val="2"/>
            <w:shd w:val="clear" w:color="auto" w:fill="auto"/>
            <w:vAlign w:val="center"/>
          </w:tcPr>
          <w:p w14:paraId="2C93BB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（一）予以公开</w:t>
            </w:r>
          </w:p>
        </w:tc>
        <w:tc>
          <w:tcPr>
            <w:tcW w:w="684" w:type="dxa"/>
            <w:shd w:val="clear" w:color="auto" w:fill="auto"/>
            <w:vAlign w:val="center"/>
          </w:tcPr>
          <w:p w14:paraId="0D2A42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w:t>
            </w:r>
          </w:p>
        </w:tc>
        <w:tc>
          <w:tcPr>
            <w:tcW w:w="684" w:type="dxa"/>
            <w:shd w:val="clear" w:color="auto" w:fill="auto"/>
            <w:vAlign w:val="center"/>
          </w:tcPr>
          <w:p w14:paraId="4E5C5A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w:t>
            </w:r>
          </w:p>
        </w:tc>
        <w:tc>
          <w:tcPr>
            <w:tcW w:w="684" w:type="dxa"/>
            <w:shd w:val="clear" w:color="auto" w:fill="auto"/>
            <w:vAlign w:val="center"/>
          </w:tcPr>
          <w:p w14:paraId="53AA50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537631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3F0220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1EB0E9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4A9C85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w:t>
            </w:r>
          </w:p>
        </w:tc>
      </w:tr>
      <w:tr w14:paraId="4A6603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756" w:type="dxa"/>
            <w:vMerge w:val="continue"/>
            <w:shd w:val="clear" w:color="auto" w:fill="auto"/>
            <w:vAlign w:val="center"/>
          </w:tcPr>
          <w:p w14:paraId="4F1DFE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4152" w:type="dxa"/>
            <w:gridSpan w:val="2"/>
            <w:shd w:val="clear" w:color="auto" w:fill="auto"/>
            <w:vAlign w:val="center"/>
          </w:tcPr>
          <w:p w14:paraId="6F0594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（二）部分公开（区分处理的，只计这一情形，不计其他情形）</w:t>
            </w:r>
          </w:p>
        </w:tc>
        <w:tc>
          <w:tcPr>
            <w:tcW w:w="684" w:type="dxa"/>
            <w:shd w:val="clear" w:color="auto" w:fill="auto"/>
            <w:vAlign w:val="center"/>
          </w:tcPr>
          <w:p w14:paraId="6B2D78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w:t>
            </w:r>
          </w:p>
        </w:tc>
        <w:tc>
          <w:tcPr>
            <w:tcW w:w="684" w:type="dxa"/>
            <w:shd w:val="clear" w:color="auto" w:fill="auto"/>
            <w:vAlign w:val="center"/>
          </w:tcPr>
          <w:p w14:paraId="7AC6B3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05B22F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31A58F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04432D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5EFA85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69CED7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w:t>
            </w:r>
          </w:p>
        </w:tc>
      </w:tr>
      <w:tr w14:paraId="060844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756" w:type="dxa"/>
            <w:vMerge w:val="continue"/>
            <w:shd w:val="clear" w:color="auto" w:fill="auto"/>
            <w:vAlign w:val="center"/>
          </w:tcPr>
          <w:p w14:paraId="1CB8D9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936" w:type="dxa"/>
            <w:vMerge w:val="restart"/>
            <w:shd w:val="clear" w:color="auto" w:fill="auto"/>
            <w:vAlign w:val="center"/>
          </w:tcPr>
          <w:p w14:paraId="5CB5C8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（三）不予公开</w:t>
            </w:r>
          </w:p>
        </w:tc>
        <w:tc>
          <w:tcPr>
            <w:tcW w:w="3204" w:type="dxa"/>
            <w:shd w:val="clear" w:color="auto" w:fill="auto"/>
            <w:vAlign w:val="top"/>
          </w:tcPr>
          <w:p w14:paraId="0939DB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1.属于国家秘密</w:t>
            </w:r>
          </w:p>
        </w:tc>
        <w:tc>
          <w:tcPr>
            <w:tcW w:w="684" w:type="dxa"/>
            <w:shd w:val="clear" w:color="auto" w:fill="auto"/>
            <w:vAlign w:val="top"/>
          </w:tcPr>
          <w:p w14:paraId="00FA79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5C910E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7F59CA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09E256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36A94E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062EDB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7816B1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r>
      <w:tr w14:paraId="0AE416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756" w:type="dxa"/>
            <w:vMerge w:val="continue"/>
            <w:shd w:val="clear" w:color="auto" w:fill="auto"/>
            <w:vAlign w:val="center"/>
          </w:tcPr>
          <w:p w14:paraId="21E1E3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936" w:type="dxa"/>
            <w:vMerge w:val="continue"/>
            <w:shd w:val="clear" w:color="auto" w:fill="auto"/>
            <w:vAlign w:val="center"/>
          </w:tcPr>
          <w:p w14:paraId="095AC4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3204" w:type="dxa"/>
            <w:shd w:val="clear" w:color="auto" w:fill="auto"/>
            <w:vAlign w:val="top"/>
          </w:tcPr>
          <w:p w14:paraId="1B2035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2.其他法律行政法规禁止公开</w:t>
            </w:r>
          </w:p>
        </w:tc>
        <w:tc>
          <w:tcPr>
            <w:tcW w:w="684" w:type="dxa"/>
            <w:shd w:val="clear" w:color="auto" w:fill="auto"/>
            <w:vAlign w:val="top"/>
          </w:tcPr>
          <w:p w14:paraId="7E5CFD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380880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1DDEE7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6BF806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73B620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6B79DD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38FC1A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r>
      <w:tr w14:paraId="5C08C5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756" w:type="dxa"/>
            <w:vMerge w:val="continue"/>
            <w:shd w:val="clear" w:color="auto" w:fill="auto"/>
            <w:vAlign w:val="center"/>
          </w:tcPr>
          <w:p w14:paraId="5BD451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936" w:type="dxa"/>
            <w:vMerge w:val="continue"/>
            <w:shd w:val="clear" w:color="auto" w:fill="auto"/>
            <w:vAlign w:val="center"/>
          </w:tcPr>
          <w:p w14:paraId="1F2ABD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3204" w:type="dxa"/>
            <w:shd w:val="clear" w:color="auto" w:fill="auto"/>
            <w:vAlign w:val="top"/>
          </w:tcPr>
          <w:p w14:paraId="1A68A7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3.危及“三安全一稳定”</w:t>
            </w:r>
          </w:p>
        </w:tc>
        <w:tc>
          <w:tcPr>
            <w:tcW w:w="684" w:type="dxa"/>
            <w:shd w:val="clear" w:color="auto" w:fill="auto"/>
            <w:vAlign w:val="top"/>
          </w:tcPr>
          <w:p w14:paraId="1556B4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13AFC2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6DB430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41672C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04C895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418082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627082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r>
      <w:tr w14:paraId="05660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756" w:type="dxa"/>
            <w:vMerge w:val="continue"/>
            <w:shd w:val="clear" w:color="auto" w:fill="auto"/>
            <w:vAlign w:val="center"/>
          </w:tcPr>
          <w:p w14:paraId="6BB7D1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936" w:type="dxa"/>
            <w:vMerge w:val="continue"/>
            <w:shd w:val="clear" w:color="auto" w:fill="auto"/>
            <w:vAlign w:val="center"/>
          </w:tcPr>
          <w:p w14:paraId="09D522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3204" w:type="dxa"/>
            <w:shd w:val="clear" w:color="auto" w:fill="auto"/>
            <w:vAlign w:val="top"/>
          </w:tcPr>
          <w:p w14:paraId="3A6E30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4.保护第三方合法权益</w:t>
            </w:r>
          </w:p>
        </w:tc>
        <w:tc>
          <w:tcPr>
            <w:tcW w:w="684" w:type="dxa"/>
            <w:shd w:val="clear" w:color="auto" w:fill="auto"/>
            <w:vAlign w:val="top"/>
          </w:tcPr>
          <w:p w14:paraId="6F0A61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09E40F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6E2F05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4DB817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58C791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2E8DF3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3AE7F6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r>
      <w:tr w14:paraId="22CC7B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756" w:type="dxa"/>
            <w:vMerge w:val="continue"/>
            <w:shd w:val="clear" w:color="auto" w:fill="auto"/>
            <w:vAlign w:val="center"/>
          </w:tcPr>
          <w:p w14:paraId="46B630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936" w:type="dxa"/>
            <w:vMerge w:val="continue"/>
            <w:shd w:val="clear" w:color="auto" w:fill="auto"/>
            <w:vAlign w:val="center"/>
          </w:tcPr>
          <w:p w14:paraId="6C8915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3204" w:type="dxa"/>
            <w:shd w:val="clear" w:color="auto" w:fill="auto"/>
            <w:vAlign w:val="top"/>
          </w:tcPr>
          <w:p w14:paraId="46FA75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5.属于三类内部事务信息</w:t>
            </w:r>
          </w:p>
        </w:tc>
        <w:tc>
          <w:tcPr>
            <w:tcW w:w="684" w:type="dxa"/>
            <w:shd w:val="clear" w:color="auto" w:fill="auto"/>
            <w:vAlign w:val="top"/>
          </w:tcPr>
          <w:p w14:paraId="724519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54FC8B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2369AF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3EE121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5DD2D1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2E80CF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2A21EA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r>
      <w:tr w14:paraId="6C845C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756" w:type="dxa"/>
            <w:vMerge w:val="continue"/>
            <w:shd w:val="clear" w:color="auto" w:fill="auto"/>
            <w:vAlign w:val="center"/>
          </w:tcPr>
          <w:p w14:paraId="2AA5A367">
            <w:pPr>
              <w:rPr>
                <w:rFonts w:hint="eastAsia" w:ascii="微软雅黑" w:hAnsi="微软雅黑" w:eastAsia="微软雅黑" w:cs="微软雅黑"/>
                <w:sz w:val="24"/>
                <w:szCs w:val="24"/>
                <w:u w:val="none"/>
              </w:rPr>
            </w:pPr>
          </w:p>
        </w:tc>
        <w:tc>
          <w:tcPr>
            <w:tcW w:w="936" w:type="dxa"/>
            <w:vMerge w:val="continue"/>
            <w:shd w:val="clear" w:color="auto" w:fill="auto"/>
            <w:vAlign w:val="center"/>
          </w:tcPr>
          <w:p w14:paraId="5E3633D0">
            <w:pPr>
              <w:rPr>
                <w:rFonts w:hint="eastAsia" w:ascii="微软雅黑" w:hAnsi="微软雅黑" w:eastAsia="微软雅黑" w:cs="微软雅黑"/>
                <w:sz w:val="24"/>
                <w:szCs w:val="24"/>
                <w:u w:val="none"/>
              </w:rPr>
            </w:pPr>
          </w:p>
        </w:tc>
        <w:tc>
          <w:tcPr>
            <w:tcW w:w="3204" w:type="dxa"/>
            <w:shd w:val="clear" w:color="auto" w:fill="auto"/>
            <w:vAlign w:val="top"/>
          </w:tcPr>
          <w:p w14:paraId="514F59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6.属于四类过程性信息</w:t>
            </w:r>
          </w:p>
        </w:tc>
        <w:tc>
          <w:tcPr>
            <w:tcW w:w="684" w:type="dxa"/>
            <w:shd w:val="clear" w:color="auto" w:fill="auto"/>
            <w:vAlign w:val="top"/>
          </w:tcPr>
          <w:p w14:paraId="5FD2BF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51DD6F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63C6ED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2A46D4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6C01C2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468CCD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669256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r>
      <w:tr w14:paraId="3E0607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756" w:type="dxa"/>
            <w:vMerge w:val="continue"/>
            <w:shd w:val="clear" w:color="auto" w:fill="auto"/>
            <w:vAlign w:val="center"/>
          </w:tcPr>
          <w:p w14:paraId="0359C50E">
            <w:pPr>
              <w:rPr>
                <w:rFonts w:hint="eastAsia" w:ascii="微软雅黑" w:hAnsi="微软雅黑" w:eastAsia="微软雅黑" w:cs="微软雅黑"/>
                <w:sz w:val="24"/>
                <w:szCs w:val="24"/>
                <w:u w:val="none"/>
              </w:rPr>
            </w:pPr>
          </w:p>
        </w:tc>
        <w:tc>
          <w:tcPr>
            <w:tcW w:w="936" w:type="dxa"/>
            <w:vMerge w:val="continue"/>
            <w:shd w:val="clear" w:color="auto" w:fill="auto"/>
            <w:vAlign w:val="center"/>
          </w:tcPr>
          <w:p w14:paraId="52760827">
            <w:pPr>
              <w:rPr>
                <w:rFonts w:hint="eastAsia" w:ascii="微软雅黑" w:hAnsi="微软雅黑" w:eastAsia="微软雅黑" w:cs="微软雅黑"/>
                <w:sz w:val="24"/>
                <w:szCs w:val="24"/>
                <w:u w:val="none"/>
              </w:rPr>
            </w:pPr>
          </w:p>
        </w:tc>
        <w:tc>
          <w:tcPr>
            <w:tcW w:w="3204" w:type="dxa"/>
            <w:shd w:val="clear" w:color="auto" w:fill="auto"/>
            <w:vAlign w:val="top"/>
          </w:tcPr>
          <w:p w14:paraId="494DBE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7.属于行政执法案卷</w:t>
            </w:r>
          </w:p>
        </w:tc>
        <w:tc>
          <w:tcPr>
            <w:tcW w:w="684" w:type="dxa"/>
            <w:shd w:val="clear" w:color="auto" w:fill="auto"/>
            <w:vAlign w:val="top"/>
          </w:tcPr>
          <w:p w14:paraId="1B0AA7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329B66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0FA9D9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52F033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233EA7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025C7E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05AD19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r>
      <w:tr w14:paraId="4B3CC2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756" w:type="dxa"/>
            <w:vMerge w:val="continue"/>
            <w:shd w:val="clear" w:color="auto" w:fill="auto"/>
            <w:vAlign w:val="center"/>
          </w:tcPr>
          <w:p w14:paraId="2BB5F5DE">
            <w:pPr>
              <w:rPr>
                <w:rFonts w:hint="eastAsia" w:ascii="微软雅黑" w:hAnsi="微软雅黑" w:eastAsia="微软雅黑" w:cs="微软雅黑"/>
                <w:sz w:val="24"/>
                <w:szCs w:val="24"/>
                <w:u w:val="none"/>
              </w:rPr>
            </w:pPr>
          </w:p>
        </w:tc>
        <w:tc>
          <w:tcPr>
            <w:tcW w:w="936" w:type="dxa"/>
            <w:vMerge w:val="continue"/>
            <w:shd w:val="clear" w:color="auto" w:fill="auto"/>
            <w:vAlign w:val="center"/>
          </w:tcPr>
          <w:p w14:paraId="347AEFDD">
            <w:pPr>
              <w:rPr>
                <w:rFonts w:hint="eastAsia" w:ascii="微软雅黑" w:hAnsi="微软雅黑" w:eastAsia="微软雅黑" w:cs="微软雅黑"/>
                <w:sz w:val="24"/>
                <w:szCs w:val="24"/>
                <w:u w:val="none"/>
              </w:rPr>
            </w:pPr>
          </w:p>
        </w:tc>
        <w:tc>
          <w:tcPr>
            <w:tcW w:w="3204" w:type="dxa"/>
            <w:shd w:val="clear" w:color="auto" w:fill="auto"/>
            <w:vAlign w:val="top"/>
          </w:tcPr>
          <w:p w14:paraId="634A67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8.属于行政查询事项</w:t>
            </w:r>
          </w:p>
        </w:tc>
        <w:tc>
          <w:tcPr>
            <w:tcW w:w="684" w:type="dxa"/>
            <w:shd w:val="clear" w:color="auto" w:fill="auto"/>
            <w:vAlign w:val="top"/>
          </w:tcPr>
          <w:p w14:paraId="175673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11A7EA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498B2C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777A22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60C485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3FCC56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6F366E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r>
      <w:tr w14:paraId="4EBC70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756" w:type="dxa"/>
            <w:vMerge w:val="continue"/>
            <w:shd w:val="clear" w:color="auto" w:fill="auto"/>
            <w:vAlign w:val="center"/>
          </w:tcPr>
          <w:p w14:paraId="086367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936" w:type="dxa"/>
            <w:vMerge w:val="restart"/>
            <w:shd w:val="clear" w:color="auto" w:fill="auto"/>
            <w:vAlign w:val="center"/>
          </w:tcPr>
          <w:p w14:paraId="433ACB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（四）无法提供</w:t>
            </w:r>
          </w:p>
        </w:tc>
        <w:tc>
          <w:tcPr>
            <w:tcW w:w="3204" w:type="dxa"/>
            <w:shd w:val="clear" w:color="auto" w:fill="auto"/>
            <w:vAlign w:val="top"/>
          </w:tcPr>
          <w:p w14:paraId="149721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1.本机关不掌握相关政府信息</w:t>
            </w:r>
          </w:p>
        </w:tc>
        <w:tc>
          <w:tcPr>
            <w:tcW w:w="684" w:type="dxa"/>
            <w:shd w:val="clear" w:color="auto" w:fill="auto"/>
            <w:vAlign w:val="top"/>
          </w:tcPr>
          <w:p w14:paraId="29B9A1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w:t>
            </w:r>
          </w:p>
        </w:tc>
        <w:tc>
          <w:tcPr>
            <w:tcW w:w="684" w:type="dxa"/>
            <w:shd w:val="clear" w:color="auto" w:fill="auto"/>
            <w:vAlign w:val="top"/>
          </w:tcPr>
          <w:p w14:paraId="6B505E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1CC437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4622F0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4CF969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43C5D5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27E9AF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w:t>
            </w:r>
          </w:p>
        </w:tc>
      </w:tr>
      <w:tr w14:paraId="5A7FB5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756" w:type="dxa"/>
            <w:vMerge w:val="continue"/>
            <w:shd w:val="clear" w:color="auto" w:fill="auto"/>
            <w:vAlign w:val="center"/>
          </w:tcPr>
          <w:p w14:paraId="5EB40D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936" w:type="dxa"/>
            <w:vMerge w:val="continue"/>
            <w:shd w:val="clear" w:color="auto" w:fill="auto"/>
            <w:vAlign w:val="center"/>
          </w:tcPr>
          <w:p w14:paraId="4697BE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3204" w:type="dxa"/>
            <w:shd w:val="clear" w:color="auto" w:fill="auto"/>
            <w:vAlign w:val="top"/>
          </w:tcPr>
          <w:p w14:paraId="149555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2.没有现成信息需要另行制作</w:t>
            </w:r>
          </w:p>
        </w:tc>
        <w:tc>
          <w:tcPr>
            <w:tcW w:w="684" w:type="dxa"/>
            <w:shd w:val="clear" w:color="auto" w:fill="auto"/>
            <w:vAlign w:val="top"/>
          </w:tcPr>
          <w:p w14:paraId="71232D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226F11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202E30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14D818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23BA94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72C537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71B93E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r>
      <w:tr w14:paraId="114131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756" w:type="dxa"/>
            <w:vMerge w:val="continue"/>
            <w:shd w:val="clear" w:color="auto" w:fill="auto"/>
            <w:vAlign w:val="center"/>
          </w:tcPr>
          <w:p w14:paraId="0ECC15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936" w:type="dxa"/>
            <w:vMerge w:val="continue"/>
            <w:shd w:val="clear" w:color="auto" w:fill="auto"/>
            <w:vAlign w:val="center"/>
          </w:tcPr>
          <w:p w14:paraId="2A565E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3204" w:type="dxa"/>
            <w:shd w:val="clear" w:color="auto" w:fill="auto"/>
            <w:vAlign w:val="top"/>
          </w:tcPr>
          <w:p w14:paraId="722F9F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3.补正后申请内容仍不明确</w:t>
            </w:r>
          </w:p>
        </w:tc>
        <w:tc>
          <w:tcPr>
            <w:tcW w:w="684" w:type="dxa"/>
            <w:shd w:val="clear" w:color="auto" w:fill="auto"/>
            <w:vAlign w:val="top"/>
          </w:tcPr>
          <w:p w14:paraId="0F0DE6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25D9BD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3B78A2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7C49FB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27E611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53F506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279D16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r>
      <w:tr w14:paraId="0CA0B0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756" w:type="dxa"/>
            <w:vMerge w:val="continue"/>
            <w:shd w:val="clear" w:color="auto" w:fill="auto"/>
            <w:vAlign w:val="center"/>
          </w:tcPr>
          <w:p w14:paraId="78DEA1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936" w:type="dxa"/>
            <w:vMerge w:val="restart"/>
            <w:shd w:val="clear" w:color="auto" w:fill="auto"/>
            <w:vAlign w:val="center"/>
          </w:tcPr>
          <w:p w14:paraId="4B3F71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（五）不予处理</w:t>
            </w:r>
          </w:p>
        </w:tc>
        <w:tc>
          <w:tcPr>
            <w:tcW w:w="3204" w:type="dxa"/>
            <w:shd w:val="clear" w:color="auto" w:fill="auto"/>
            <w:vAlign w:val="top"/>
          </w:tcPr>
          <w:p w14:paraId="76A00C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1.信访举报投诉类申请</w:t>
            </w:r>
          </w:p>
        </w:tc>
        <w:tc>
          <w:tcPr>
            <w:tcW w:w="684" w:type="dxa"/>
            <w:shd w:val="clear" w:color="auto" w:fill="auto"/>
            <w:vAlign w:val="top"/>
          </w:tcPr>
          <w:p w14:paraId="6D7D8E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6AC123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66CFAD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082C12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0E092F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03EB67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123C88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r>
      <w:tr w14:paraId="73714E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756" w:type="dxa"/>
            <w:vMerge w:val="continue"/>
            <w:shd w:val="clear" w:color="auto" w:fill="auto"/>
            <w:vAlign w:val="center"/>
          </w:tcPr>
          <w:p w14:paraId="5B5C5C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936" w:type="dxa"/>
            <w:vMerge w:val="continue"/>
            <w:shd w:val="clear" w:color="auto" w:fill="auto"/>
            <w:vAlign w:val="center"/>
          </w:tcPr>
          <w:p w14:paraId="52FC66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3204" w:type="dxa"/>
            <w:shd w:val="clear" w:color="auto" w:fill="auto"/>
            <w:vAlign w:val="top"/>
          </w:tcPr>
          <w:p w14:paraId="0D1E76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2.重复申请</w:t>
            </w:r>
          </w:p>
        </w:tc>
        <w:tc>
          <w:tcPr>
            <w:tcW w:w="684" w:type="dxa"/>
            <w:shd w:val="clear" w:color="auto" w:fill="auto"/>
            <w:vAlign w:val="top"/>
          </w:tcPr>
          <w:p w14:paraId="297D36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1C2A0A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49E0C5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68AEB5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666F64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0990DA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54E001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r>
      <w:tr w14:paraId="629C70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756" w:type="dxa"/>
            <w:vMerge w:val="continue"/>
            <w:shd w:val="clear" w:color="auto" w:fill="auto"/>
            <w:vAlign w:val="center"/>
          </w:tcPr>
          <w:p w14:paraId="164D7D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936" w:type="dxa"/>
            <w:vMerge w:val="continue"/>
            <w:shd w:val="clear" w:color="auto" w:fill="auto"/>
            <w:vAlign w:val="center"/>
          </w:tcPr>
          <w:p w14:paraId="2B8C31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3204" w:type="dxa"/>
            <w:shd w:val="clear" w:color="auto" w:fill="auto"/>
            <w:vAlign w:val="top"/>
          </w:tcPr>
          <w:p w14:paraId="28EAD5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3.要求提供公开出版物</w:t>
            </w:r>
          </w:p>
        </w:tc>
        <w:tc>
          <w:tcPr>
            <w:tcW w:w="684" w:type="dxa"/>
            <w:shd w:val="clear" w:color="auto" w:fill="auto"/>
            <w:vAlign w:val="top"/>
          </w:tcPr>
          <w:p w14:paraId="25FF1E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3333CC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613F1A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5856CB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270532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153206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0281E5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r>
      <w:tr w14:paraId="284C9A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756" w:type="dxa"/>
            <w:vMerge w:val="continue"/>
            <w:shd w:val="clear" w:color="auto" w:fill="auto"/>
            <w:vAlign w:val="center"/>
          </w:tcPr>
          <w:p w14:paraId="414652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936" w:type="dxa"/>
            <w:vMerge w:val="continue"/>
            <w:shd w:val="clear" w:color="auto" w:fill="auto"/>
            <w:vAlign w:val="center"/>
          </w:tcPr>
          <w:p w14:paraId="37A546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3204" w:type="dxa"/>
            <w:shd w:val="clear" w:color="auto" w:fill="auto"/>
            <w:vAlign w:val="top"/>
          </w:tcPr>
          <w:p w14:paraId="2DC94B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4.无正当理由大量反复申请</w:t>
            </w:r>
          </w:p>
        </w:tc>
        <w:tc>
          <w:tcPr>
            <w:tcW w:w="684" w:type="dxa"/>
            <w:shd w:val="clear" w:color="auto" w:fill="auto"/>
            <w:vAlign w:val="top"/>
          </w:tcPr>
          <w:p w14:paraId="2B867A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43B638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3CE710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351CF5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55ED93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4A2358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708FEF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r>
      <w:tr w14:paraId="5A1246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756" w:type="dxa"/>
            <w:vMerge w:val="continue"/>
            <w:shd w:val="clear" w:color="auto" w:fill="auto"/>
            <w:vAlign w:val="center"/>
          </w:tcPr>
          <w:p w14:paraId="679BAA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936" w:type="dxa"/>
            <w:vMerge w:val="continue"/>
            <w:shd w:val="clear" w:color="auto" w:fill="auto"/>
            <w:vAlign w:val="center"/>
          </w:tcPr>
          <w:p w14:paraId="19351D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3204" w:type="dxa"/>
            <w:shd w:val="clear" w:color="auto" w:fill="auto"/>
            <w:vAlign w:val="center"/>
          </w:tcPr>
          <w:p w14:paraId="1D0BF1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5.要求行政机关确认或重新出具已获取信息</w:t>
            </w:r>
          </w:p>
        </w:tc>
        <w:tc>
          <w:tcPr>
            <w:tcW w:w="684" w:type="dxa"/>
            <w:shd w:val="clear" w:color="auto" w:fill="auto"/>
            <w:vAlign w:val="top"/>
          </w:tcPr>
          <w:p w14:paraId="23EE14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4D7EF4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229446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78B202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0B37DA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03E33B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294ADB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r>
      <w:tr w14:paraId="17EBFE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756" w:type="dxa"/>
            <w:vMerge w:val="continue"/>
            <w:shd w:val="clear" w:color="auto" w:fill="auto"/>
            <w:vAlign w:val="center"/>
          </w:tcPr>
          <w:p w14:paraId="071DC3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936" w:type="dxa"/>
            <w:vMerge w:val="restart"/>
            <w:shd w:val="clear" w:color="auto" w:fill="auto"/>
            <w:vAlign w:val="center"/>
          </w:tcPr>
          <w:p w14:paraId="61E7FB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（六）其他处理</w:t>
            </w:r>
          </w:p>
        </w:tc>
        <w:tc>
          <w:tcPr>
            <w:tcW w:w="3204" w:type="dxa"/>
            <w:shd w:val="clear" w:color="auto" w:fill="auto"/>
            <w:vAlign w:val="center"/>
          </w:tcPr>
          <w:p w14:paraId="4EC74E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1.申请人无正当理由逾期不补正、行政机关不再处理其政府信息公开申请</w:t>
            </w:r>
          </w:p>
        </w:tc>
        <w:tc>
          <w:tcPr>
            <w:tcW w:w="684" w:type="dxa"/>
            <w:shd w:val="clear" w:color="auto" w:fill="auto"/>
            <w:vAlign w:val="center"/>
          </w:tcPr>
          <w:p w14:paraId="4B8192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3E82AA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61B725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69F3EC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3D5A2D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2B5EA5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63DB44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r>
      <w:tr w14:paraId="4FEA9C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756" w:type="dxa"/>
            <w:vMerge w:val="continue"/>
            <w:shd w:val="clear" w:color="auto" w:fill="auto"/>
            <w:vAlign w:val="center"/>
          </w:tcPr>
          <w:p w14:paraId="5E15419E">
            <w:pPr>
              <w:rPr>
                <w:rFonts w:hint="eastAsia" w:ascii="微软雅黑" w:hAnsi="微软雅黑" w:eastAsia="微软雅黑" w:cs="微软雅黑"/>
                <w:sz w:val="24"/>
                <w:szCs w:val="24"/>
                <w:u w:val="none"/>
              </w:rPr>
            </w:pPr>
          </w:p>
        </w:tc>
        <w:tc>
          <w:tcPr>
            <w:tcW w:w="936" w:type="dxa"/>
            <w:vMerge w:val="continue"/>
            <w:shd w:val="clear" w:color="auto" w:fill="auto"/>
            <w:vAlign w:val="center"/>
          </w:tcPr>
          <w:p w14:paraId="2BE6F016">
            <w:pPr>
              <w:rPr>
                <w:rFonts w:hint="eastAsia" w:ascii="微软雅黑" w:hAnsi="微软雅黑" w:eastAsia="微软雅黑" w:cs="微软雅黑"/>
                <w:sz w:val="24"/>
                <w:szCs w:val="24"/>
                <w:u w:val="none"/>
              </w:rPr>
            </w:pPr>
          </w:p>
        </w:tc>
        <w:tc>
          <w:tcPr>
            <w:tcW w:w="3204" w:type="dxa"/>
            <w:shd w:val="clear" w:color="auto" w:fill="auto"/>
            <w:vAlign w:val="center"/>
          </w:tcPr>
          <w:p w14:paraId="4D2A1F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2.申请人逾期未按收费通知要求缴纳费用、行政机关不再处理其政府信息公开申请</w:t>
            </w:r>
          </w:p>
        </w:tc>
        <w:tc>
          <w:tcPr>
            <w:tcW w:w="684" w:type="dxa"/>
            <w:shd w:val="clear" w:color="auto" w:fill="auto"/>
            <w:vAlign w:val="center"/>
          </w:tcPr>
          <w:p w14:paraId="7B1B1B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3A7603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096ABB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49DE20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23D135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5E8CFF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700E89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r>
      <w:tr w14:paraId="60D98A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756" w:type="dxa"/>
            <w:vMerge w:val="continue"/>
            <w:shd w:val="clear" w:color="auto" w:fill="auto"/>
            <w:vAlign w:val="center"/>
          </w:tcPr>
          <w:p w14:paraId="45DA95FE">
            <w:pPr>
              <w:rPr>
                <w:rFonts w:hint="eastAsia" w:ascii="微软雅黑" w:hAnsi="微软雅黑" w:eastAsia="微软雅黑" w:cs="微软雅黑"/>
                <w:sz w:val="24"/>
                <w:szCs w:val="24"/>
                <w:u w:val="none"/>
              </w:rPr>
            </w:pPr>
          </w:p>
        </w:tc>
        <w:tc>
          <w:tcPr>
            <w:tcW w:w="936" w:type="dxa"/>
            <w:vMerge w:val="continue"/>
            <w:shd w:val="clear" w:color="auto" w:fill="auto"/>
            <w:vAlign w:val="center"/>
          </w:tcPr>
          <w:p w14:paraId="04690357">
            <w:pPr>
              <w:rPr>
                <w:rFonts w:hint="eastAsia" w:ascii="微软雅黑" w:hAnsi="微软雅黑" w:eastAsia="微软雅黑" w:cs="微软雅黑"/>
                <w:sz w:val="24"/>
                <w:szCs w:val="24"/>
                <w:u w:val="none"/>
              </w:rPr>
            </w:pPr>
          </w:p>
        </w:tc>
        <w:tc>
          <w:tcPr>
            <w:tcW w:w="3204" w:type="dxa"/>
            <w:shd w:val="clear" w:color="auto" w:fill="auto"/>
            <w:vAlign w:val="center"/>
          </w:tcPr>
          <w:p w14:paraId="703042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3.其他</w:t>
            </w:r>
          </w:p>
        </w:tc>
        <w:tc>
          <w:tcPr>
            <w:tcW w:w="684" w:type="dxa"/>
            <w:shd w:val="clear" w:color="auto" w:fill="auto"/>
            <w:vAlign w:val="center"/>
          </w:tcPr>
          <w:p w14:paraId="6584CF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2DAAAB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3AB2E8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78147A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553563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40D9B9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37A613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r>
      <w:tr w14:paraId="1500D1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756" w:type="dxa"/>
            <w:vMerge w:val="continue"/>
            <w:shd w:val="clear" w:color="auto" w:fill="auto"/>
            <w:vAlign w:val="center"/>
          </w:tcPr>
          <w:p w14:paraId="3EA2EFF6">
            <w:pPr>
              <w:rPr>
                <w:rFonts w:hint="eastAsia" w:ascii="微软雅黑" w:hAnsi="微软雅黑" w:eastAsia="微软雅黑" w:cs="微软雅黑"/>
                <w:sz w:val="24"/>
                <w:szCs w:val="24"/>
                <w:u w:val="none"/>
              </w:rPr>
            </w:pPr>
          </w:p>
        </w:tc>
        <w:tc>
          <w:tcPr>
            <w:tcW w:w="4152" w:type="dxa"/>
            <w:gridSpan w:val="2"/>
            <w:shd w:val="clear" w:color="auto" w:fill="auto"/>
            <w:vAlign w:val="center"/>
          </w:tcPr>
          <w:p w14:paraId="5DE87E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（七）总计</w:t>
            </w:r>
          </w:p>
        </w:tc>
        <w:tc>
          <w:tcPr>
            <w:tcW w:w="684" w:type="dxa"/>
            <w:shd w:val="clear" w:color="auto" w:fill="auto"/>
            <w:vAlign w:val="center"/>
          </w:tcPr>
          <w:p w14:paraId="06EF41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5</w:t>
            </w:r>
          </w:p>
        </w:tc>
        <w:tc>
          <w:tcPr>
            <w:tcW w:w="684" w:type="dxa"/>
            <w:shd w:val="clear" w:color="auto" w:fill="auto"/>
            <w:vAlign w:val="center"/>
          </w:tcPr>
          <w:p w14:paraId="257A45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w:t>
            </w:r>
          </w:p>
        </w:tc>
        <w:tc>
          <w:tcPr>
            <w:tcW w:w="684" w:type="dxa"/>
            <w:shd w:val="clear" w:color="auto" w:fill="auto"/>
            <w:vAlign w:val="center"/>
          </w:tcPr>
          <w:p w14:paraId="6DD029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72DACC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3727AE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76166E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top"/>
          </w:tcPr>
          <w:p w14:paraId="563106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6</w:t>
            </w:r>
          </w:p>
        </w:tc>
      </w:tr>
      <w:tr w14:paraId="4B528E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4920" w:type="dxa"/>
            <w:gridSpan w:val="3"/>
            <w:shd w:val="clear" w:color="auto" w:fill="auto"/>
            <w:vAlign w:val="center"/>
          </w:tcPr>
          <w:p w14:paraId="77CA61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四、结转下年度继续办理</w:t>
            </w:r>
          </w:p>
        </w:tc>
        <w:tc>
          <w:tcPr>
            <w:tcW w:w="684" w:type="dxa"/>
            <w:shd w:val="clear" w:color="auto" w:fill="auto"/>
            <w:vAlign w:val="center"/>
          </w:tcPr>
          <w:p w14:paraId="660D46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6</w:t>
            </w:r>
          </w:p>
        </w:tc>
        <w:tc>
          <w:tcPr>
            <w:tcW w:w="0" w:type="auto"/>
            <w:shd w:val="clear" w:color="auto" w:fill="auto"/>
            <w:vAlign w:val="center"/>
          </w:tcPr>
          <w:p w14:paraId="5DE19E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3023F2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039565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76D0C9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684" w:type="dxa"/>
            <w:shd w:val="clear" w:color="auto" w:fill="auto"/>
            <w:vAlign w:val="center"/>
          </w:tcPr>
          <w:p w14:paraId="5999DE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c>
          <w:tcPr>
            <w:tcW w:w="0" w:type="auto"/>
            <w:shd w:val="clear" w:color="auto" w:fill="auto"/>
            <w:vAlign w:val="center"/>
          </w:tcPr>
          <w:p w14:paraId="7127A7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6</w:t>
            </w:r>
          </w:p>
        </w:tc>
      </w:tr>
    </w:tbl>
    <w:p w14:paraId="5B0752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i w:val="0"/>
          <w:iCs w:val="0"/>
          <w:caps w:val="0"/>
          <w:color w:val="404040"/>
          <w:spacing w:val="0"/>
          <w:sz w:val="32"/>
          <w:szCs w:val="32"/>
          <w:u w:val="none"/>
          <w:shd w:val="clear" w:fill="FFFFFF"/>
        </w:rPr>
      </w:pPr>
      <w:r>
        <w:rPr>
          <w:rFonts w:hint="eastAsia" w:ascii="黑体" w:hAnsi="黑体" w:eastAsia="黑体" w:cs="黑体"/>
          <w:i w:val="0"/>
          <w:iCs w:val="0"/>
          <w:caps w:val="0"/>
          <w:color w:val="404040"/>
          <w:spacing w:val="0"/>
          <w:sz w:val="32"/>
          <w:szCs w:val="32"/>
          <w:u w:val="none"/>
          <w:shd w:val="clear" w:fill="FFFFFF"/>
        </w:rPr>
        <w:t>四、政府信息公开行政复议、行政诉讼情况</w:t>
      </w:r>
    </w:p>
    <w:tbl>
      <w:tblPr>
        <w:tblStyle w:val="3"/>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5"/>
        <w:gridCol w:w="555"/>
        <w:gridCol w:w="555"/>
        <w:gridCol w:w="555"/>
        <w:gridCol w:w="555"/>
        <w:gridCol w:w="555"/>
        <w:gridCol w:w="555"/>
        <w:gridCol w:w="555"/>
        <w:gridCol w:w="555"/>
        <w:gridCol w:w="555"/>
        <w:gridCol w:w="555"/>
        <w:gridCol w:w="555"/>
        <w:gridCol w:w="556"/>
        <w:gridCol w:w="556"/>
        <w:gridCol w:w="564"/>
      </w:tblGrid>
      <w:tr w14:paraId="1BA59F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3240" w:type="dxa"/>
            <w:gridSpan w:val="5"/>
            <w:shd w:val="clear" w:color="auto" w:fill="auto"/>
            <w:vAlign w:val="center"/>
          </w:tcPr>
          <w:p w14:paraId="04A42A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行政复议</w:t>
            </w:r>
          </w:p>
        </w:tc>
        <w:tc>
          <w:tcPr>
            <w:tcW w:w="6492" w:type="dxa"/>
            <w:gridSpan w:val="10"/>
            <w:shd w:val="clear" w:color="auto" w:fill="auto"/>
            <w:vAlign w:val="center"/>
          </w:tcPr>
          <w:p w14:paraId="4E4570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行政诉讼</w:t>
            </w:r>
          </w:p>
        </w:tc>
      </w:tr>
      <w:tr w14:paraId="2C1189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48" w:type="dxa"/>
            <w:vMerge w:val="restart"/>
            <w:shd w:val="clear" w:color="auto" w:fill="auto"/>
            <w:vAlign w:val="center"/>
          </w:tcPr>
          <w:p w14:paraId="0C5ED3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结果维持</w:t>
            </w:r>
          </w:p>
        </w:tc>
        <w:tc>
          <w:tcPr>
            <w:tcW w:w="648" w:type="dxa"/>
            <w:vMerge w:val="restart"/>
            <w:shd w:val="clear" w:color="auto" w:fill="auto"/>
            <w:vAlign w:val="center"/>
          </w:tcPr>
          <w:p w14:paraId="23F86A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结果</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rPr>
              <w:t>纠正</w:t>
            </w:r>
          </w:p>
        </w:tc>
        <w:tc>
          <w:tcPr>
            <w:tcW w:w="648" w:type="dxa"/>
            <w:vMerge w:val="restart"/>
            <w:shd w:val="clear" w:color="auto" w:fill="auto"/>
            <w:vAlign w:val="center"/>
          </w:tcPr>
          <w:p w14:paraId="288044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其他</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rPr>
              <w:t>结果</w:t>
            </w:r>
          </w:p>
        </w:tc>
        <w:tc>
          <w:tcPr>
            <w:tcW w:w="648" w:type="dxa"/>
            <w:vMerge w:val="restart"/>
            <w:shd w:val="clear" w:color="auto" w:fill="auto"/>
            <w:vAlign w:val="center"/>
          </w:tcPr>
          <w:p w14:paraId="47D01F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尚未</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rPr>
              <w:t>审结</w:t>
            </w:r>
          </w:p>
        </w:tc>
        <w:tc>
          <w:tcPr>
            <w:tcW w:w="648" w:type="dxa"/>
            <w:vMerge w:val="restart"/>
            <w:shd w:val="clear" w:color="auto" w:fill="auto"/>
            <w:vAlign w:val="center"/>
          </w:tcPr>
          <w:p w14:paraId="791D79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总计</w:t>
            </w:r>
          </w:p>
        </w:tc>
        <w:tc>
          <w:tcPr>
            <w:tcW w:w="3240" w:type="dxa"/>
            <w:gridSpan w:val="5"/>
            <w:shd w:val="clear" w:color="auto" w:fill="auto"/>
            <w:vAlign w:val="center"/>
          </w:tcPr>
          <w:p w14:paraId="5F1F4A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未经复议直接起诉</w:t>
            </w:r>
          </w:p>
        </w:tc>
        <w:tc>
          <w:tcPr>
            <w:tcW w:w="3252" w:type="dxa"/>
            <w:gridSpan w:val="5"/>
            <w:shd w:val="clear" w:color="auto" w:fill="auto"/>
            <w:vAlign w:val="center"/>
          </w:tcPr>
          <w:p w14:paraId="7F0C70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复议后起诉</w:t>
            </w:r>
          </w:p>
        </w:tc>
      </w:tr>
      <w:tr w14:paraId="3410C4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648" w:type="dxa"/>
            <w:vMerge w:val="continue"/>
            <w:shd w:val="clear" w:color="auto" w:fill="auto"/>
            <w:vAlign w:val="center"/>
          </w:tcPr>
          <w:p w14:paraId="0E0B8D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648" w:type="dxa"/>
            <w:vMerge w:val="continue"/>
            <w:shd w:val="clear" w:color="auto" w:fill="auto"/>
            <w:vAlign w:val="center"/>
          </w:tcPr>
          <w:p w14:paraId="7A6063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648" w:type="dxa"/>
            <w:vMerge w:val="continue"/>
            <w:shd w:val="clear" w:color="auto" w:fill="auto"/>
            <w:vAlign w:val="center"/>
          </w:tcPr>
          <w:p w14:paraId="73A25B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648" w:type="dxa"/>
            <w:vMerge w:val="continue"/>
            <w:shd w:val="clear" w:color="auto" w:fill="auto"/>
            <w:vAlign w:val="center"/>
          </w:tcPr>
          <w:p w14:paraId="7C31FC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648" w:type="dxa"/>
            <w:vMerge w:val="continue"/>
            <w:shd w:val="clear" w:color="auto" w:fill="auto"/>
            <w:vAlign w:val="center"/>
          </w:tcPr>
          <w:p w14:paraId="4AD31B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p>
        </w:tc>
        <w:tc>
          <w:tcPr>
            <w:tcW w:w="648" w:type="dxa"/>
            <w:shd w:val="clear" w:color="auto" w:fill="auto"/>
            <w:vAlign w:val="center"/>
          </w:tcPr>
          <w:p w14:paraId="66C871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结果</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rPr>
              <w:t>维持</w:t>
            </w:r>
          </w:p>
        </w:tc>
        <w:tc>
          <w:tcPr>
            <w:tcW w:w="648" w:type="dxa"/>
            <w:shd w:val="clear" w:color="auto" w:fill="auto"/>
            <w:vAlign w:val="center"/>
          </w:tcPr>
          <w:p w14:paraId="231D1A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结果</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rPr>
              <w:t>纠正</w:t>
            </w:r>
          </w:p>
        </w:tc>
        <w:tc>
          <w:tcPr>
            <w:tcW w:w="648" w:type="dxa"/>
            <w:shd w:val="clear" w:color="auto" w:fill="auto"/>
            <w:vAlign w:val="center"/>
          </w:tcPr>
          <w:p w14:paraId="3D4101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其他</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rPr>
              <w:t>结果</w:t>
            </w:r>
          </w:p>
        </w:tc>
        <w:tc>
          <w:tcPr>
            <w:tcW w:w="648" w:type="dxa"/>
            <w:shd w:val="clear" w:color="auto" w:fill="auto"/>
            <w:vAlign w:val="center"/>
          </w:tcPr>
          <w:p w14:paraId="1561AE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尚未</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rPr>
              <w:t>审结</w:t>
            </w:r>
          </w:p>
        </w:tc>
        <w:tc>
          <w:tcPr>
            <w:tcW w:w="648" w:type="dxa"/>
            <w:shd w:val="clear" w:color="auto" w:fill="auto"/>
            <w:vAlign w:val="center"/>
          </w:tcPr>
          <w:p w14:paraId="56858A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总计</w:t>
            </w:r>
          </w:p>
        </w:tc>
        <w:tc>
          <w:tcPr>
            <w:tcW w:w="648" w:type="dxa"/>
            <w:shd w:val="clear" w:color="auto" w:fill="auto"/>
            <w:vAlign w:val="center"/>
          </w:tcPr>
          <w:p w14:paraId="68E65D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结果</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rPr>
              <w:t>维持</w:t>
            </w:r>
          </w:p>
        </w:tc>
        <w:tc>
          <w:tcPr>
            <w:tcW w:w="648" w:type="dxa"/>
            <w:shd w:val="clear" w:color="auto" w:fill="auto"/>
            <w:vAlign w:val="center"/>
          </w:tcPr>
          <w:p w14:paraId="71A78C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结果</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rPr>
              <w:t>纠正</w:t>
            </w:r>
          </w:p>
        </w:tc>
        <w:tc>
          <w:tcPr>
            <w:tcW w:w="648" w:type="dxa"/>
            <w:shd w:val="clear" w:color="auto" w:fill="auto"/>
            <w:vAlign w:val="center"/>
          </w:tcPr>
          <w:p w14:paraId="164E14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其他</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rPr>
              <w:t>结果</w:t>
            </w:r>
          </w:p>
        </w:tc>
        <w:tc>
          <w:tcPr>
            <w:tcW w:w="648" w:type="dxa"/>
            <w:shd w:val="clear" w:color="auto" w:fill="auto"/>
            <w:vAlign w:val="center"/>
          </w:tcPr>
          <w:p w14:paraId="2229D8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尚</w:t>
            </w:r>
            <w:bookmarkStart w:id="0" w:name="_GoBack"/>
            <w:bookmarkEnd w:id="0"/>
            <w:r>
              <w:rPr>
                <w:rFonts w:hint="eastAsia" w:ascii="仿宋_GB2312" w:hAnsi="仿宋_GB2312" w:eastAsia="仿宋_GB2312" w:cs="仿宋_GB2312"/>
                <w:sz w:val="32"/>
                <w:szCs w:val="32"/>
                <w:u w:val="none"/>
              </w:rPr>
              <w:t>未</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rPr>
              <w:t>审结</w:t>
            </w:r>
          </w:p>
        </w:tc>
        <w:tc>
          <w:tcPr>
            <w:tcW w:w="648" w:type="dxa"/>
            <w:shd w:val="clear" w:color="auto" w:fill="auto"/>
            <w:vAlign w:val="center"/>
          </w:tcPr>
          <w:p w14:paraId="1F3BC1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总计</w:t>
            </w:r>
          </w:p>
        </w:tc>
      </w:tr>
      <w:tr w14:paraId="07E608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48" w:type="dxa"/>
            <w:shd w:val="clear" w:color="auto" w:fill="auto"/>
            <w:vAlign w:val="center"/>
          </w:tcPr>
          <w:p w14:paraId="6D00F8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w:t>
            </w:r>
          </w:p>
        </w:tc>
        <w:tc>
          <w:tcPr>
            <w:tcW w:w="648" w:type="dxa"/>
            <w:shd w:val="clear" w:color="auto" w:fill="auto"/>
            <w:vAlign w:val="center"/>
          </w:tcPr>
          <w:p w14:paraId="1C6650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0</w:t>
            </w:r>
          </w:p>
        </w:tc>
        <w:tc>
          <w:tcPr>
            <w:tcW w:w="648" w:type="dxa"/>
            <w:shd w:val="clear" w:color="auto" w:fill="auto"/>
            <w:vAlign w:val="center"/>
          </w:tcPr>
          <w:p w14:paraId="7520D6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0</w:t>
            </w:r>
          </w:p>
        </w:tc>
        <w:tc>
          <w:tcPr>
            <w:tcW w:w="648" w:type="dxa"/>
            <w:shd w:val="clear" w:color="auto" w:fill="auto"/>
            <w:vAlign w:val="center"/>
          </w:tcPr>
          <w:p w14:paraId="69E550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w:t>
            </w:r>
          </w:p>
        </w:tc>
        <w:tc>
          <w:tcPr>
            <w:tcW w:w="648" w:type="dxa"/>
            <w:shd w:val="clear" w:color="auto" w:fill="auto"/>
            <w:vAlign w:val="center"/>
          </w:tcPr>
          <w:p w14:paraId="07DEB1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w:t>
            </w:r>
          </w:p>
        </w:tc>
        <w:tc>
          <w:tcPr>
            <w:tcW w:w="648" w:type="dxa"/>
            <w:shd w:val="clear" w:color="auto" w:fill="auto"/>
            <w:vAlign w:val="center"/>
          </w:tcPr>
          <w:p w14:paraId="5DD630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0</w:t>
            </w:r>
          </w:p>
        </w:tc>
        <w:tc>
          <w:tcPr>
            <w:tcW w:w="648" w:type="dxa"/>
            <w:shd w:val="clear" w:color="auto" w:fill="auto"/>
            <w:vAlign w:val="center"/>
          </w:tcPr>
          <w:p w14:paraId="6D75FC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0</w:t>
            </w:r>
          </w:p>
        </w:tc>
        <w:tc>
          <w:tcPr>
            <w:tcW w:w="648" w:type="dxa"/>
            <w:shd w:val="clear" w:color="auto" w:fill="auto"/>
            <w:vAlign w:val="center"/>
          </w:tcPr>
          <w:p w14:paraId="3E6139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0</w:t>
            </w:r>
          </w:p>
        </w:tc>
        <w:tc>
          <w:tcPr>
            <w:tcW w:w="648" w:type="dxa"/>
            <w:shd w:val="clear" w:color="auto" w:fill="auto"/>
            <w:vAlign w:val="center"/>
          </w:tcPr>
          <w:p w14:paraId="241D08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0</w:t>
            </w:r>
          </w:p>
        </w:tc>
        <w:tc>
          <w:tcPr>
            <w:tcW w:w="648" w:type="dxa"/>
            <w:shd w:val="clear" w:color="auto" w:fill="auto"/>
            <w:vAlign w:val="center"/>
          </w:tcPr>
          <w:p w14:paraId="2EF430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0</w:t>
            </w:r>
          </w:p>
        </w:tc>
        <w:tc>
          <w:tcPr>
            <w:tcW w:w="648" w:type="dxa"/>
            <w:shd w:val="clear" w:color="auto" w:fill="auto"/>
            <w:vAlign w:val="center"/>
          </w:tcPr>
          <w:p w14:paraId="46AB4D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0</w:t>
            </w:r>
          </w:p>
        </w:tc>
        <w:tc>
          <w:tcPr>
            <w:tcW w:w="648" w:type="dxa"/>
            <w:shd w:val="clear" w:color="auto" w:fill="auto"/>
            <w:vAlign w:val="center"/>
          </w:tcPr>
          <w:p w14:paraId="1A1A0B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0</w:t>
            </w:r>
          </w:p>
        </w:tc>
        <w:tc>
          <w:tcPr>
            <w:tcW w:w="648" w:type="dxa"/>
            <w:shd w:val="clear" w:color="auto" w:fill="auto"/>
            <w:vAlign w:val="center"/>
          </w:tcPr>
          <w:p w14:paraId="4C4DC9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0</w:t>
            </w:r>
          </w:p>
        </w:tc>
        <w:tc>
          <w:tcPr>
            <w:tcW w:w="648" w:type="dxa"/>
            <w:shd w:val="clear" w:color="auto" w:fill="auto"/>
            <w:vAlign w:val="center"/>
          </w:tcPr>
          <w:p w14:paraId="48F498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0</w:t>
            </w:r>
          </w:p>
        </w:tc>
        <w:tc>
          <w:tcPr>
            <w:tcW w:w="648" w:type="dxa"/>
            <w:shd w:val="clear" w:color="auto" w:fill="auto"/>
            <w:vAlign w:val="center"/>
          </w:tcPr>
          <w:p w14:paraId="45A23A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0</w:t>
            </w:r>
          </w:p>
        </w:tc>
      </w:tr>
    </w:tbl>
    <w:p w14:paraId="01A7FB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u w:val="none"/>
        </w:rPr>
      </w:pPr>
      <w:r>
        <w:rPr>
          <w:rFonts w:hint="eastAsia" w:ascii="黑体" w:hAnsi="黑体" w:eastAsia="黑体" w:cs="黑体"/>
          <w:i w:val="0"/>
          <w:iCs w:val="0"/>
          <w:caps w:val="0"/>
          <w:color w:val="404040"/>
          <w:spacing w:val="0"/>
          <w:sz w:val="32"/>
          <w:szCs w:val="32"/>
          <w:u w:val="none"/>
          <w:shd w:val="clear" w:fill="FFFFFF"/>
        </w:rPr>
        <w:t>五、存在的主要问题及改进情况</w:t>
      </w:r>
    </w:p>
    <w:p w14:paraId="09EA56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i w:val="0"/>
          <w:iCs w:val="0"/>
          <w:caps w:val="0"/>
          <w:color w:val="404040"/>
          <w:spacing w:val="0"/>
          <w:sz w:val="32"/>
          <w:szCs w:val="32"/>
          <w:u w:val="none"/>
          <w:shd w:val="clear" w:fill="FFFFFF"/>
        </w:rPr>
        <w:t>（一）政府信息公开工作主要问题</w:t>
      </w:r>
    </w:p>
    <w:p w14:paraId="31CE35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404040"/>
          <w:spacing w:val="0"/>
          <w:sz w:val="32"/>
          <w:szCs w:val="32"/>
          <w:u w:val="none"/>
          <w:shd w:val="clear" w:fill="FFFFFF"/>
        </w:rPr>
        <w:t>一是主动公开范围有待拓展。信息公开行为被动，主动公开的信息种类少、数量少；信息公开平台以微信为主，网站公开利用率低；信息公开内容以财务公开与执法信息公开为主，公开内容不够全面。</w:t>
      </w:r>
    </w:p>
    <w:p w14:paraId="4AFA83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404040"/>
          <w:spacing w:val="0"/>
          <w:sz w:val="32"/>
          <w:szCs w:val="32"/>
          <w:u w:val="none"/>
          <w:shd w:val="clear" w:fill="FFFFFF"/>
        </w:rPr>
        <w:t>二是公开信息严谨性有待提高。网站及微信公众号存在部分错敏字，信息审核把关不够严格。</w:t>
      </w:r>
    </w:p>
    <w:p w14:paraId="1578CF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i w:val="0"/>
          <w:iCs w:val="0"/>
          <w:caps w:val="0"/>
          <w:color w:val="404040"/>
          <w:spacing w:val="0"/>
          <w:sz w:val="32"/>
          <w:szCs w:val="32"/>
          <w:u w:val="none"/>
          <w:shd w:val="clear" w:fill="FFFFFF"/>
        </w:rPr>
        <w:t>（二）今后政府信息公开工作改进措施</w:t>
      </w:r>
    </w:p>
    <w:p w14:paraId="3BCD07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404040"/>
          <w:spacing w:val="0"/>
          <w:sz w:val="32"/>
          <w:szCs w:val="32"/>
          <w:u w:val="none"/>
          <w:shd w:val="clear" w:fill="FFFFFF"/>
        </w:rPr>
        <w:t>一是进一步推动政务公开流程规范化，对相关工作人员组织业务培训和工作指导。一方面，组织工作人员学习《政府信息依申请公开工作手册》与主动公开手册，明确依申请公开的流程，主动公开的方式与范畴；另一方面在实践中摸索总结，做好登记、留档、电子与纸质双备份工作，并补齐缺失手续，不断规范公开流程。</w:t>
      </w:r>
    </w:p>
    <w:p w14:paraId="4374B5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404040"/>
          <w:spacing w:val="0"/>
          <w:sz w:val="32"/>
          <w:szCs w:val="32"/>
          <w:u w:val="none"/>
          <w:shd w:val="clear" w:fill="FFFFFF"/>
        </w:rPr>
        <w:t>二是进一步加大公开力度，鼓励主动公开。一方面，从单位现状出发，调整公开方式。在保持微信公众号高更新率的同时，加强政府网站信息公开。另一方面，继续加大主动公开力度，在财务公开与执法公示的基础上扩大公开范围，尤其是事关国民经济发展、民生、安全等方面的重大事项，确保依法、及时、准确、规范公开。</w:t>
      </w:r>
    </w:p>
    <w:p w14:paraId="61AA09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404040"/>
          <w:spacing w:val="0"/>
          <w:sz w:val="32"/>
          <w:szCs w:val="32"/>
          <w:u w:val="none"/>
          <w:shd w:val="clear" w:fill="FFFFFF"/>
        </w:rPr>
        <w:t>三是进一步工作人员提高服务水平。信息公开工作是提高政府工作透明度，建设法治政府的重要方式，是政府对外形象的重要窗口，对人民群众的生产生活和经济社会活动具有重要服务作用。因此，要组织各科室成员学习《信息公开条例》，把推进信息公开作为加强自身建设、提高服务水平的重要内容，提高主动公开信息的意识，推动政府信息公开工作进行。</w:t>
      </w:r>
    </w:p>
    <w:p w14:paraId="3AF0DA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404040"/>
          <w:spacing w:val="0"/>
          <w:sz w:val="32"/>
          <w:szCs w:val="32"/>
          <w:u w:val="none"/>
          <w:shd w:val="clear" w:fill="FFFFFF"/>
        </w:rPr>
        <w:t>四是严格审核把关，杜绝错敏字词错误。加大信息发布审核把关力度，完善审核审签工作制度，切实做好信息发布前的保密审查、内容审核、文字把关工作，加强发布中的监测检查，发布后台纠错、应急处置等相关工作，坚决杜绝错敏字词等严重错误情况发生，切实维护政府网站和政务新媒体服务政府信息公开、服务企业群众的权威性、有效性，不断提升政府公信力。</w:t>
      </w:r>
    </w:p>
    <w:p w14:paraId="2F965F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sz w:val="32"/>
          <w:szCs w:val="32"/>
          <w:u w:val="none"/>
        </w:rPr>
      </w:pPr>
      <w:r>
        <w:rPr>
          <w:rFonts w:hint="eastAsia" w:ascii="黑体" w:hAnsi="黑体" w:eastAsia="黑体" w:cs="黑体"/>
          <w:i w:val="0"/>
          <w:iCs w:val="0"/>
          <w:caps w:val="0"/>
          <w:color w:val="404040"/>
          <w:spacing w:val="0"/>
          <w:sz w:val="32"/>
          <w:szCs w:val="32"/>
          <w:u w:val="none"/>
          <w:shd w:val="clear" w:fill="FFFFFF"/>
        </w:rPr>
        <w:t>六、其他需要报告的事项</w:t>
      </w:r>
    </w:p>
    <w:p w14:paraId="558AEA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i w:val="0"/>
          <w:iCs w:val="0"/>
          <w:caps w:val="0"/>
          <w:color w:val="404040"/>
          <w:spacing w:val="0"/>
          <w:sz w:val="32"/>
          <w:szCs w:val="32"/>
          <w:u w:val="none"/>
          <w:shd w:val="clear" w:fill="FFFFFF"/>
        </w:rPr>
        <w:t>发出收费通知的件数和总金额以及实际收取的总金额均为0。</w:t>
      </w:r>
    </w:p>
    <w:p w14:paraId="4501685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74FE7"/>
    <w:rsid w:val="10936694"/>
    <w:rsid w:val="24B11B7A"/>
    <w:rsid w:val="45574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paragraph" w:customStyle="1" w:styleId="6">
    <w:name w:val="大标题"/>
    <w:basedOn w:val="1"/>
    <w:qFormat/>
    <w:uiPriority w:val="0"/>
    <w:pPr>
      <w:spacing w:before="100" w:beforeLines="100" w:after="100" w:afterLines="100" w:line="600" w:lineRule="exact"/>
      <w:jc w:val="center"/>
    </w:pPr>
    <w:rPr>
      <w:rFonts w:hint="eastAsia" w:ascii="方正小标宋简体" w:hAnsi="方正小标宋简体" w:eastAsia="方正小标宋简体" w:cs="方正小标宋简体"/>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12</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2025-10-29T06:03:00Z</dcterms:created>
  <dc:creator>lian</dc:creator>
  <cp:lastModifiedBy>donghai</cp:lastModifiedBy>
  <dcterms:modified xsi:type="dcterms:W3CDTF">2025-10-29T08:46:26Z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034256F6FAD24F118608E79A8653BA53</vt:lpwstr>
  </property>
</Properties>
</file>